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2324A"/>
            <w:tcMar>
              <w:top w:w="340" w:type="dxa"/>
              <w:left w:w="340" w:type="dxa"/>
              <w:bottom w:w="340" w:type="dxa"/>
              <w:right w:w="340" w:type="dxa"/>
            </w:tcMar>
          </w:tcPr>
          <w:p>
            <w:pPr>
              <w:spacing w:before="0" w:after="40" w:line="240" w:lineRule="auto"/>
              <w:ind w:firstLine="0"/>
              <w:jc w:val="left"/>
            </w:pPr>
            <w:r>
              <w:rPr>
                <w:b/>
                <w:i w:val="0"/>
                <w:color w:val="9FD3DC"/>
                <w:sz w:val="22"/>
              </w:rPr>
              <w:t>LICITACON</w:t>
            </w:r>
            <w:r>
              <w:rPr>
                <w:b w:val="0"/>
                <w:i w:val="0"/>
                <w:color w:val="C9D6DE"/>
                <w:sz w:val="16"/>
              </w:rPr>
              <w:t xml:space="preserve">   ANÁLISE TÉCNICA EM LICITAÇÕES E CONTRATOS</w:t>
            </w:r>
          </w:p>
          <w:p>
            <w:pPr>
              <w:spacing w:before="800" w:after="0" w:line="240" w:lineRule="auto"/>
              <w:ind w:firstLine="0"/>
              <w:jc w:val="left"/>
            </w:pPr>
            <w:r>
              <w:rPr>
                <w:b/>
                <w:i w:val="0"/>
                <w:color w:val="FFFFFF"/>
                <w:sz w:val="52"/>
              </w:rPr>
              <w:t>PARECER TÉCNICO</w:t>
            </w:r>
          </w:p>
          <w:p>
            <w:pPr>
              <w:spacing w:before="40" w:after="600" w:line="240" w:lineRule="auto"/>
              <w:ind w:firstLine="0"/>
              <w:jc w:val="left"/>
            </w:pPr>
            <w:r>
              <w:rPr>
                <w:b w:val="0"/>
                <w:i w:val="0"/>
                <w:color w:val="9FD3DC"/>
                <w:sz w:val="26"/>
              </w:rPr>
              <w:t>nº F2E7/2026</w:t>
            </w:r>
          </w:p>
        </w:tc>
      </w:tr>
    </w:tbl>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F7A8C"/>
            <w:tcMar>
              <w:top w:w="198" w:type="dxa"/>
              <w:left w:w="198" w:type="dxa"/>
              <w:bottom w:w="198" w:type="dxa"/>
              <w:right w:w="198" w:type="dxa"/>
            </w:tcMar>
          </w:tcPr>
          <w:p>
            <w:pPr>
              <w:spacing w:before="0" w:after="0" w:line="240" w:lineRule="auto"/>
              <w:ind w:firstLine="0"/>
              <w:jc w:val="left"/>
            </w:pPr>
            <w:r>
              <w:rPr>
                <w:b/>
                <w:i w:val="0"/>
                <w:color w:val="FFFFFF"/>
                <w:sz w:val="21"/>
              </w:rPr>
              <w:t>Conformidade do estudo técnico preliminar com a Lei 14.133/2021</w:t>
            </w:r>
          </w:p>
        </w:tc>
      </w:tr>
    </w:tbl>
    <w:p>
      <w:pPr>
        <w:spacing w:before="720" w:after="120" w:line="276" w:lineRule="auto"/>
        <w:ind w:firstLine="0"/>
        <w:jc w:val="left"/>
      </w:pPr>
      <w:r>
        <w:rPr>
          <w:b/>
          <w:i w:val="0"/>
          <w:color w:val="1F7A8C"/>
          <w:sz w:val="16"/>
        </w:rPr>
        <w:t>OBJETO</w:t>
      </w:r>
    </w:p>
    <w:p>
      <w:pPr>
        <w:spacing w:before="0" w:after="360" w:line="288" w:lineRule="auto"/>
        <w:ind w:firstLine="0"/>
        <w:jc w:val="left"/>
      </w:pPr>
      <w:r>
        <w:rPr>
          <w:b/>
          <w:i w:val="0"/>
          <w:color w:val="12324A"/>
          <w:sz w:val="30"/>
        </w:rPr>
        <w:t>Fornecimento de sabonete líquido de glicerina, loção protetora infantil, shampoo neutro e vitamina D3 em gotas (400 UI), em cumprimento a determinação judicial</w:t>
      </w:r>
    </w:p>
    <w:tbl>
      <w:tblPr>
        <w:tblW w:type="auto" w:w="0"/>
        <w:jc w:val="center"/>
        <w:tblLook w:firstColumn="1" w:firstRow="1" w:lastColumn="0" w:lastRow="0" w:noHBand="0" w:noVBand="1" w:val="04A0"/>
        <w:tblLayout w:type="fixed"/>
      </w:tblPr>
      <w:tblGrid>
        <w:gridCol w:w="1871"/>
        <w:gridCol w:w="7200"/>
      </w:tblGrid>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INTERESSADO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Prefeitura Municipal de Maricá – Secretaria de Saúde</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PROCESSO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Processo 10247/2026 (PNCP 29131075000193-1-000277/2026)</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MODALIDADE</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Dispensa de licitação (art. 75, VIII, da Lei 14.133/2021, conforme o documento)</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BASE LEGAL</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Lei 14.133/2021</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DATA</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29 de outubro de 2026</w:t>
            </w:r>
          </w:p>
        </w:tc>
      </w:tr>
    </w:tbl>
    <w:p>
      <w:pPr>
        <w:spacing w:before="520" w:after="0" w:line="240" w:lineRule="auto"/>
        <w:ind w:firstLine="0"/>
        <w:jc w:val="left"/>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6" w:color="C9781E" w:space="0"/>
              <w:bottom w:val="nil"/>
              <w:right w:val="nil"/>
            </w:tcBorders>
            <w:shd w:val="clear" w:color="auto" w:fill="FBEEDD"/>
            <w:tcMar>
              <w:top w:w="170" w:type="dxa"/>
              <w:left w:w="170" w:type="dxa"/>
              <w:bottom w:w="170" w:type="dxa"/>
              <w:right w:w="170" w:type="dxa"/>
            </w:tcMar>
          </w:tcPr>
          <w:p>
            <w:pPr>
              <w:spacing w:before="0" w:after="0" w:line="264" w:lineRule="auto"/>
              <w:ind w:firstLine="0"/>
              <w:jc w:val="left"/>
            </w:pPr>
            <w:r>
              <w:rPr>
                <w:b/>
                <w:i w:val="0"/>
                <w:color w:val="C9781E"/>
                <w:sz w:val="15"/>
              </w:rPr>
              <w:t xml:space="preserve">SITUAÇÃO GERAL  </w:t>
            </w:r>
            <w:r>
              <w:rPr>
                <w:b/>
                <w:i w:val="0"/>
                <w:color w:val="C9781E"/>
                <w:sz w:val="21"/>
              </w:rPr>
              <w:t>Há ajustes recomendados, sem falha grave identificada.</w:t>
            </w:r>
          </w:p>
        </w:tc>
      </w:tr>
    </w:tbl>
    <w:p>
      <w:pPr>
        <w:spacing w:before="160" w:after="0" w:line="276" w:lineRule="auto"/>
        <w:ind w:firstLine="0"/>
        <w:jc w:val="left"/>
      </w:pPr>
      <w:r>
        <w:rPr>
          <w:b/>
          <w:i w:val="0"/>
          <w:color w:val="1F7A8C"/>
          <w:sz w:val="15"/>
        </w:rPr>
        <w:t xml:space="preserve">PARECER OPINATIVO  </w:t>
      </w:r>
      <w:r>
        <w:rPr>
          <w:b w:val="0"/>
          <w:i w:val="0"/>
          <w:color w:val="1E2A32"/>
          <w:sz w:val="18"/>
        </w:rPr>
        <w:t>As recomendações não vinculam o destinatário; a decisão final é sempre de quem recebe este parecer.</w:t>
      </w:r>
    </w:p>
    <w:p>
      <w:pPr>
        <w:spacing w:before="1200" w:after="0" w:line="276" w:lineRule="auto"/>
        <w:ind w:firstLine="0"/>
        <w:jc w:val="center"/>
      </w:pPr>
      <w:r>
        <w:rPr>
          <w:b/>
          <w:i w:val="0"/>
          <w:sz w:val="22"/>
        </w:rPr>
        <w:t>Maricá – RJ</w:t>
      </w:r>
    </w:p>
    <w:p>
      <w:pPr>
        <w:spacing w:before="0" w:after="0" w:line="276" w:lineRule="auto"/>
        <w:ind w:firstLine="0"/>
        <w:jc w:val="center"/>
      </w:pPr>
      <w:r>
        <w:rPr>
          <w:b/>
          <w:i w:val="0"/>
          <w:sz w:val="22"/>
        </w:rPr>
        <w:t>2026</w:t>
      </w:r>
    </w:p>
    <w:p>
      <w:r>
        <w:br w:type="page"/>
      </w:r>
    </w:p>
    <w:p>
      <w:pPr>
        <w:pStyle w:val="Heading1"/>
        <w:keepNext/>
        <w:spacing w:before="360" w:after="160" w:line="360" w:lineRule="auto"/>
        <w:ind w:firstLine="0"/>
        <w:jc w:val="left"/>
      </w:pPr>
      <w:r>
        <w:rPr>
          <w:rFonts w:ascii="Arial" w:hAnsi="Arial"/>
          <w:b/>
          <w:i w:val="0"/>
          <w:color w:val="12324A"/>
          <w:sz w:val="24"/>
        </w:rPr>
        <w:t>SUMÁRIO</w:t>
      </w:r>
    </w:p>
    <w:p>
      <w:pPr>
        <w:tabs>
          <w:tab w:pos="9071" w:val="right" w:leader="dot"/>
        </w:tabs>
        <w:spacing w:before="0" w:after="0" w:line="360" w:lineRule="auto"/>
        <w:ind w:firstLine="0" w:left="0"/>
        <w:jc w:val="left"/>
      </w:pPr>
      <w:r>
        <w:rPr>
          <w:b/>
          <w:i w:val="0"/>
          <w:sz w:val="22"/>
        </w:rPr>
        <w:t>1 PAINEL EXECUTIVO</w:t>
      </w:r>
      <w:r>
        <w:rPr>
          <w:b/>
          <w:i w:val="0"/>
          <w:sz w:val="22"/>
        </w:rPr>
        <w:tab/>
        <w:t>3</w:t>
      </w:r>
    </w:p>
    <w:p>
      <w:pPr>
        <w:tabs>
          <w:tab w:pos="9071" w:val="right" w:leader="dot"/>
        </w:tabs>
        <w:spacing w:before="0" w:after="0" w:line="360" w:lineRule="auto"/>
        <w:ind w:firstLine="0" w:left="0"/>
        <w:jc w:val="left"/>
      </w:pPr>
      <w:r>
        <w:rPr>
          <w:b/>
          <w:i w:val="0"/>
          <w:sz w:val="22"/>
        </w:rPr>
        <w:t>2 RELATÓRIO</w:t>
      </w:r>
      <w:r>
        <w:rPr>
          <w:b/>
          <w:i w:val="0"/>
          <w:sz w:val="22"/>
        </w:rPr>
        <w:tab/>
        <w:t>4</w:t>
      </w:r>
    </w:p>
    <w:p>
      <w:pPr>
        <w:tabs>
          <w:tab w:pos="9071" w:val="right" w:leader="dot"/>
        </w:tabs>
        <w:spacing w:before="0" w:after="0" w:line="360" w:lineRule="auto"/>
        <w:ind w:firstLine="0" w:left="0"/>
        <w:jc w:val="left"/>
      </w:pPr>
      <w:r>
        <w:rPr>
          <w:b/>
          <w:i w:val="0"/>
          <w:sz w:val="22"/>
        </w:rPr>
        <w:t>3 FUNDAMENTAÇÃO</w:t>
      </w:r>
      <w:r>
        <w:rPr>
          <w:b/>
          <w:i w:val="0"/>
          <w:sz w:val="22"/>
        </w:rPr>
        <w:tab/>
        <w:t>5</w:t>
      </w:r>
    </w:p>
    <w:p>
      <w:pPr>
        <w:tabs>
          <w:tab w:pos="9071" w:val="right" w:leader="dot"/>
        </w:tabs>
        <w:spacing w:before="0" w:after="0" w:line="360" w:lineRule="auto"/>
        <w:ind w:firstLine="0" w:left="340"/>
        <w:jc w:val="left"/>
      </w:pPr>
      <w:r>
        <w:rPr>
          <w:b w:val="0"/>
          <w:i w:val="0"/>
          <w:sz w:val="21"/>
        </w:rPr>
        <w:t>3.1 Justificativa dos elementos não contemplados</w:t>
      </w:r>
      <w:r>
        <w:rPr>
          <w:b w:val="0"/>
          <w:i w:val="0"/>
          <w:sz w:val="21"/>
        </w:rPr>
        <w:tab/>
        <w:t>5</w:t>
      </w:r>
    </w:p>
    <w:p>
      <w:pPr>
        <w:tabs>
          <w:tab w:pos="9071" w:val="right" w:leader="dot"/>
        </w:tabs>
        <w:spacing w:before="0" w:after="0" w:line="360" w:lineRule="auto"/>
        <w:ind w:firstLine="0" w:left="340"/>
        <w:jc w:val="left"/>
      </w:pPr>
      <w:r>
        <w:rPr>
          <w:b w:val="0"/>
          <w:i w:val="0"/>
          <w:sz w:val="21"/>
        </w:rPr>
        <w:t>3.2 Ausência de estimativa de despesa, justificativa de preço e razão da escolha do contratado</w:t>
      </w:r>
      <w:r>
        <w:rPr>
          <w:b w:val="0"/>
          <w:i w:val="0"/>
          <w:sz w:val="21"/>
        </w:rPr>
        <w:tab/>
        <w:t>7</w:t>
      </w:r>
    </w:p>
    <w:p>
      <w:pPr>
        <w:tabs>
          <w:tab w:pos="9071" w:val="right" w:leader="dot"/>
        </w:tabs>
        <w:spacing w:before="0" w:after="0" w:line="360" w:lineRule="auto"/>
        <w:ind w:firstLine="0" w:left="340"/>
        <w:jc w:val="left"/>
      </w:pPr>
      <w:r>
        <w:rPr>
          <w:b w:val="0"/>
          <w:i w:val="0"/>
          <w:sz w:val="21"/>
        </w:rPr>
        <w:t>3.3 Adequação do enquadramento como dispensa emergencial (art. 75, VIII)</w:t>
      </w:r>
      <w:r>
        <w:rPr>
          <w:b w:val="0"/>
          <w:i w:val="0"/>
          <w:sz w:val="21"/>
        </w:rPr>
        <w:tab/>
        <w:t>8</w:t>
      </w:r>
    </w:p>
    <w:p>
      <w:pPr>
        <w:tabs>
          <w:tab w:pos="9071" w:val="right" w:leader="dot"/>
        </w:tabs>
        <w:spacing w:before="0" w:after="0" w:line="360" w:lineRule="auto"/>
        <w:ind w:firstLine="0" w:left="340"/>
        <w:jc w:val="left"/>
      </w:pPr>
      <w:r>
        <w:rPr>
          <w:b w:val="0"/>
          <w:i w:val="0"/>
          <w:sz w:val="21"/>
        </w:rPr>
        <w:t>3.4 Dispensa do termo de referência sem documento equivalente</w:t>
      </w:r>
      <w:r>
        <w:rPr>
          <w:b w:val="0"/>
          <w:i w:val="0"/>
          <w:sz w:val="21"/>
        </w:rPr>
        <w:tab/>
        <w:t>9</w:t>
      </w:r>
    </w:p>
    <w:p>
      <w:pPr>
        <w:tabs>
          <w:tab w:pos="9071" w:val="right" w:leader="dot"/>
        </w:tabs>
        <w:spacing w:before="0" w:after="0" w:line="360" w:lineRule="auto"/>
        <w:ind w:firstLine="0" w:left="340"/>
        <w:jc w:val="left"/>
      </w:pPr>
      <w:r>
        <w:rPr>
          <w:b w:val="0"/>
          <w:i w:val="0"/>
          <w:sz w:val="21"/>
        </w:rPr>
        <w:t>3.5 Exposição de dados sensíveis de saúde de menor no documento do processo</w:t>
      </w:r>
      <w:r>
        <w:rPr>
          <w:b w:val="0"/>
          <w:i w:val="0"/>
          <w:sz w:val="21"/>
        </w:rPr>
        <w:tab/>
        <w:t>10</w:t>
      </w:r>
    </w:p>
    <w:p>
      <w:pPr>
        <w:tabs>
          <w:tab w:pos="9071" w:val="right" w:leader="dot"/>
        </w:tabs>
        <w:spacing w:before="0" w:after="0" w:line="360" w:lineRule="auto"/>
        <w:ind w:firstLine="0" w:left="0"/>
        <w:jc w:val="left"/>
      </w:pPr>
      <w:r>
        <w:rPr>
          <w:b/>
          <w:i w:val="0"/>
          <w:sz w:val="22"/>
        </w:rPr>
        <w:t>4 RECOMENDAÇÕES DE MELHORIA</w:t>
      </w:r>
      <w:r>
        <w:rPr>
          <w:b/>
          <w:i w:val="0"/>
          <w:sz w:val="22"/>
        </w:rPr>
        <w:tab/>
        <w:t>11</w:t>
      </w:r>
    </w:p>
    <w:p>
      <w:pPr>
        <w:tabs>
          <w:tab w:pos="9071" w:val="right" w:leader="dot"/>
        </w:tabs>
        <w:spacing w:before="0" w:after="0" w:line="360" w:lineRule="auto"/>
        <w:ind w:firstLine="0" w:left="0"/>
        <w:jc w:val="left"/>
      </w:pPr>
      <w:r>
        <w:rPr>
          <w:b/>
          <w:i w:val="0"/>
          <w:sz w:val="22"/>
        </w:rPr>
        <w:t>5 CONCLUSÃO</w:t>
      </w:r>
      <w:r>
        <w:rPr>
          <w:b/>
          <w:i w:val="0"/>
          <w:sz w:val="22"/>
        </w:rPr>
        <w:tab/>
        <w:t>11</w:t>
      </w:r>
    </w:p>
    <w:p>
      <w:pPr>
        <w:tabs>
          <w:tab w:pos="9071" w:val="right" w:leader="dot"/>
        </w:tabs>
        <w:spacing w:before="0" w:after="0" w:line="360" w:lineRule="auto"/>
        <w:ind w:firstLine="0" w:left="0"/>
        <w:jc w:val="left"/>
      </w:pPr>
      <w:r>
        <w:rPr>
          <w:b/>
          <w:i w:val="0"/>
          <w:sz w:val="22"/>
        </w:rPr>
        <w:t>REFERÊNCIAS</w:t>
      </w:r>
      <w:r>
        <w:rPr>
          <w:b/>
          <w:i w:val="0"/>
          <w:sz w:val="22"/>
        </w:rPr>
        <w:tab/>
        <w:t>13</w:t>
      </w:r>
    </w:p>
    <w:p>
      <w:pPr>
        <w:tabs>
          <w:tab w:pos="9071" w:val="right" w:leader="dot"/>
        </w:tabs>
        <w:spacing w:before="0" w:after="0" w:line="360" w:lineRule="auto"/>
        <w:ind w:firstLine="0" w:left="0"/>
        <w:jc w:val="left"/>
      </w:pPr>
      <w:r>
        <w:rPr>
          <w:b/>
          <w:i w:val="0"/>
          <w:sz w:val="22"/>
        </w:rPr>
        <w:t>APÊNDICE A – LISTA DE VERIFICAÇÃO</w:t>
      </w:r>
      <w:r>
        <w:rPr>
          <w:b/>
          <w:i w:val="0"/>
          <w:sz w:val="22"/>
        </w:rPr>
        <w:tab/>
        <w:t>14</w:t>
      </w:r>
    </w:p>
    <w:p>
      <w:pPr>
        <w:tabs>
          <w:tab w:pos="9071" w:val="right" w:leader="dot"/>
        </w:tabs>
        <w:spacing w:before="0" w:after="0" w:line="360" w:lineRule="auto"/>
        <w:ind w:firstLine="0" w:left="0"/>
        <w:jc w:val="left"/>
      </w:pPr>
      <w:r>
        <w:rPr>
          <w:b/>
          <w:i w:val="0"/>
          <w:sz w:val="22"/>
        </w:rPr>
        <w:t>APÊNDICE B – METODOLOGIA E LIMITES</w:t>
      </w:r>
      <w:r>
        <w:rPr>
          <w:b/>
          <w:i w:val="0"/>
          <w:sz w:val="22"/>
        </w:rPr>
        <w:tab/>
        <w:t>14</w:t>
      </w:r>
    </w:p>
    <w:p>
      <w:r>
        <w:br w:type="page"/>
      </w:r>
    </w:p>
    <w:p>
      <w:pPr>
        <w:pStyle w:val="Heading1"/>
        <w:keepNext/>
        <w:spacing w:before="360" w:after="160" w:line="360" w:lineRule="auto"/>
        <w:ind w:firstLine="0"/>
        <w:jc w:val="left"/>
      </w:pPr>
      <w:r>
        <w:rPr>
          <w:rFonts w:ascii="Arial" w:hAnsi="Arial"/>
          <w:b/>
          <w:i w:val="0"/>
          <w:color w:val="12324A"/>
          <w:sz w:val="24"/>
        </w:rPr>
        <w:t>1 PAINEL EXECUTIVO</w:t>
      </w:r>
    </w:p>
    <w:p>
      <w:pPr>
        <w:spacing w:before="0" w:after="160" w:line="360" w:lineRule="auto"/>
        <w:ind w:firstLine="0"/>
        <w:jc w:val="both"/>
      </w:pPr>
      <w:r>
        <w:rPr>
          <w:b w:val="0"/>
          <w:i/>
          <w:color w:val="66757F"/>
          <w:sz w:val="20"/>
        </w:rPr>
        <w:t>Visão geral do resultado. O detalhamento, com o texto legal e os precedentes, está na seção 3.</w:t>
      </w:r>
    </w:p>
    <w:tbl>
      <w:tblPr>
        <w:tblW w:type="auto" w:w="0"/>
        <w:jc w:val="center"/>
        <w:tblLook w:firstColumn="1" w:firstRow="1" w:lastColumn="0" w:lastRow="0" w:noHBand="0" w:noVBand="1" w:val="04A0"/>
        <w:tblLayout w:type="fixed"/>
      </w:tblPr>
      <w:tblGrid>
        <w:gridCol w:w="2012"/>
        <w:gridCol w:w="340"/>
        <w:gridCol w:w="2012"/>
        <w:gridCol w:w="340"/>
        <w:gridCol w:w="2012"/>
        <w:gridCol w:w="340"/>
        <w:gridCol w:w="2012"/>
      </w:tblGrid>
      <w:tr>
        <w:tc>
          <w:tcPr>
            <w:tcW w:type="dxa" w:w="2013"/>
            <w:tcBorders>
              <w:top w:val="nil"/>
              <w:left w:val="nil"/>
              <w:bottom w:val="nil"/>
              <w:right w:val="nil"/>
              <w:top w:val="single" w:sz="24" w:color="B23A48" w:space="0"/>
              <w:left w:val="nil"/>
              <w:bottom w:val="nil"/>
              <w:right w:val="nil"/>
            </w:tcBorders>
            <w:shd w:val="clear" w:color="auto" w:fill="F8E6E8"/>
            <w:tcMar>
              <w:top w:w="113" w:type="dxa"/>
              <w:left w:w="113" w:type="dxa"/>
              <w:bottom w:w="113" w:type="dxa"/>
              <w:right w:w="113" w:type="dxa"/>
            </w:tcMar>
          </w:tcPr>
          <w:p>
            <w:pPr>
              <w:spacing w:before="0" w:after="0" w:line="240" w:lineRule="auto"/>
              <w:ind w:firstLine="0"/>
              <w:jc w:val="left"/>
            </w:pPr>
            <w:r>
              <w:rPr>
                <w:b/>
                <w:i w:val="0"/>
                <w:color w:val="B23A48"/>
                <w:sz w:val="48"/>
              </w:rPr>
              <w:t>0</w:t>
            </w:r>
          </w:p>
          <w:p>
            <w:pPr>
              <w:spacing w:before="0" w:after="40" w:line="240" w:lineRule="auto"/>
              <w:ind w:firstLine="0"/>
              <w:jc w:val="left"/>
            </w:pPr>
            <w:r>
              <w:rPr>
                <w:b/>
                <w:i w:val="0"/>
                <w:color w:val="1E2A32"/>
                <w:sz w:val="14"/>
              </w:rPr>
              <w:t>GRAVIDADE ALTA</w:t>
            </w:r>
          </w:p>
        </w:tc>
        <w:tc>
          <w:tcPr>
            <w:tcW w:type="dxa" w:w="340"/>
            <w:tcBorders>
              <w:top w:val="nil"/>
              <w:left w:val="nil"/>
              <w:bottom w:val="nil"/>
              <w:right w:val="nil"/>
            </w:tcBorders>
          </w:tcPr>
          <w:p/>
        </w:tc>
        <w:tc>
          <w:tcPr>
            <w:tcW w:type="dxa" w:w="2013"/>
            <w:tcBorders>
              <w:top w:val="nil"/>
              <w:left w:val="nil"/>
              <w:bottom w:val="nil"/>
              <w:right w:val="nil"/>
              <w:top w:val="single" w:sz="24" w:color="C9781E" w:space="0"/>
              <w:left w:val="nil"/>
              <w:bottom w:val="nil"/>
              <w:right w:val="nil"/>
            </w:tcBorders>
            <w:shd w:val="clear" w:color="auto" w:fill="FBEEDD"/>
            <w:tcMar>
              <w:top w:w="113" w:type="dxa"/>
              <w:left w:w="113" w:type="dxa"/>
              <w:bottom w:w="113" w:type="dxa"/>
              <w:right w:w="113" w:type="dxa"/>
            </w:tcMar>
          </w:tcPr>
          <w:p>
            <w:pPr>
              <w:spacing w:before="0" w:after="0" w:line="240" w:lineRule="auto"/>
              <w:ind w:firstLine="0"/>
              <w:jc w:val="left"/>
            </w:pPr>
            <w:r>
              <w:rPr>
                <w:b/>
                <w:i w:val="0"/>
                <w:color w:val="C9781E"/>
                <w:sz w:val="48"/>
              </w:rPr>
              <w:t>3</w:t>
            </w:r>
          </w:p>
          <w:p>
            <w:pPr>
              <w:spacing w:before="0" w:after="40" w:line="240" w:lineRule="auto"/>
              <w:ind w:firstLine="0"/>
              <w:jc w:val="left"/>
            </w:pPr>
            <w:r>
              <w:rPr>
                <w:b/>
                <w:i w:val="0"/>
                <w:color w:val="1E2A32"/>
                <w:sz w:val="14"/>
              </w:rPr>
              <w:t>GRAVIDADE MÉDIA</w:t>
            </w:r>
          </w:p>
        </w:tc>
        <w:tc>
          <w:tcPr>
            <w:tcW w:type="dxa" w:w="340"/>
            <w:tcBorders>
              <w:top w:val="nil"/>
              <w:left w:val="nil"/>
              <w:bottom w:val="nil"/>
              <w:right w:val="nil"/>
            </w:tcBorders>
          </w:tcPr>
          <w:p/>
        </w:tc>
        <w:tc>
          <w:tcPr>
            <w:tcW w:type="dxa" w:w="2013"/>
            <w:tcBorders>
              <w:top w:val="nil"/>
              <w:left w:val="nil"/>
              <w:bottom w:val="nil"/>
              <w:right w:val="nil"/>
              <w:top w:val="single" w:sz="24" w:color="3D8FA6" w:space="0"/>
              <w:left w:val="nil"/>
              <w:bottom w:val="nil"/>
              <w:right w:val="nil"/>
            </w:tcBorders>
            <w:shd w:val="clear" w:color="auto" w:fill="E3F1F5"/>
            <w:tcMar>
              <w:top w:w="113" w:type="dxa"/>
              <w:left w:w="113" w:type="dxa"/>
              <w:bottom w:w="113" w:type="dxa"/>
              <w:right w:w="113" w:type="dxa"/>
            </w:tcMar>
          </w:tcPr>
          <w:p>
            <w:pPr>
              <w:spacing w:before="0" w:after="0" w:line="240" w:lineRule="auto"/>
              <w:ind w:firstLine="0"/>
              <w:jc w:val="left"/>
            </w:pPr>
            <w:r>
              <w:rPr>
                <w:b/>
                <w:i w:val="0"/>
                <w:color w:val="3D8FA6"/>
                <w:sz w:val="48"/>
              </w:rPr>
              <w:t>2</w:t>
            </w:r>
          </w:p>
          <w:p>
            <w:pPr>
              <w:spacing w:before="0" w:after="40" w:line="240" w:lineRule="auto"/>
              <w:ind w:firstLine="0"/>
              <w:jc w:val="left"/>
            </w:pPr>
            <w:r>
              <w:rPr>
                <w:b/>
                <w:i w:val="0"/>
                <w:color w:val="1E2A32"/>
                <w:sz w:val="14"/>
              </w:rPr>
              <w:t>GRAVIDADE BAIXA</w:t>
            </w:r>
          </w:p>
        </w:tc>
        <w:tc>
          <w:tcPr>
            <w:tcW w:type="dxa" w:w="340"/>
            <w:tcBorders>
              <w:top w:val="nil"/>
              <w:left w:val="nil"/>
              <w:bottom w:val="nil"/>
              <w:right w:val="nil"/>
            </w:tcBorders>
          </w:tcPr>
          <w:p/>
        </w:tc>
        <w:tc>
          <w:tcPr>
            <w:tcW w:type="dxa" w:w="2013"/>
            <w:tcBorders>
              <w:top w:val="nil"/>
              <w:left w:val="nil"/>
              <w:bottom w:val="nil"/>
              <w:right w:val="nil"/>
              <w:top w:val="single" w:sz="24" w:color="2E8B57" w:space="0"/>
              <w:left w:val="nil"/>
              <w:bottom w:val="nil"/>
              <w:right w:val="nil"/>
            </w:tcBorders>
            <w:shd w:val="clear" w:color="auto" w:fill="E3F2EA"/>
            <w:tcMar>
              <w:top w:w="113" w:type="dxa"/>
              <w:left w:w="113" w:type="dxa"/>
              <w:bottom w:w="113" w:type="dxa"/>
              <w:right w:w="113" w:type="dxa"/>
            </w:tcMar>
          </w:tcPr>
          <w:p>
            <w:pPr>
              <w:spacing w:before="0" w:after="0" w:line="240" w:lineRule="auto"/>
              <w:ind w:firstLine="0"/>
              <w:jc w:val="left"/>
            </w:pPr>
            <w:r>
              <w:rPr>
                <w:b/>
                <w:i w:val="0"/>
                <w:color w:val="2E8B57"/>
                <w:sz w:val="48"/>
              </w:rPr>
              <w:t>0</w:t>
            </w:r>
          </w:p>
          <w:p>
            <w:pPr>
              <w:spacing w:before="0" w:after="40" w:line="240" w:lineRule="auto"/>
              <w:ind w:firstLine="0"/>
              <w:jc w:val="left"/>
            </w:pPr>
            <w:r>
              <w:rPr>
                <w:b/>
                <w:i w:val="0"/>
                <w:color w:val="1E2A32"/>
                <w:sz w:val="14"/>
              </w:rPr>
              <w:t>MELHORIAS</w:t>
            </w:r>
          </w:p>
        </w:tc>
      </w:tr>
    </w:tbl>
    <w:p>
      <w:pPr>
        <w:spacing w:before="0" w:after="80" w:line="240" w:lineRule="auto"/>
        <w:ind w:firstLine="0"/>
        <w:jc w:val="both"/>
      </w:pPr>
    </w:p>
    <w:p>
      <w:pPr>
        <w:spacing w:before="0" w:after="40" w:line="240" w:lineRule="auto"/>
        <w:ind w:firstLine="0"/>
        <w:jc w:val="center"/>
      </w:pPr>
      <w:r>
        <w:drawing>
          <wp:inline xmlns:a="http://schemas.openxmlformats.org/drawingml/2006/main" xmlns:pic="http://schemas.openxmlformats.org/drawingml/2006/picture">
            <wp:extent cx="5760000" cy="225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250000"/>
                    </a:xfrm>
                    <a:prstGeom prst="rect"/>
                  </pic:spPr>
                </pic:pic>
              </a:graphicData>
            </a:graphic>
          </wp:inline>
        </w:drawing>
      </w:r>
    </w:p>
    <w:p>
      <w:pPr>
        <w:spacing w:before="0" w:after="240" w:line="240" w:lineRule="auto"/>
        <w:ind w:firstLine="0"/>
        <w:jc w:val="left"/>
      </w:pPr>
      <w:r>
        <w:rPr>
          <w:b/>
          <w:i w:val="0"/>
          <w:color w:val="66757F"/>
          <w:sz w:val="15"/>
        </w:rPr>
        <w:t xml:space="preserve">Índice de conformidade: </w:t>
      </w:r>
      <w:r>
        <w:rPr>
          <w:b w:val="0"/>
          <w:i w:val="0"/>
          <w:color w:val="66757F"/>
          <w:sz w:val="15"/>
        </w:rPr>
        <w:t>itens conformes mais metade dos parcialmente conformes, divididos pelos itens aplicáveis e verificáveis. Indicador de leitura rápida; não substitui o exame de cada apontamento.</w:t>
      </w:r>
    </w:p>
    <w:p>
      <w:pPr>
        <w:spacing w:before="0" w:after="120" w:line="240" w:lineRule="auto"/>
        <w:ind w:firstLine="0"/>
        <w:jc w:val="both"/>
      </w:pPr>
      <w:r>
        <w:rPr>
          <w:b/>
          <w:i w:val="0"/>
          <w:color w:val="1F7A8C"/>
          <w:sz w:val="18"/>
        </w:rPr>
        <w:t>PRINCIPAIS ACHADOS</w:t>
      </w:r>
    </w:p>
    <w:tbl>
      <w:tblPr>
        <w:tblW w:type="auto" w:w="0"/>
        <w:jc w:val="center"/>
        <w:tblLook w:firstColumn="1" w:firstRow="1" w:lastColumn="0" w:lastRow="0" w:noHBand="0" w:noVBand="1" w:val="04A0"/>
        <w:tblLayout w:type="fixed"/>
      </w:tblPr>
      <w:tblGrid>
        <w:gridCol w:w="567"/>
        <w:gridCol w:w="4876"/>
        <w:gridCol w:w="1474"/>
        <w:gridCol w:w="2154"/>
      </w:tblGrid>
      <w:tr>
        <w:tc>
          <w:tcPr>
            <w:tcW w:type="dxa" w:w="567"/>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ITEM</w:t>
            </w:r>
          </w:p>
        </w:tc>
        <w:tc>
          <w:tcPr>
            <w:tcW w:type="dxa" w:w="4876"/>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ACHADO</w:t>
            </w:r>
          </w:p>
        </w:tc>
        <w:tc>
          <w:tcPr>
            <w:tcW w:type="dxa" w:w="147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GRAVIDADE</w:t>
            </w:r>
          </w:p>
        </w:tc>
        <w:tc>
          <w:tcPr>
            <w:tcW w:type="dxa" w:w="215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DISPOSITIVO</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Justificativa dos elementos não contemplados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18, § 2º</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Ausência de estimativa de despesa, justificativa de preço e razão da escolha do contratado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72, inciso II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Adequação do enquadramento como dispensa emergencial (art. 75, VIII)</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75, inciso VIII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Dispensa do termo de referência sem documento equivalente</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72, inciso I</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Exposição de dados sensíveis de saúde de menor no documento do processo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w:t>
            </w:r>
          </w:p>
        </w:tc>
      </w:tr>
    </w:tbl>
    <w:p>
      <w:r>
        <w:br w:type="page"/>
      </w:r>
    </w:p>
    <w:tbl>
      <w:tblPr>
        <w:tblW w:type="auto" w:w="0"/>
        <w:jc w:val="center"/>
        <w:tblLook w:firstColumn="1" w:firstRow="1" w:lastColumn="0" w:lastRow="0" w:noHBand="0" w:noVBand="1" w:val="04A0"/>
        <w:tblLayout w:type="fixed"/>
      </w:tblPr>
      <w:tblGrid>
        <w:gridCol w:w="1814"/>
        <w:gridCol w:w="7257"/>
      </w:tblGrid>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PARECER TÉCNICO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nº F2E7/2026</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INTERESSADO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Prefeitura Municipal de Maricá – Secretaria de Saúde</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ASSUNTO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Análise de conformidade — Fornecimento de sabonete líquido de glicerina, loção protetora infantil, shampoo neutro e vitamina D3 em gotas (400 UI), em cumprimento a determinação judicial</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REFERÊNCIA</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Processo 10247/2026 (PNCP 29131075000193-1-000277/2026)</w:t>
            </w:r>
          </w:p>
        </w:tc>
      </w:tr>
    </w:tbl>
    <w:p>
      <w:pPr>
        <w:spacing w:before="0" w:after="200" w:line="240" w:lineRule="auto"/>
        <w:ind w:firstLine="0"/>
        <w:jc w:val="both"/>
      </w:pPr>
    </w:p>
    <w:p>
      <w:pPr>
        <w:spacing w:before="0" w:after="80" w:line="240" w:lineRule="auto"/>
        <w:ind w:firstLine="0" w:left="3402"/>
        <w:jc w:val="both"/>
      </w:pPr>
      <w:r>
        <w:rPr>
          <w:b/>
          <w:i w:val="0"/>
          <w:color w:val="12324A"/>
          <w:sz w:val="20"/>
        </w:rPr>
        <w:t xml:space="preserve">EMENTA: </w:t>
      </w:r>
      <w:r>
        <w:rPr>
          <w:b/>
          <w:i w:val="0"/>
          <w:sz w:val="20"/>
        </w:rPr>
        <w:t xml:space="preserve">ETP DISPENSADO. CONTRATAÇÃO DIRETA. DISPENSA EMERGENCIAL. DETERMINAÇÃO JUDICIAL. INSUMOS DE SAÚDE. JUSTIFICATIVA GENÉRICA. ENQUADRAMENTO LEGAL. ESTIMATIVA DE DESPESA. JUSTIFICATIVA DE PREÇO. ART. 72. </w:t>
      </w:r>
      <w:r>
        <w:rPr>
          <w:b w:val="0"/>
          <w:i w:val="0"/>
          <w:sz w:val="20"/>
        </w:rPr>
        <w:t>O documento enviado como ETP é, na verdade, uma justificativa de não elaboração do estudo em dispensa de licitação para fornecimento de insumos determinados judicialmente a paciente menor. A urgência e a determinação judicial estão bem descritas. A motivação da dispensa do ETP, porém, é genérica (custo e tempo) e se apoia em dispositivo do decreto municipal cuja abrangência quanto ao art. 75, VIII, não está clara. O documento também não traz estimativa de despesa, justificativa de preço nem razão da escolha do contratado.</w:t>
      </w:r>
    </w:p>
    <w:p>
      <w:pPr>
        <w:spacing w:before="0" w:after="120" w:line="240" w:lineRule="auto"/>
        <w:ind w:firstLine="0"/>
        <w:jc w:val="both"/>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1F7A8C" w:space="0"/>
              <w:bottom w:val="nil"/>
              <w:right w:val="nil"/>
            </w:tcBorders>
            <w:shd w:val="clear" w:color="auto" w:fill="EEF4F6"/>
            <w:tcMar>
              <w:top w:w="170" w:type="dxa"/>
              <w:left w:w="170" w:type="dxa"/>
              <w:bottom w:w="170" w:type="dxa"/>
              <w:right w:w="170" w:type="dxa"/>
            </w:tcMar>
          </w:tcPr>
          <w:p>
            <w:pPr>
              <w:spacing w:before="0" w:after="80" w:line="264" w:lineRule="auto"/>
              <w:ind w:firstLine="0"/>
              <w:jc w:val="left"/>
            </w:pPr>
            <w:r>
              <w:rPr>
                <w:b/>
                <w:i w:val="0"/>
                <w:color w:val="1F7A8C"/>
                <w:sz w:val="18"/>
              </w:rPr>
              <w:t>NATUREZA OPINATIVA DESTE PARECER</w:t>
            </w:r>
          </w:p>
          <w:p>
            <w:pPr>
              <w:spacing w:before="0" w:after="80" w:line="276" w:lineRule="auto"/>
              <w:ind w:firstLine="0"/>
              <w:jc w:val="both"/>
            </w:pPr>
            <w:r>
              <w:rPr>
                <w:b w:val="0"/>
                <w:i w:val="0"/>
                <w:sz w:val="19"/>
              </w:rPr>
              <w:t>Este parecer técnico tem natureza exclusivamente opinativa. Ele expõe a análise de conformidade dos documentos examinados, aponta todos os aspectos identificados — dos críticos aos de baixa vulnerabilidade — e recomenda providências, mas não vincula quem o recebe.</w:t>
            </w:r>
          </w:p>
          <w:p>
            <w:pPr>
              <w:spacing w:before="0" w:after="80" w:line="276" w:lineRule="auto"/>
              <w:ind w:firstLine="0"/>
              <w:jc w:val="both"/>
            </w:pPr>
            <w:r>
              <w:rPr>
                <w:b w:val="0"/>
                <w:i w:val="0"/>
                <w:sz w:val="19"/>
              </w:rPr>
              <w:t>A decisão de adotar, total ou parcialmente, as recomendações, ou de manter o documento como está, é de competência e responsabilidade exclusivas do destinatário (o agente público, a autoridade competente ou o contratante), que deve ponderá-las com os demais elementos do processo.</w:t>
            </w:r>
          </w:p>
          <w:p>
            <w:pPr>
              <w:spacing w:before="0" w:after="80" w:line="276" w:lineRule="auto"/>
              <w:ind w:firstLine="0"/>
              <w:jc w:val="both"/>
            </w:pPr>
            <w:r>
              <w:rPr>
                <w:b w:val="0"/>
                <w:i w:val="0"/>
                <w:sz w:val="19"/>
              </w:rPr>
              <w:t>Fundamento: o Supremo Tribunal Federal distingue o parecer facultativo, o obrigatório e o vinculante; no parecer facultativo e no obrigatório não vinculante, a autoridade não fica adstrita à opinião emitida e responde pela decisão que tomar (STF, MS 24.631/DF, Plenário, rel. Min. Joaquim Barbosa, j. 9 ago. 2007). A distinção entre parecer vinculante e não vinculante também consta da Lei nº 9.784/1999 (art. 42, §§ 1º e 2º). A Lei de Introdução às Normas do Direito Brasileiro estabelece que o agente público responde pessoalmente por suas decisões ou opiniões técnicas em caso de dolo ou erro grosseiro (art. 28).</w:t>
            </w:r>
          </w:p>
          <w:p>
            <w:pPr>
              <w:spacing w:before="0" w:after="80" w:line="276" w:lineRule="auto"/>
              <w:ind w:firstLine="0"/>
              <w:jc w:val="both"/>
            </w:pPr>
            <w:r>
              <w:rPr>
                <w:b w:val="0"/>
                <w:i w:val="0"/>
                <w:sz w:val="19"/>
              </w:rPr>
              <w:t>Este parecer, contratado livremente e sem previsão legal que o torne obrigatório ou vinculante, não substitui o parecer jurídico de controle prévio de legalidade (art. 53 da Lei nº 14.133/2021) nem a manifestação dos órgãos de assessoramento e controle.</w:t>
            </w:r>
          </w:p>
        </w:tc>
      </w:tr>
    </w:tbl>
    <w:p>
      <w:pPr>
        <w:spacing w:before="0" w:after="120" w:line="240" w:lineRule="auto"/>
        <w:ind w:firstLine="0"/>
        <w:jc w:val="both"/>
      </w:pPr>
    </w:p>
    <w:p>
      <w:pPr>
        <w:pStyle w:val="Heading1"/>
        <w:keepNext/>
        <w:spacing w:before="360" w:after="160" w:line="360" w:lineRule="auto"/>
        <w:ind w:firstLine="0"/>
        <w:jc w:val="left"/>
      </w:pPr>
      <w:r>
        <w:rPr>
          <w:rFonts w:ascii="Arial" w:hAnsi="Arial"/>
          <w:b/>
          <w:i w:val="0"/>
          <w:color w:val="12324A"/>
          <w:sz w:val="24"/>
        </w:rPr>
        <w:t>2 RELATÓRIO</w:t>
      </w:r>
    </w:p>
    <w:p>
      <w:pPr>
        <w:spacing w:before="0" w:after="120" w:line="360" w:lineRule="auto"/>
        <w:ind w:firstLine="709"/>
        <w:jc w:val="both"/>
      </w:pPr>
      <w:r>
        <w:rPr>
          <w:b w:val="0"/>
          <w:i w:val="0"/>
        </w:rPr>
        <w:t>Trata-se de análise técnica de conformidade solicitada em relação ao processo Processo 10247/2026 (PNCP 29131075000193-1-000277/2026), do Prefeitura Municipal de Maricá – Secretaria de Saúde, cujo objeto é: Fornecimento de sabonete líquido de glicerina, loção protetora infantil, shampoo neutro e vitamina D3 em gotas (400 UI), em cumprimento a determinação judicial.</w:t>
      </w:r>
    </w:p>
    <w:p>
      <w:pPr>
        <w:spacing w:before="0" w:after="120" w:line="360" w:lineRule="auto"/>
        <w:ind w:firstLine="709"/>
        <w:jc w:val="both"/>
      </w:pPr>
      <w:r>
        <w:rPr>
          <w:b w:val="0"/>
          <w:i w:val="0"/>
        </w:rPr>
        <w:t>Foram examinados os seguintes documentos: Estudo Técnico Preliminar (https://pncp.gov.br/app/editais/29131075000193/2026/277, 2 páginas). O exame teve por parâmetro a Lei 14.133/2021, aplicando-se o roteiro de verificação Licitacon (versão 2026-10-29), com 18 itens pertinentes ao caso.</w:t>
      </w:r>
    </w:p>
    <w:p>
      <w:pPr>
        <w:spacing w:before="0" w:after="120" w:line="360" w:lineRule="auto"/>
        <w:ind w:firstLine="709"/>
        <w:jc w:val="both"/>
      </w:pPr>
      <w:r>
        <w:rPr>
          <w:b w:val="0"/>
          <w:i w:val="0"/>
        </w:rPr>
        <w:t>O documento, de 3 páginas, não contém um ETP. Contém a justificativa de não elaboração do estudo, fundamentada no art. 5º, § 1º, do Decreto Municipal 78/2025, que prevê a elaboração facultativa em certas hipóteses de dispensa. Descreve-se a contratação direta, com base no art. 75, VIII, da Lei 14.133/2021, de sabonete líquido, loção infantil, shampoo e vitamina D3. Os itens decorrem de determinação judicial e de laudo médico de paciente menor com APLV, com urgência no atendimento. O documento registra também a dispensa do termo de referência, pois objeto e quantitativo foram fixados pelo Judiciário. Por se tratar de contratação direta, o ETP é exigido apenas "se for o caso" (art. 72, I), e os itens de conteúdo do roteiro foram tratados como não aplicáveis. A motivação da dispensa foi avaliada no item etp-14. A despesa de R$ 2.647,47 já foi homologada, de modo que as providências se dirigem à regularização documental do processo e aos próximos atendimentos da mesma demanda.</w:t>
      </w:r>
    </w:p>
    <w:p>
      <w:pPr>
        <w:spacing w:before="0" w:after="120" w:line="360" w:lineRule="auto"/>
        <w:ind w:firstLine="709"/>
        <w:jc w:val="both"/>
      </w:pPr>
      <w:r>
        <w:rPr>
          <w:b w:val="0"/>
          <w:i w:val="0"/>
        </w:rPr>
        <w:t>É o relatório. Passa-se à fundamentação.</w:t>
      </w:r>
    </w:p>
    <w:p>
      <w:pPr>
        <w:pStyle w:val="Heading1"/>
        <w:keepNext/>
        <w:spacing w:before="360" w:after="160" w:line="360" w:lineRule="auto"/>
        <w:ind w:firstLine="0"/>
        <w:jc w:val="left"/>
      </w:pPr>
      <w:r>
        <w:rPr>
          <w:rFonts w:ascii="Arial" w:hAnsi="Arial"/>
          <w:b/>
          <w:i w:val="0"/>
          <w:color w:val="12324A"/>
          <w:sz w:val="24"/>
        </w:rPr>
        <w:t>3 FUNDAMENTAÇÃO</w:t>
      </w:r>
    </w:p>
    <w:p>
      <w:pPr>
        <w:spacing w:before="0" w:after="120" w:line="360" w:lineRule="auto"/>
        <w:ind w:firstLine="709"/>
        <w:jc w:val="both"/>
      </w:pPr>
      <w:r>
        <w:rPr>
          <w:b w:val="0"/>
          <w:i w:val="0"/>
        </w:rPr>
        <w:t>Cada apontamento indica a constatação no documento, o dispositivo legal aplicável (transcrito do texto oficial vigente), a análise do caso, o risco de manutenção, a providência recomendada e os precedentes localizados na Biblioteca Licitacon.</w:t>
      </w:r>
    </w:p>
    <w:p>
      <w:pPr>
        <w:pStyle w:val="Heading2"/>
        <w:keepNext/>
        <w:spacing w:before="240" w:after="160" w:line="360" w:lineRule="auto"/>
        <w:ind w:firstLine="0"/>
        <w:jc w:val="left"/>
      </w:pPr>
      <w:r>
        <w:rPr>
          <w:rFonts w:ascii="Arial" w:hAnsi="Arial"/>
          <w:b/>
          <w:i w:val="0"/>
          <w:color w:val="12324A"/>
          <w:sz w:val="24"/>
        </w:rPr>
        <w:t>3.1 Justificativa dos elementos não contemplados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Estudo Técnico Preliminar, Página 1, parágrafo após a transcrição do art. 5º do Decreto Municipal 78/2025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justificativa para não elaborar o ETP é genérica. Invoca "custos envolvidos" e "tempo necessário", sem demonstrar concretamente, no caso, por que um estudo simplificado seria inviável. Há ainda dúvida sobre a base normativa invocada. O § 1º do art. 5º do decreto municipal citado, no texto lido por OCR, prevê a elaboração facultativa para os incisos "I, II, VI e VI" do art. 75 (provavelmente I, II, VI e VII) e para o § 7º do art. 90, sem mencionar claramente o inciso VIII. O § 3º do mesmo artigo cita o inciso VIII apenas para dispensar o gerenciamento de riscos, o que sugere que o ETP não seria dispensado nessa hipótese. Em contrapartida, a determinação judicial, o laudo médico e a urgência são fundamentos concretos que sustentam a dispensa do estudo.</w:t>
      </w:r>
    </w:p>
    <w:p>
      <w:pPr>
        <w:spacing w:before="0" w:after="120" w:line="360" w:lineRule="auto"/>
        <w:ind w:firstLine="709"/>
        <w:jc w:val="both"/>
      </w:pPr>
      <w:r>
        <w:rPr>
          <w:b w:val="0"/>
          <w:i w:val="0"/>
        </w:rPr>
        <w:t>O documento dispõe: “A não elaboração do documento pela equipe técnica responsável decorreu da análise dos custos envolvidos e do tempo necessário para sua confecção.” (Página 1, parágrafo após a transcrição do art. 5º do Decreto Municipal 78/2025).</w:t>
      </w:r>
    </w:p>
    <w:p>
      <w:pPr>
        <w:spacing w:before="0" w:after="80" w:line="360" w:lineRule="auto"/>
        <w:ind w:firstLine="709"/>
        <w:jc w:val="both"/>
      </w:pPr>
      <w:r>
        <w:rPr>
          <w:b/>
          <w:i w:val="0"/>
          <w:color w:val="12324A"/>
        </w:rPr>
        <w:t xml:space="preserve">Dispositivo aplicável. </w:t>
      </w:r>
      <w:r>
        <w:rPr>
          <w:b w:val="0"/>
          <w:i w:val="0"/>
        </w:rPr>
        <w:t>A matéria é disciplinada pelo art. 18, § 2º, da Lei 14.133/2021, que assim dispõe:</w:t>
      </w:r>
    </w:p>
    <w:p>
      <w:pPr>
        <w:spacing w:before="80" w:after="200" w:line="240" w:lineRule="auto"/>
        <w:ind w:firstLine="0" w:left="2268"/>
        <w:jc w:val="both"/>
      </w:pPr>
      <w:r>
        <w:rPr>
          <w:b w:val="0"/>
          <w:i w:val="0"/>
          <w:sz w:val="20"/>
        </w:rPr>
        <w:t>O estudo técnico preliminar deverá conter ao menos os elementos previstos nos incisos I, IV, VI, VIII e XIII do § 1º deste artigo e, quando não contemplar os demais elementos previstos no referido parágrafo, apresentar as devidas justificativas.</w:t>
      </w:r>
      <w:r>
        <w:rPr>
          <w:b w:val="0"/>
          <w:i w:val="0"/>
          <w:sz w:val="20"/>
        </w:rPr>
        <w:t xml:space="preserve"> (BRASIL, 2021, art. 18, § 2º)</w:t>
      </w:r>
    </w:p>
    <w:p>
      <w:pPr>
        <w:spacing w:before="0" w:after="120" w:line="360" w:lineRule="auto"/>
        <w:ind w:firstLine="709"/>
        <w:jc w:val="both"/>
      </w:pPr>
      <w:r>
        <w:rPr>
          <w:b/>
          <w:i w:val="0"/>
          <w:color w:val="12324A"/>
        </w:rPr>
        <w:t xml:space="preserve">Análise. </w:t>
      </w:r>
      <w:r>
        <w:rPr>
          <w:b w:val="0"/>
          <w:i w:val="0"/>
        </w:rPr>
        <w:t>Na contratação direta, o ETP é exigido "se for o caso" (art. 72, I), e a sua dispensa deve ser motivada de forma específica. Alegar custo e tempo de forma abstrata não demonstra a inviabilidade de um estudo simplificado. Se o decreto não abrange o inciso VIII do art. 75, a dispensa fica sem amparo normativo local. Os elementos do art. 18, § 1º, que não foram tratados exigiriam justificativa específica (art. 18, § 2º).</w:t>
      </w:r>
    </w:p>
    <w:p>
      <w:pPr>
        <w:spacing w:before="0" w:after="120" w:line="360" w:lineRule="auto"/>
        <w:ind w:firstLine="709"/>
        <w:jc w:val="both"/>
      </w:pPr>
      <w:r>
        <w:rPr>
          <w:b/>
          <w:i w:val="0"/>
          <w:color w:val="C9781E"/>
        </w:rPr>
        <w:t xml:space="preserve">Risco de manutenção. </w:t>
      </w:r>
      <w:r>
        <w:rPr>
          <w:b w:val="0"/>
          <w:i w:val="0"/>
        </w:rPr>
        <w:t>A dispensa do ETP pode ser considerada insuficientemente motivada pelo controle, com apontamento de falha na instrução do processo de contratação direta.</w:t>
      </w:r>
    </w:p>
    <w:p>
      <w:pPr>
        <w:spacing w:before="0" w:after="120" w:line="360" w:lineRule="auto"/>
        <w:ind w:firstLine="709"/>
        <w:jc w:val="both"/>
      </w:pPr>
      <w:r>
        <w:rPr>
          <w:b/>
          <w:i w:val="0"/>
          <w:color w:val="12324A"/>
        </w:rPr>
        <w:t xml:space="preserve">Providência recomendada. </w:t>
      </w:r>
      <w:r>
        <w:rPr>
          <w:b w:val="0"/>
          <w:i w:val="0"/>
        </w:rPr>
        <w:t>Complementar a justificativa com os fatos concretos do caso: prazo fixado na ordem judicial, risco clínico documentado, objeto e quantitativo predefinidos e valor reduzido. Confirmar, na versão oficial do Decreto Municipal 78/2025, se o inciso VIII do art. 75 está entre as hipóteses de elaboração facultativa. Se não estiver, registrar a justificativa excepcional ou elaborar um ETP simplificado, ainda que a posteriori, no processo.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elaboração do Estudo Técnico Preliminar é dispensada, nos termos do art. 72, I, da Lei 14.133/2021 e do art. 5º, § 1º, do Decreto Municipal nº 78/2025, porque o objeto, o quantitativo e o prazo de entrega foram fixados pela decisão judicial proferida no processo nº [...], e o laudo médico anexo demonstra risco iminente de agravamento clínico do paciente, o que torna inviável aguardar a elaboração do estudo sem comprometer o cumprimento da ordem. A necessidade, a solução e os parâmetros da contratação decorrem integralmente da decisão e do laudo, que integram o processo.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3.2 Ausência de estimativa de despesa, justificativa de preço e razão da escolha do contratado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Estudo Técnico Preliminar, Página 2, último parágrafo</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documento menciona apenas "a proposta comercial obtida". Não traz estimativa de despesa, pesquisa de preços, justificativa de preço nem as razões da escolha do fornecedor. Também não há identificação do contratado nem indicação do quantitativo. Esses elementos podem constar de outras peças do processo, que não foram enviadas.</w:t>
      </w:r>
    </w:p>
    <w:p>
      <w:pPr>
        <w:spacing w:before="0" w:after="120" w:line="360" w:lineRule="auto"/>
        <w:ind w:firstLine="709"/>
        <w:jc w:val="both"/>
      </w:pPr>
      <w:r>
        <w:rPr>
          <w:b w:val="0"/>
          <w:i w:val="0"/>
        </w:rPr>
        <w:t>O documento dispõe: “e na proposta comercial obtida” (Página 2, último parágrafo).</w:t>
      </w:r>
    </w:p>
    <w:p>
      <w:pPr>
        <w:spacing w:before="0" w:after="80" w:line="360" w:lineRule="auto"/>
        <w:ind w:firstLine="709"/>
        <w:jc w:val="both"/>
      </w:pPr>
      <w:r>
        <w:rPr>
          <w:b/>
          <w:i w:val="0"/>
          <w:color w:val="12324A"/>
        </w:rPr>
        <w:t xml:space="preserve">Dispositivo aplicável. </w:t>
      </w:r>
      <w:r>
        <w:rPr>
          <w:b w:val="0"/>
          <w:i w:val="0"/>
        </w:rPr>
        <w:t>A matéria é disciplinada pelo art. 72, inciso II, pelo art. 72, inciso VI e pelo art. 72, inciso VII, da Lei 14.133/2021, que assim dispõem:</w:t>
      </w:r>
    </w:p>
    <w:p>
      <w:pPr>
        <w:spacing w:before="80" w:after="200" w:line="240" w:lineRule="auto"/>
        <w:ind w:firstLine="0" w:left="2268"/>
        <w:jc w:val="both"/>
      </w:pPr>
      <w:r>
        <w:rPr>
          <w:b w:val="0"/>
          <w:i w:val="0"/>
          <w:sz w:val="20"/>
        </w:rPr>
        <w:t>O processo de contratação direta, que compreende os casos de inexigibilidade e de dispensa de licitação, deverá ser instruído com os seguintes documentos: […] estimativa de despesa, que deverá ser calculada na forma estabelecida no art. 23 desta Lei;</w:t>
      </w:r>
      <w:r>
        <w:rPr>
          <w:b w:val="0"/>
          <w:i w:val="0"/>
          <w:sz w:val="20"/>
        </w:rPr>
        <w:t xml:space="preserve"> (BRASIL, 2021, art. 72, inciso II)</w:t>
      </w:r>
    </w:p>
    <w:p>
      <w:pPr>
        <w:spacing w:before="80" w:after="200" w:line="240" w:lineRule="auto"/>
        <w:ind w:firstLine="0" w:left="2268"/>
        <w:jc w:val="both"/>
      </w:pPr>
      <w:r>
        <w:rPr>
          <w:b w:val="0"/>
          <w:i w:val="0"/>
          <w:sz w:val="20"/>
        </w:rPr>
        <w:t>O processo de contratação direta, que compreende os casos de inexigibilidade e de dispensa de licitação, deverá ser instruído com os seguintes documentos: […] razão da escolha do contratado;</w:t>
      </w:r>
      <w:r>
        <w:rPr>
          <w:b w:val="0"/>
          <w:i w:val="0"/>
          <w:sz w:val="20"/>
        </w:rPr>
        <w:t xml:space="preserve"> (BRASIL, 2021, art. 72, inciso VI)</w:t>
      </w:r>
    </w:p>
    <w:p>
      <w:pPr>
        <w:spacing w:before="80" w:after="200" w:line="240" w:lineRule="auto"/>
        <w:ind w:firstLine="0" w:left="2268"/>
        <w:jc w:val="both"/>
      </w:pPr>
      <w:r>
        <w:rPr>
          <w:b w:val="0"/>
          <w:i w:val="0"/>
          <w:sz w:val="20"/>
        </w:rPr>
        <w:t>O processo de contratação direta, que compreende os casos de inexigibilidade e de dispensa de licitação, deverá ser instruído com os seguintes documentos: […] justificativa de preço;</w:t>
      </w:r>
      <w:r>
        <w:rPr>
          <w:b w:val="0"/>
          <w:i w:val="0"/>
          <w:sz w:val="20"/>
        </w:rPr>
        <w:t xml:space="preserve"> (BRASIL, 2021, art. 72, inciso VII)</w:t>
      </w:r>
    </w:p>
    <w:p>
      <w:pPr>
        <w:spacing w:before="0" w:after="120" w:line="360" w:lineRule="auto"/>
        <w:ind w:firstLine="709"/>
        <w:jc w:val="both"/>
      </w:pPr>
      <w:r>
        <w:rPr>
          <w:b/>
          <w:i w:val="0"/>
          <w:color w:val="12324A"/>
        </w:rPr>
        <w:t xml:space="preserve">Análise. </w:t>
      </w:r>
      <w:r>
        <w:rPr>
          <w:b w:val="0"/>
          <w:i w:val="0"/>
        </w:rPr>
        <w:t>Na contratação direta, estes elementos permanecem obrigatórios mesmo com a dispensa do ETP: estimativa de despesa (art. 72, II), razão da escolha do contratado (VI) e justificativa de preço (VII). Uma única proposta comercial, sem pesquisa de preços, não demonstra que o valor é compatível com o mercado.</w:t>
      </w:r>
    </w:p>
    <w:p>
      <w:pPr>
        <w:spacing w:before="0" w:after="120" w:line="360" w:lineRule="auto"/>
        <w:ind w:firstLine="709"/>
        <w:jc w:val="both"/>
      </w:pPr>
      <w:r>
        <w:rPr>
          <w:b/>
          <w:i w:val="0"/>
          <w:color w:val="C9781E"/>
        </w:rPr>
        <w:t xml:space="preserve">Risco de manutenção. </w:t>
      </w:r>
      <w:r>
        <w:rPr>
          <w:b w:val="0"/>
          <w:i w:val="0"/>
        </w:rPr>
        <w:t>Questionamento sobre sobrepreço e sobre a instrução do processo de contratação direta, já homologada em R$ 2.647,47.</w:t>
      </w:r>
    </w:p>
    <w:p>
      <w:pPr>
        <w:spacing w:before="0" w:after="120" w:line="360" w:lineRule="auto"/>
        <w:ind w:firstLine="709"/>
        <w:jc w:val="both"/>
      </w:pPr>
      <w:r>
        <w:rPr>
          <w:b/>
          <w:i w:val="0"/>
          <w:color w:val="12324A"/>
        </w:rPr>
        <w:t xml:space="preserve">Providência recomendada. </w:t>
      </w:r>
      <w:r>
        <w:rPr>
          <w:b w:val="0"/>
          <w:i w:val="0"/>
        </w:rPr>
        <w:t>Juntar ao processo a pesquisa de preços (painéis oficiais, contratações similares, outras cotações), a justificativa de preço e a razão da escolha do fornecedor. Verificar se esses elementos já constam de outras peças e indicá-los no processo.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3.3 Adequação do enquadramento como dispensa emergencial (art. 75, VIII)</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Estudo Técnico Preliminar, Página 2, parágrafo 2</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documento enquadra a contratação no inciso VIII do art. 75 por causa da urgência decorrente de determinação judicial. A emergência é motivada pelo risco clínico do paciente, mas o documento não demonstra a situação emergencial nos termos do inciso (risco de prejuízo ou comprometimento da segurança de pessoas), nem as limitações de prazo e de contratação dos bens necessários ao atendimento da situação. O valor, de R$ 2.647,47, também se enquadra nos limites de dispensa por pequeno valor do inciso II do art. 75, o que pode tornar desnecessário o enquadramento emergencial.</w:t>
      </w:r>
    </w:p>
    <w:p>
      <w:pPr>
        <w:spacing w:before="0" w:after="120" w:line="360" w:lineRule="auto"/>
        <w:ind w:firstLine="709"/>
        <w:jc w:val="both"/>
      </w:pPr>
      <w:r>
        <w:rPr>
          <w:b w:val="0"/>
          <w:i w:val="0"/>
        </w:rPr>
        <w:t>O documento dispõe: “a fundamentação legal de enquadramento da contratação almejada no inciso VIII do” (Página 2, parágrafo 2).</w:t>
      </w:r>
    </w:p>
    <w:p>
      <w:pPr>
        <w:spacing w:before="0" w:after="80" w:line="360" w:lineRule="auto"/>
        <w:ind w:firstLine="709"/>
        <w:jc w:val="both"/>
      </w:pPr>
      <w:r>
        <w:rPr>
          <w:b/>
          <w:i w:val="0"/>
          <w:color w:val="12324A"/>
        </w:rPr>
        <w:t xml:space="preserve">Dispositivo aplicável. </w:t>
      </w:r>
      <w:r>
        <w:rPr>
          <w:b w:val="0"/>
          <w:i w:val="0"/>
        </w:rPr>
        <w:t>A matéria é disciplinada pelo art. 75, inciso VIII, pelo art. 75, inciso II e pelo art. 72, Parágrafo único, da Lei 14.133/2021, que assim dispõem:</w:t>
      </w:r>
    </w:p>
    <w:p>
      <w:pPr>
        <w:spacing w:before="80" w:after="200" w:line="240" w:lineRule="auto"/>
        <w:ind w:firstLine="0" w:left="2268"/>
        <w:jc w:val="both"/>
      </w:pPr>
      <w:r>
        <w:rPr>
          <w:b w:val="0"/>
          <w:i w:val="0"/>
          <w:sz w:val="20"/>
        </w:rPr>
        <w:t>É dispensável a licitação: […] nos casos de emergência ou de calamidade pública, quando caracterizada urgência de atendimento de situação que possa ocasionar prejuízo ou comprometer a continuidade dos serviços públicos ou a segurança de pessoas, obras, serviços, equipamentos e outros bens, públicos ou particulares, e somente para aquisição dos bens necessários ao atendimento da situação emergencial ou calamitosa e para as parcelas de obras e serviços que possam ser concluídas no prazo máximo de 1 (um) ano, contado da data de ocorrência da emergência ou da calamidade, vedadas a prorrogação dos respectivos contratos e a recontratação de empresa já contratada com base no disposto neste inciso;</w:t>
      </w:r>
      <w:r>
        <w:rPr>
          <w:b w:val="0"/>
          <w:i w:val="0"/>
          <w:sz w:val="20"/>
        </w:rPr>
        <w:t xml:space="preserve"> (BRASIL, 2021, art. 75, inciso VIII)</w:t>
      </w:r>
    </w:p>
    <w:p>
      <w:pPr>
        <w:spacing w:before="80" w:after="200" w:line="240" w:lineRule="auto"/>
        <w:ind w:firstLine="0" w:left="2268"/>
        <w:jc w:val="both"/>
      </w:pPr>
      <w:r>
        <w:rPr>
          <w:b w:val="0"/>
          <w:i w:val="0"/>
          <w:sz w:val="20"/>
        </w:rPr>
        <w:t>É dispensável a licitação: […] para contratação que envolva valores inferiores a R$ 50.000,00 (cinquenta mil reais), no caso de outros serviços e compras; Vigência Vigência</w:t>
      </w:r>
      <w:r>
        <w:rPr>
          <w:b w:val="0"/>
          <w:i w:val="0"/>
          <w:sz w:val="20"/>
        </w:rPr>
        <w:t xml:space="preserve"> (BRASIL, 2021, art. 75, inciso II)</w:t>
      </w:r>
    </w:p>
    <w:p>
      <w:pPr>
        <w:spacing w:before="80" w:after="200" w:line="240" w:lineRule="auto"/>
        <w:ind w:firstLine="0" w:left="2268"/>
        <w:jc w:val="both"/>
      </w:pPr>
      <w:r>
        <w:rPr>
          <w:b w:val="0"/>
          <w:i w:val="0"/>
          <w:sz w:val="20"/>
        </w:rPr>
        <w:t>O ato que autoriza a contratação direta ou o extrato decorrente do contrato deverá ser divulgado e mantido à disposição do público em sítio eletrônico oficial.</w:t>
      </w:r>
      <w:r>
        <w:rPr>
          <w:b w:val="0"/>
          <w:i w:val="0"/>
          <w:sz w:val="20"/>
        </w:rPr>
        <w:t xml:space="preserve"> (BRASIL, 2021, art. 72, Parágrafo único)</w:t>
      </w:r>
    </w:p>
    <w:p>
      <w:pPr>
        <w:spacing w:before="0" w:after="120" w:line="360" w:lineRule="auto"/>
        <w:ind w:firstLine="709"/>
        <w:jc w:val="both"/>
      </w:pPr>
      <w:r>
        <w:rPr>
          <w:b/>
          <w:i w:val="0"/>
          <w:color w:val="12324A"/>
        </w:rPr>
        <w:t xml:space="preserve">Análise. </w:t>
      </w:r>
      <w:r>
        <w:rPr>
          <w:b w:val="0"/>
          <w:i w:val="0"/>
        </w:rPr>
        <w:t>A dispensa emergencial exige caracterização da situação de emergência, com os limites de prazo e escopo do inciso. Quando existe hipótese mais simples de dispensa que atende ao caso, a escolha do inciso VIII sem fundamentação pode ser questionada. Cumprir ordem judicial não equivale, por si só, a emergência.</w:t>
      </w:r>
    </w:p>
    <w:p>
      <w:pPr>
        <w:spacing w:before="0" w:after="120" w:line="360" w:lineRule="auto"/>
        <w:ind w:firstLine="709"/>
        <w:jc w:val="both"/>
      </w:pPr>
      <w:r>
        <w:rPr>
          <w:b/>
          <w:i w:val="0"/>
          <w:color w:val="C9781E"/>
        </w:rPr>
        <w:t xml:space="preserve">Risco de manutenção. </w:t>
      </w:r>
      <w:r>
        <w:rPr>
          <w:b w:val="0"/>
          <w:i w:val="0"/>
        </w:rPr>
        <w:t>Apontamento de enquadramento indevido da dispensa e de falha na caracterização da emergência.</w:t>
      </w:r>
    </w:p>
    <w:p>
      <w:pPr>
        <w:spacing w:before="0" w:after="120" w:line="360" w:lineRule="auto"/>
        <w:ind w:firstLine="709"/>
        <w:jc w:val="both"/>
      </w:pPr>
      <w:r>
        <w:rPr>
          <w:b/>
          <w:i w:val="0"/>
          <w:color w:val="12324A"/>
        </w:rPr>
        <w:t xml:space="preserve">Providência recomendada. </w:t>
      </w:r>
      <w:r>
        <w:rPr>
          <w:b w:val="0"/>
          <w:i w:val="0"/>
        </w:rPr>
        <w:t>Reforçar a fundamentação do enquadramento no próprio processo, com a demonstração do risco, ou reenquadrar a contratação pela hipótese adequada ao valor. Registrar a escolha da hipótese e atender aos requisitos formais do inciso adotado.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3.4 Dispensa do termo de referência sem documento equivalente</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Estudo Técnico Preliminar, Página 2, parágrafo 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documento afirma que o termo de referência foi dispensado por ser desnecessário, e que o processo segue com base na própria decisão judicial e na proposta comercial. Não há, no documento, descrição das condições de entrega, de recebimento ou de pagamento, nem indicação do fiscal do contrato.</w:t>
      </w:r>
    </w:p>
    <w:p>
      <w:pPr>
        <w:spacing w:before="0" w:after="120" w:line="360" w:lineRule="auto"/>
        <w:ind w:firstLine="709"/>
        <w:jc w:val="both"/>
      </w:pPr>
      <w:r>
        <w:rPr>
          <w:b w:val="0"/>
          <w:i w:val="0"/>
        </w:rPr>
        <w:t>O documento dispõe: “de Referência formal também foi dispensada por se mostrar desnecessária para o caso.” (Página 2, parágrafo 3).</w:t>
      </w:r>
    </w:p>
    <w:p>
      <w:pPr>
        <w:spacing w:before="0" w:after="80" w:line="360" w:lineRule="auto"/>
        <w:ind w:firstLine="709"/>
        <w:jc w:val="both"/>
      </w:pPr>
      <w:r>
        <w:rPr>
          <w:b/>
          <w:i w:val="0"/>
          <w:color w:val="12324A"/>
        </w:rPr>
        <w:t xml:space="preserve">Dispositivo aplicável. </w:t>
      </w:r>
      <w:r>
        <w:rPr>
          <w:b w:val="0"/>
          <w:i w:val="0"/>
        </w:rPr>
        <w:t>A matéria é disciplinada pelo art. 72, inciso I, da Lei 14.133/2021, que assim dispõe:</w:t>
      </w:r>
    </w:p>
    <w:p>
      <w:pPr>
        <w:spacing w:before="80" w:after="200" w:line="240" w:lineRule="auto"/>
        <w:ind w:firstLine="0" w:left="2268"/>
        <w:jc w:val="both"/>
      </w:pPr>
      <w:r>
        <w:rPr>
          <w:b w:val="0"/>
          <w:i w:val="0"/>
          <w:sz w:val="20"/>
        </w:rPr>
        <w:t>O processo de contratação direta, que compreende os casos de inexigibilidade e de dispensa de licitação, deverá ser instruído com os seguintes documentos: […] documento de formalização de demanda e, se for o caso, estudo técnico preliminar, análise de riscos, termo de referência, projeto básico ou projeto executivo;</w:t>
      </w:r>
      <w:r>
        <w:rPr>
          <w:b w:val="0"/>
          <w:i w:val="0"/>
          <w:sz w:val="20"/>
        </w:rPr>
        <w:t xml:space="preserve"> (BRASIL, 2021, art. 72, inciso I)</w:t>
      </w:r>
    </w:p>
    <w:p>
      <w:pPr>
        <w:spacing w:before="0" w:after="120" w:line="360" w:lineRule="auto"/>
        <w:ind w:firstLine="709"/>
        <w:jc w:val="both"/>
      </w:pPr>
      <w:r>
        <w:rPr>
          <w:b/>
          <w:i w:val="0"/>
          <w:color w:val="12324A"/>
        </w:rPr>
        <w:t xml:space="preserve">Análise. </w:t>
      </w:r>
      <w:r>
        <w:rPr>
          <w:b w:val="0"/>
          <w:i w:val="0"/>
        </w:rPr>
        <w:t>O art. 72, I, trata o termo de referência como documento do processo de contratação direta. Mesmo sendo simplificado, o documento deve fixar as condições mínimas de execução, para que o contrato possa ser fiscalizado.</w:t>
      </w:r>
    </w:p>
    <w:p>
      <w:pPr>
        <w:spacing w:before="0" w:after="120" w:line="360" w:lineRule="auto"/>
        <w:ind w:firstLine="709"/>
        <w:jc w:val="both"/>
      </w:pPr>
      <w:r>
        <w:rPr>
          <w:b/>
          <w:i w:val="0"/>
          <w:color w:val="3D8FA6"/>
        </w:rPr>
        <w:t xml:space="preserve">Risco de manutenção. </w:t>
      </w:r>
      <w:r>
        <w:rPr>
          <w:b w:val="0"/>
          <w:i w:val="0"/>
        </w:rPr>
        <w:t>Dificuldade de fiscalização e de responsabilização por falhas de entrega, e questionamento da instrução do processo.</w:t>
      </w:r>
    </w:p>
    <w:p>
      <w:pPr>
        <w:spacing w:before="0" w:after="120" w:line="360" w:lineRule="auto"/>
        <w:ind w:firstLine="709"/>
        <w:jc w:val="both"/>
      </w:pPr>
      <w:r>
        <w:rPr>
          <w:b/>
          <w:i w:val="0"/>
          <w:color w:val="12324A"/>
        </w:rPr>
        <w:t xml:space="preserve">Providência recomendada. </w:t>
      </w:r>
      <w:r>
        <w:rPr>
          <w:b w:val="0"/>
          <w:i w:val="0"/>
        </w:rPr>
        <w:t>Elaborar documento simplificado, ainda que a posteriori, com o objeto, a quantidade, o prazo e o local de entrega, os critérios de recebimento, o pagamento e a fiscalização.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3.5 Exposição de dados sensíveis de saúde de menor no documento do processo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Estudo Técnico Preliminar, Página 2, parágrafo 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documento descreve, em texto corrido, o diagnóstico e os sintomas do paciente menor de idade, em peça que integra processo de contratação com divulgação no PNCP.</w:t>
      </w:r>
    </w:p>
    <w:p>
      <w:pPr>
        <w:spacing w:before="0" w:after="120" w:line="360" w:lineRule="auto"/>
        <w:ind w:firstLine="709"/>
        <w:jc w:val="both"/>
      </w:pPr>
      <w:r>
        <w:rPr>
          <w:b w:val="0"/>
          <w:i w:val="0"/>
        </w:rPr>
        <w:t>O documento dispõe: “diagnosticado com Alergia à Proteína do Leite de Vaca (APLV), apresentando” (Página 2, parágrafo 1).</w:t>
      </w:r>
    </w:p>
    <w:p>
      <w:pPr>
        <w:spacing w:before="0" w:after="80" w:line="360" w:lineRule="auto"/>
        <w:ind w:firstLine="709"/>
        <w:jc w:val="both"/>
      </w:pPr>
      <w:r>
        <w:rPr>
          <w:b/>
          <w:i w:val="0"/>
          <w:color w:val="12324A"/>
        </w:rPr>
        <w:t xml:space="preserve">Dispositivo aplicável. </w:t>
      </w:r>
      <w:r>
        <w:rPr>
          <w:b w:val="0"/>
          <w:i w:val="0"/>
        </w:rPr>
        <w:t>Não há dispositivo legal específico; o apontamento decorre da coerência e da boa instrução do processo.</w:t>
      </w:r>
    </w:p>
    <w:p>
      <w:pPr>
        <w:spacing w:before="0" w:after="120" w:line="360" w:lineRule="auto"/>
        <w:ind w:firstLine="709"/>
        <w:jc w:val="both"/>
      </w:pPr>
      <w:r>
        <w:rPr>
          <w:b/>
          <w:i w:val="0"/>
          <w:color w:val="12324A"/>
        </w:rPr>
        <w:t xml:space="preserve">Análise. </w:t>
      </w:r>
      <w:r>
        <w:rPr>
          <w:b w:val="0"/>
          <w:i w:val="0"/>
        </w:rPr>
        <w:t>Dados de saúde de menor são informações sensíveis, e a transparência do processo de contratação deve ser conciliada com a proteção dessas informações. O documento não identifica o paciente, mas a descrição clínica detalhada, aliada ao número do processo judicial, pode permitir a identificação.</w:t>
      </w:r>
    </w:p>
    <w:p>
      <w:pPr>
        <w:spacing w:before="0" w:after="120" w:line="360" w:lineRule="auto"/>
        <w:ind w:firstLine="709"/>
        <w:jc w:val="both"/>
      </w:pPr>
      <w:r>
        <w:rPr>
          <w:b/>
          <w:i w:val="0"/>
          <w:color w:val="3D8FA6"/>
        </w:rPr>
        <w:t xml:space="preserve">Risco de manutenção. </w:t>
      </w:r>
      <w:r>
        <w:rPr>
          <w:b w:val="0"/>
          <w:i w:val="0"/>
        </w:rPr>
        <w:t>Exposição indevida de informações pessoais e sensíveis na publicidade do processo.</w:t>
      </w:r>
    </w:p>
    <w:p>
      <w:pPr>
        <w:spacing w:before="0" w:after="120" w:line="360" w:lineRule="auto"/>
        <w:ind w:firstLine="709"/>
        <w:jc w:val="both"/>
      </w:pPr>
      <w:r>
        <w:rPr>
          <w:b/>
          <w:i w:val="0"/>
          <w:color w:val="12324A"/>
        </w:rPr>
        <w:t xml:space="preserve">Providência recomendada. </w:t>
      </w:r>
      <w:r>
        <w:rPr>
          <w:b w:val="0"/>
          <w:i w:val="0"/>
        </w:rPr>
        <w:t>Avaliar a restrição de acesso ao laudo e à descrição clínica, mantendo em publicação apenas o necessário para a transparência da contratação, como o número do processo judicial e a referência à determinação.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1"/>
        <w:keepNext/>
        <w:spacing w:before="360" w:after="160" w:line="360" w:lineRule="auto"/>
        <w:ind w:firstLine="0"/>
        <w:jc w:val="left"/>
      </w:pPr>
      <w:r>
        <w:rPr>
          <w:rFonts w:ascii="Arial" w:hAnsi="Arial"/>
          <w:b/>
          <w:i w:val="0"/>
          <w:color w:val="12324A"/>
          <w:sz w:val="24"/>
        </w:rPr>
        <w:t>4 RECOMENDAÇÕES DE MELHORIA</w:t>
      </w:r>
    </w:p>
    <w:p>
      <w:pPr>
        <w:spacing w:before="0" w:after="120" w:line="360" w:lineRule="auto"/>
        <w:ind w:firstLine="709"/>
        <w:jc w:val="both"/>
      </w:pPr>
      <w:r>
        <w:rPr>
          <w:b w:val="0"/>
          <w:i w:val="0"/>
        </w:rPr>
        <w:t>Não há recomendações adicionais.</w:t>
      </w:r>
    </w:p>
    <w:p>
      <w:pPr>
        <w:pStyle w:val="Heading1"/>
        <w:keepNext/>
        <w:spacing w:before="360" w:after="160" w:line="360" w:lineRule="auto"/>
        <w:ind w:firstLine="0"/>
        <w:jc w:val="left"/>
      </w:pPr>
      <w:r>
        <w:rPr>
          <w:rFonts w:ascii="Arial" w:hAnsi="Arial"/>
          <w:b/>
          <w:i w:val="0"/>
          <w:color w:val="12324A"/>
          <w:sz w:val="24"/>
        </w:rPr>
        <w:t>5 CONCLUSÃO</w:t>
      </w:r>
    </w:p>
    <w:p>
      <w:pPr>
        <w:spacing w:before="0" w:after="120" w:line="360" w:lineRule="auto"/>
        <w:ind w:firstLine="709"/>
        <w:jc w:val="both"/>
      </w:pPr>
      <w:r>
        <w:rPr>
          <w:b w:val="0"/>
          <w:i w:val="0"/>
        </w:rPr>
        <w:t>A dispensa do ETP é admissível em tese na contratação direta (art. 72, I), e a urgência decorrente da determinação judicial é plausível. A motivação apresentada, porém, é frágil. Os fundamentos são genéricos (custo e tempo), não há demonstração concreta da inviabilidade de um estudo simplificado, e a abrangência do decreto municipal citado para o inciso VIII do art. 75 não está clara. Recomenda-se complementar a justificativa e verificar o enquadramento legal da dispensa. Também se recomenda juntar ao processo os elementos obrigatórios do art. 72 que não constam do documento: estimativa de despesa, justificativa de preço e razão da escolha do contratado. Como a despesa já foi homologada, essas providências servem para sanear a instrução. A decisão de manter ou corrigir cada ponto cabe à autoridade competente, a partir deste parecer opinativo.</w:t>
      </w:r>
    </w:p>
    <w:p>
      <w:pPr>
        <w:spacing w:before="0" w:after="80" w:line="360" w:lineRule="auto"/>
        <w:ind w:firstLine="709"/>
        <w:jc w:val="both"/>
      </w:pPr>
      <w:r>
        <w:rPr>
          <w:b w:val="0"/>
          <w:i w:val="0"/>
        </w:rPr>
        <w:t>Recomendam-se, por ordem de prioridade, as seguintes providências:</w:t>
      </w:r>
    </w:p>
    <w:p>
      <w:pPr>
        <w:spacing w:before="0" w:after="80" w:line="360" w:lineRule="auto"/>
        <w:ind w:left="425" w:hanging="425"/>
        <w:jc w:val="both"/>
      </w:pPr>
      <w:r>
        <w:rPr>
          <w:b/>
          <w:i w:val="0"/>
          <w:color w:val="C9781E"/>
        </w:rPr>
        <w:t xml:space="preserve">1. </w:t>
      </w:r>
      <w:r>
        <w:rPr>
          <w:b/>
          <w:i w:val="0"/>
        </w:rPr>
        <w:t xml:space="preserve">Justificativa dos elementos não contemplados </w:t>
      </w:r>
      <w:r>
        <w:rPr>
          <w:b w:val="0"/>
          <w:i w:val="0"/>
          <w:color w:val="C9781E"/>
        </w:rPr>
        <w:t xml:space="preserve">(gravidade média, item 3.1): </w:t>
      </w:r>
      <w:r>
        <w:rPr>
          <w:b w:val="0"/>
          <w:i w:val="0"/>
        </w:rPr>
        <w:t>Complementar a justificativa com os fatos concretos do caso: prazo fixado na ordem judicial, risco clínico documentado, objeto e quantitativo predefinidos e valor reduzido. Confirmar, na versão oficial do Decreto Municipal 78/2025, se o inciso VIII do art. 75 está entre as hipóteses de elaboração facultativa. Se não estiver, registrar a justificativa excepcional ou elaborar um ETP simplificado, ainda que a posteriori, no processo.</w:t>
      </w:r>
    </w:p>
    <w:p>
      <w:pPr>
        <w:spacing w:before="0" w:after="80" w:line="360" w:lineRule="auto"/>
        <w:ind w:left="425" w:hanging="425"/>
        <w:jc w:val="both"/>
      </w:pPr>
      <w:r>
        <w:rPr>
          <w:b/>
          <w:i w:val="0"/>
          <w:color w:val="C9781E"/>
        </w:rPr>
        <w:t xml:space="preserve">2. </w:t>
      </w:r>
      <w:r>
        <w:rPr>
          <w:b/>
          <w:i w:val="0"/>
        </w:rPr>
        <w:t xml:space="preserve">Ausência de estimativa de despesa, justificativa de preço e razão da escolha do contratado </w:t>
      </w:r>
      <w:r>
        <w:rPr>
          <w:b w:val="0"/>
          <w:i w:val="0"/>
          <w:color w:val="C9781E"/>
        </w:rPr>
        <w:t xml:space="preserve">(gravidade média, item 3.2): </w:t>
      </w:r>
      <w:r>
        <w:rPr>
          <w:b w:val="0"/>
          <w:i w:val="0"/>
        </w:rPr>
        <w:t>Juntar ao processo a pesquisa de preços (painéis oficiais, contratações similares, outras cotações), a justificativa de preço e a razão da escolha do fornecedor. Verificar se esses elementos já constam de outras peças e indicá-los no processo.</w:t>
      </w:r>
    </w:p>
    <w:p>
      <w:pPr>
        <w:spacing w:before="0" w:after="80" w:line="360" w:lineRule="auto"/>
        <w:ind w:left="425" w:hanging="425"/>
        <w:jc w:val="both"/>
      </w:pPr>
      <w:r>
        <w:rPr>
          <w:b/>
          <w:i w:val="0"/>
          <w:color w:val="C9781E"/>
        </w:rPr>
        <w:t xml:space="preserve">3. </w:t>
      </w:r>
      <w:r>
        <w:rPr>
          <w:b/>
          <w:i w:val="0"/>
        </w:rPr>
        <w:t xml:space="preserve">Adequação do enquadramento como dispensa emergencial (art. 75, VIII) </w:t>
      </w:r>
      <w:r>
        <w:rPr>
          <w:b w:val="0"/>
          <w:i w:val="0"/>
          <w:color w:val="C9781E"/>
        </w:rPr>
        <w:t xml:space="preserve">(gravidade média, item 3.3): </w:t>
      </w:r>
      <w:r>
        <w:rPr>
          <w:b w:val="0"/>
          <w:i w:val="0"/>
        </w:rPr>
        <w:t>Reforçar a fundamentação do enquadramento no próprio processo, com a demonstração do risco, ou reenquadrar a contratação pela hipótese adequada ao valor. Registrar a escolha da hipótese e atender aos requisitos formais do inciso adotado.</w:t>
      </w:r>
    </w:p>
    <w:p>
      <w:pPr>
        <w:spacing w:before="0" w:after="80" w:line="360" w:lineRule="auto"/>
        <w:ind w:left="425" w:hanging="425"/>
        <w:jc w:val="both"/>
      </w:pPr>
      <w:r>
        <w:rPr>
          <w:b/>
          <w:i w:val="0"/>
          <w:color w:val="3D8FA6"/>
        </w:rPr>
        <w:t xml:space="preserve">4. </w:t>
      </w:r>
      <w:r>
        <w:rPr>
          <w:b/>
          <w:i w:val="0"/>
        </w:rPr>
        <w:t xml:space="preserve">Dispensa do termo de referência sem documento equivalente </w:t>
      </w:r>
      <w:r>
        <w:rPr>
          <w:b w:val="0"/>
          <w:i w:val="0"/>
          <w:color w:val="3D8FA6"/>
        </w:rPr>
        <w:t xml:space="preserve">(gravidade baixa, item 3.4): </w:t>
      </w:r>
      <w:r>
        <w:rPr>
          <w:b w:val="0"/>
          <w:i w:val="0"/>
        </w:rPr>
        <w:t>Elaborar documento simplificado, ainda que a posteriori, com o objeto, a quantidade, o prazo e o local de entrega, os critérios de recebimento, o pagamento e a fiscalização.</w:t>
      </w:r>
    </w:p>
    <w:p>
      <w:pPr>
        <w:spacing w:before="0" w:after="80" w:line="360" w:lineRule="auto"/>
        <w:ind w:left="425" w:hanging="425"/>
        <w:jc w:val="both"/>
      </w:pPr>
      <w:r>
        <w:rPr>
          <w:b/>
          <w:i w:val="0"/>
          <w:color w:val="3D8FA6"/>
        </w:rPr>
        <w:t xml:space="preserve">5. </w:t>
      </w:r>
      <w:r>
        <w:rPr>
          <w:b/>
          <w:i w:val="0"/>
        </w:rPr>
        <w:t xml:space="preserve">Exposição de dados sensíveis de saúde de menor no documento do processo </w:t>
      </w:r>
      <w:r>
        <w:rPr>
          <w:b w:val="0"/>
          <w:i w:val="0"/>
          <w:color w:val="3D8FA6"/>
        </w:rPr>
        <w:t xml:space="preserve">(gravidade baixa, item 3.5): </w:t>
      </w:r>
      <w:r>
        <w:rPr>
          <w:b w:val="0"/>
          <w:i w:val="0"/>
        </w:rPr>
        <w:t>Avaliar a restrição de acesso ao laudo e à descrição clínica, mantendo em publicação apenas o necessário para a transparência da contratação, como o número do processo judicial e a referência à determinação.</w:t>
      </w:r>
    </w:p>
    <w:p>
      <w:pPr>
        <w:spacing w:before="120" w:after="120" w:line="360" w:lineRule="auto"/>
        <w:ind w:firstLine="709"/>
        <w:jc w:val="both"/>
      </w:pPr>
      <w:r>
        <w:rPr>
          <w:b w:val="0"/>
          <w:i w:val="0"/>
        </w:rPr>
        <w:t>Todos os aspectos identificados foram informados, inclusive os de baixa vulnerabilidade, para que o destinatário disponha de visão completa do processo. Trata-se de parecer técnico de natureza opinativa: as recomendações não o vinculam, e a decisão de promover os ajustes ou manter os documentos como estão compete exclusivamente a quem recebe este parecer, sob sua responsabilidade (STF, MS 24.631/DF; art. 28 do Decreto-Lei nº 4.657/1942). Este parecer não substitui o parecer jurídico de controle prévio de legalidade (art. 53 da Lei nº 14.133/2021).</w:t>
      </w:r>
    </w:p>
    <w:p>
      <w:pPr>
        <w:spacing w:before="0" w:after="360" w:line="360" w:lineRule="auto"/>
        <w:ind w:firstLine="709"/>
        <w:jc w:val="both"/>
      </w:pPr>
      <w:r>
        <w:rPr>
          <w:b w:val="0"/>
          <w:i w:val="0"/>
        </w:rPr>
        <w:t>É o parecer técnico, de caráter opinativo, salvo melhor juízo.</w:t>
      </w:r>
    </w:p>
    <w:p>
      <w:pPr>
        <w:spacing w:before="0" w:after="720" w:line="360" w:lineRule="auto"/>
        <w:ind w:firstLine="0"/>
        <w:jc w:val="right"/>
      </w:pPr>
      <w:r>
        <w:rPr>
          <w:b w:val="0"/>
          <w:i w:val="0"/>
        </w:rPr>
        <w:t>Maricá (RJ), 29 de outubro de 2026.</w:t>
      </w:r>
    </w:p>
    <w:p>
      <w:pPr>
        <w:spacing w:before="0" w:after="0" w:line="240" w:lineRule="auto"/>
        <w:ind w:firstLine="0"/>
        <w:jc w:val="center"/>
      </w:pPr>
      <w:r>
        <w:rPr>
          <w:b w:val="0"/>
          <w:i w:val="0"/>
          <w:color w:val="D9DEE2"/>
        </w:rPr>
        <w:t>__________________________________________</w:t>
      </w:r>
    </w:p>
    <w:p>
      <w:pPr>
        <w:spacing w:before="0" w:after="0" w:line="276" w:lineRule="auto"/>
        <w:ind w:firstLine="0"/>
        <w:jc w:val="center"/>
      </w:pPr>
      <w:r>
        <w:rPr>
          <w:b/>
          <w:i w:val="0"/>
          <w:sz w:val="22"/>
        </w:rPr>
        <w:t>Agente Licitacon</w:t>
      </w:r>
    </w:p>
    <w:p>
      <w:pPr>
        <w:spacing w:before="0" w:after="0" w:line="276" w:lineRule="auto"/>
        <w:ind w:firstLine="0"/>
        <w:jc w:val="center"/>
      </w:pPr>
      <w:r>
        <w:rPr>
          <w:b w:val="0"/>
          <w:i w:val="0"/>
          <w:color w:val="66757F"/>
          <w:sz w:val="19"/>
        </w:rPr>
        <w:t>Análise técnica automatizada em licitações e contratos</w:t>
      </w:r>
    </w:p>
    <w:p>
      <w:r>
        <w:br w:type="page"/>
      </w:r>
    </w:p>
    <w:p>
      <w:pPr>
        <w:pStyle w:val="Heading1"/>
        <w:keepNext/>
        <w:spacing w:before="360" w:after="160" w:line="360" w:lineRule="auto"/>
        <w:ind w:firstLine="0"/>
        <w:jc w:val="center"/>
      </w:pPr>
      <w:r>
        <w:rPr>
          <w:rFonts w:ascii="Arial" w:hAnsi="Arial"/>
          <w:b/>
          <w:i w:val="0"/>
          <w:color w:val="12324A"/>
          <w:sz w:val="24"/>
        </w:rPr>
        <w:t>REFERÊNCIAS</w:t>
      </w:r>
    </w:p>
    <w:p>
      <w:pPr>
        <w:spacing w:before="0" w:after="240" w:line="240" w:lineRule="auto"/>
        <w:ind w:firstLine="0"/>
        <w:jc w:val="left"/>
      </w:pPr>
      <w:r>
        <w:rPr>
          <w:b w:val="0"/>
          <w:i w:val="0"/>
          <w:sz w:val="22"/>
        </w:rPr>
        <w:t>BRASIL. Decreto-Lei nº 4.657, de 4 de setembro de 1942. Lei de Introdução às Normas do Direito Brasileiro. Redação dada pela Lei nº 13.655, de 25 de abril de 2018. Disponível em: https://www.planalto.gov.br/ccivil_03/decreto-lei/del4657compilado.htm. Acesso em: 29 out. 2026.</w:t>
      </w:r>
    </w:p>
    <w:p>
      <w:pPr>
        <w:spacing w:before="0" w:after="240" w:line="240" w:lineRule="auto"/>
        <w:ind w:firstLine="0"/>
        <w:jc w:val="left"/>
      </w:pPr>
      <w:r>
        <w:rPr>
          <w:b w:val="0"/>
          <w:i w:val="0"/>
          <w:sz w:val="22"/>
        </w:rPr>
        <w:t>BRASIL. Lei nº 14.133, de 1º de abril de 2021. Lei de Licitações e Contratos Administrativos. Diário Oficial da União: seção 1, Brasília, DF, 1 abr. 2021. Disponível em: https://www.planalto.gov.br/ccivil_03/_ato2019-2022/2021/lei/l14133.htm. Acesso em: 29 out. 2026.</w:t>
      </w:r>
    </w:p>
    <w:p>
      <w:pPr>
        <w:spacing w:before="0" w:after="240" w:line="240" w:lineRule="auto"/>
        <w:ind w:firstLine="0"/>
        <w:jc w:val="left"/>
      </w:pPr>
      <w:r>
        <w:rPr>
          <w:b w:val="0"/>
          <w:i w:val="0"/>
          <w:sz w:val="22"/>
        </w:rPr>
        <w:t>BRASIL. Lei nº 9.784, de 29 de janeiro de 1999. Regula o processo administrativo no âmbito da Administração Pública Federal. Disponível em: https://www.planalto.gov.br/ccivil_03/leis/l9784.htm. Acesso em: 29 out. 2026.</w:t>
      </w:r>
    </w:p>
    <w:p>
      <w:pPr>
        <w:spacing w:before="0" w:after="240" w:line="240" w:lineRule="auto"/>
        <w:ind w:firstLine="0"/>
        <w:jc w:val="left"/>
      </w:pPr>
      <w:r>
        <w:rPr>
          <w:b w:val="0"/>
          <w:i w:val="0"/>
          <w:sz w:val="22"/>
        </w:rPr>
        <w:t>BRASIL. Supremo Tribunal Federal (Plenário). Mandado de Segurança nº 24.631/DF. Relator: Min. Joaquim Barbosa. Julgado em 9 ago. 2007. Diário da Justiça, Brasília, DF, 1 fev. 2008.</w:t>
      </w:r>
    </w:p>
    <w:p>
      <w:pPr>
        <w:spacing w:before="0" w:after="240" w:line="240" w:lineRule="auto"/>
        <w:ind w:firstLine="0"/>
        <w:jc w:val="left"/>
      </w:pPr>
      <w:r>
        <w:rPr>
          <w:b w:val="0"/>
          <w:i w:val="0"/>
          <w:sz w:val="22"/>
        </w:rPr>
        <w:t>PREFEITURA MUNICIPAL DE MARICÁ – SECRETARIA DE SAÚDE. Estudo Técnico Preliminar — Processo 10247/2026 (PNCP 29131075000193-1-000277/2026). Disponível em: https://pncp.gov.br/app/editais/29131075000193/2026/277. Acesso em: 29 out. 2026.</w:t>
      </w:r>
    </w:p>
    <w:p>
      <w:r>
        <w:br w:type="page"/>
      </w:r>
    </w:p>
    <w:p>
      <w:pPr>
        <w:pStyle w:val="Heading1"/>
        <w:keepNext/>
        <w:spacing w:before="360" w:after="160" w:line="360" w:lineRule="auto"/>
        <w:ind w:firstLine="0"/>
        <w:jc w:val="center"/>
      </w:pPr>
      <w:r>
        <w:rPr>
          <w:rFonts w:ascii="Arial" w:hAnsi="Arial"/>
          <w:b/>
          <w:i w:val="0"/>
          <w:color w:val="12324A"/>
          <w:sz w:val="24"/>
        </w:rPr>
        <w:t>APÊNDICE A – LISTA DE VERIFICAÇÃO</w:t>
      </w:r>
    </w:p>
    <w:p>
      <w:pPr>
        <w:spacing w:before="0" w:after="120" w:line="360" w:lineRule="auto"/>
        <w:ind w:firstLine="0"/>
        <w:jc w:val="both"/>
      </w:pPr>
      <w:r>
        <w:rPr>
          <w:b w:val="0"/>
          <w:i/>
          <w:color w:val="66757F"/>
          <w:sz w:val="20"/>
        </w:rPr>
        <w:t>Todos os itens do roteiro aplicados a este processo.</w:t>
      </w:r>
    </w:p>
    <w:tbl>
      <w:tblPr>
        <w:tblW w:type="auto" w:w="0"/>
        <w:jc w:val="center"/>
        <w:tblLook w:firstColumn="1" w:firstRow="1" w:lastColumn="0" w:lastRow="0" w:noHBand="0" w:noVBand="1" w:val="04A0"/>
      </w:tblPr>
      <w:tblGrid>
        <w:gridCol w:w="3515"/>
        <w:gridCol w:w="1701"/>
        <w:gridCol w:w="1587"/>
        <w:gridCol w:w="2268"/>
      </w:tblGrid>
      <w:tr>
        <w:tc>
          <w:tcPr>
            <w:tcW w:type="dxa" w:w="3515"/>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ITEM</w:t>
            </w:r>
          </w:p>
        </w:tc>
        <w:tc>
          <w:tcPr>
            <w:tcW w:type="dxa" w:w="1701"/>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DOCUMENTO</w:t>
            </w:r>
          </w:p>
        </w:tc>
        <w:tc>
          <w:tcPr>
            <w:tcW w:type="dxa" w:w="1587"/>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RESULTADO</w:t>
            </w:r>
          </w:p>
        </w:tc>
        <w:tc>
          <w:tcPr>
            <w:tcW w:type="dxa" w:w="2268"/>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FUNDAMENTO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Justificativa dos elementos não contemplados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18, § 2º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Ausência de estimativa de despesa, justificativa de preço e razão da escolha do contratado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72, inciso II; art. 72, inciso VI; art. 72, inciso VII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Adequação do enquadramento como dispensa emergencial (art. 75, VIII)</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75, inciso VIII; art. 75, inciso II; art. 72, Parágrafo único</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Dispensa do termo de referência sem documento equivalente</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72, inciso 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Exposição de dados sensíveis de saúde de menor no documento do processo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Descrição da necessidade e do problema a resolver</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 1º, inciso I; art. 18, § 2º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Alinhamento com o plano de contratações anual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18, § 1º, inciso II; art. 12, inciso VII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Requisitos da contratação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 1º, inciso III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Estimativa das quantidades com memória de cálculo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18, § 1º, inciso IV; art. 18, § 2º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Levantamento de mercado e escolha da solução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 1º, inciso 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Estimativa do valor da contratação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18, § 1º, inciso VI; art. 18, § 2º; art. 23</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Descrição da solução como um todo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 1º, inciso VII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Justificativa do parcelamento ou não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18, § 1º, inciso VIII; art. 18, § 2º; art. 47, inciso II; art. 47, § 1º; art. 40, inciso V, alínea b</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Resultados pretendidos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 1º, inciso IX</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Providências prévias e capacitação de fiscais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18, § 1º, inciso X</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Contratações correlatas e interdependentes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 1º, inciso XI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Impactos ambientais e medidas mitigadoras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18, § 1º, inciso XII; art. 11, inciso IV</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Posicionamento conclusivo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Estudo Técnico Preliminar</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 1º, inciso XIII; art. 18, § 2º</w:t>
            </w:r>
          </w:p>
        </w:tc>
      </w:tr>
    </w:tbl>
    <w:p>
      <w:pPr>
        <w:spacing w:before="0" w:after="120" w:line="360" w:lineRule="auto"/>
        <w:ind w:firstLine="0"/>
        <w:jc w:val="both"/>
      </w:pPr>
    </w:p>
    <w:p>
      <w:pPr>
        <w:pStyle w:val="Heading1"/>
        <w:keepNext/>
        <w:spacing w:before="360" w:after="160" w:line="360" w:lineRule="auto"/>
        <w:ind w:firstLine="0"/>
        <w:jc w:val="center"/>
      </w:pPr>
      <w:r>
        <w:rPr>
          <w:rFonts w:ascii="Arial" w:hAnsi="Arial"/>
          <w:b/>
          <w:i w:val="0"/>
          <w:color w:val="12324A"/>
          <w:sz w:val="24"/>
        </w:rPr>
        <w:t>APÊNDICE B – METODOLOGIA E LIMITES</w:t>
      </w:r>
    </w:p>
    <w:p>
      <w:pPr>
        <w:spacing w:before="0" w:after="120" w:line="360" w:lineRule="auto"/>
        <w:ind w:left="425" w:hanging="425"/>
        <w:jc w:val="both"/>
      </w:pPr>
      <w:r>
        <w:rPr>
          <w:b/>
          <w:i w:val="0"/>
          <w:color w:val="1F7A8C"/>
        </w:rPr>
        <w:t xml:space="preserve">a) </w:t>
      </w:r>
      <w:r>
        <w:rPr>
          <w:b w:val="0"/>
          <w:i w:val="0"/>
        </w:rPr>
        <w:t>Cada item do roteiro de verificação foi conferido nos documentos enviados; o trecho transcrito indica onde a constatação foi feita.</w:t>
      </w:r>
    </w:p>
    <w:p>
      <w:pPr>
        <w:spacing w:before="0" w:after="120" w:line="360" w:lineRule="auto"/>
        <w:ind w:left="425" w:hanging="425"/>
        <w:jc w:val="both"/>
      </w:pPr>
      <w:r>
        <w:rPr>
          <w:b/>
          <w:i w:val="0"/>
          <w:color w:val="1F7A8C"/>
        </w:rPr>
        <w:t xml:space="preserve">b) </w:t>
      </w:r>
      <w:r>
        <w:rPr>
          <w:b w:val="0"/>
          <w:i w:val="0"/>
        </w:rPr>
        <w:t>Os dispositivos legais reproduzem o texto oficial vigente constante da base normativa do Licitacon na data da análise, conferido automaticamente quanto à existência, revogação e veto.</w:t>
      </w:r>
    </w:p>
    <w:p>
      <w:pPr>
        <w:spacing w:before="0" w:after="120" w:line="360" w:lineRule="auto"/>
        <w:ind w:left="425" w:hanging="425"/>
        <w:jc w:val="both"/>
      </w:pPr>
      <w:r>
        <w:rPr>
          <w:b/>
          <w:i w:val="0"/>
          <w:color w:val="1F7A8C"/>
        </w:rPr>
        <w:t xml:space="preserve">c) </w:t>
      </w:r>
      <w:r>
        <w:rPr>
          <w:b w:val="0"/>
          <w:i w:val="0"/>
        </w:rPr>
        <w:t>Os precedentes provêm exclusivamente da Biblioteca Licitacon, com indicação da fonte oficial; a ausência de precedente listado não significa ausência de jurisprudência.</w:t>
      </w:r>
    </w:p>
    <w:p>
      <w:pPr>
        <w:spacing w:before="0" w:after="120" w:line="360" w:lineRule="auto"/>
        <w:ind w:left="425" w:hanging="425"/>
        <w:jc w:val="both"/>
      </w:pPr>
      <w:r>
        <w:rPr>
          <w:b/>
          <w:i w:val="0"/>
          <w:color w:val="1F7A8C"/>
        </w:rPr>
        <w:t xml:space="preserve">d) </w:t>
      </w:r>
      <w:r>
        <w:rPr>
          <w:b w:val="0"/>
          <w:i w:val="0"/>
        </w:rPr>
        <w:t>Cálculos de planilha são conferidos por programa a partir de arquivo em Excel; planilhas em PDF não permitem conferir fórmulas.</w:t>
      </w:r>
    </w:p>
    <w:p>
      <w:pPr>
        <w:spacing w:before="0" w:after="120" w:line="360" w:lineRule="auto"/>
        <w:ind w:left="425" w:hanging="425"/>
        <w:jc w:val="both"/>
      </w:pPr>
      <w:r>
        <w:rPr>
          <w:b/>
          <w:i w:val="0"/>
          <w:color w:val="1F7A8C"/>
        </w:rPr>
        <w:t xml:space="preserve">e) </w:t>
      </w:r>
      <w:r>
        <w:rPr>
          <w:b w:val="0"/>
          <w:i w:val="0"/>
        </w:rPr>
        <w:t>Normas estaduais e municipais, regulamentos internos e orientações locais somente são considerados quando enviados com os documentos.</w:t>
      </w:r>
    </w:p>
    <w:p>
      <w:pPr>
        <w:spacing w:before="0" w:after="120" w:line="360" w:lineRule="auto"/>
        <w:ind w:left="425" w:hanging="425"/>
        <w:jc w:val="both"/>
      </w:pPr>
      <w:r>
        <w:rPr>
          <w:b/>
          <w:i w:val="0"/>
          <w:color w:val="1F7A8C"/>
        </w:rPr>
        <w:t xml:space="preserve">f) </w:t>
      </w:r>
      <w:r>
        <w:rPr>
          <w:b w:val="0"/>
          <w:i w:val="0"/>
        </w:rPr>
        <w:t>O parecer é opinativo: aponta todos os aspectos identificados, inclusive os de baixa vulnerabilidade, e a decisão sobre cada recomendação cabe ao destinatário.</w:t>
      </w:r>
    </w:p>
    <w:p>
      <w:pPr>
        <w:spacing w:before="0" w:after="120" w:line="360" w:lineRule="auto"/>
        <w:ind w:left="425" w:hanging="425"/>
        <w:jc w:val="both"/>
      </w:pPr>
      <w:r>
        <w:rPr>
          <w:b/>
          <w:i w:val="0"/>
          <w:color w:val="1F7A8C"/>
        </w:rPr>
        <w:t xml:space="preserve">g) </w:t>
      </w:r>
      <w:r>
        <w:rPr>
          <w:b w:val="0"/>
          <w:i w:val="0"/>
        </w:rPr>
        <w:t>Apontamentos adicionais são questões relevantes encontradas no documento que não constam do roteiro padrão; seus fundamentos legais também são conferidos na base oficial.</w:t>
      </w:r>
    </w:p>
    <w:p>
      <w:pPr>
        <w:spacing w:before="0" w:after="120" w:line="360" w:lineRule="auto"/>
        <w:ind w:left="425" w:hanging="425"/>
        <w:jc w:val="both"/>
      </w:pPr>
      <w:r>
        <w:rPr>
          <w:b/>
          <w:i w:val="0"/>
          <w:color w:val="1F7A8C"/>
        </w:rPr>
        <w:t xml:space="preserve">h) </w:t>
      </w:r>
      <w:r>
        <w:rPr>
          <w:b w:val="0"/>
          <w:i w:val="0"/>
        </w:rPr>
        <w:t>O código de verificação F2E77C122F identifica o conteúdo desta análise; qualquer alteração no resultado gera código diferente.</w:t>
      </w:r>
    </w:p>
    <w:sectPr w:rsidR="00FC693F" w:rsidRPr="0006063C" w:rsidSect="00034616">
      <w:headerReference w:type="default" r:id="rId9"/>
      <w:footerReference w:type="default" r:id="rId10"/>
      <w:pgSz w:w="11906" w:h="16838"/>
      <w:pgMar w:top="1701" w:right="1134" w:bottom="1134" w:left="1701" w:header="85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b w:val="0"/>
        <w:i w:val="0"/>
        <w:color w:val="66757F"/>
        <w:sz w:val="14"/>
      </w:rPr>
      <w:t>Parecer técnico opinativo · a decisão final cabe exclusivamente ao destinatário · não substitui o parecer jurídico do art. 53 da Lei 14.133/2021 · código F2E77C122F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535"/>
      <w:gridCol w:w="4535"/>
    </w:tblGrid>
    <w:tr>
      <w:tc>
        <w:tcPr>
          <w:tcW w:type="dxa" w:w="6803"/>
          <w:tcBorders>
            <w:top w:val="nil"/>
            <w:left w:val="nil"/>
            <w:bottom w:val="single" w:sz="6" w:color="D9DEE2" w:space="0"/>
            <w:right w:val="nil"/>
          </w:tcBorders>
        </w:tcPr>
        <w:p>
          <w:pPr>
            <w:spacing w:before="0" w:after="0" w:line="240" w:lineRule="auto"/>
            <w:ind w:firstLine="0"/>
            <w:jc w:val="left"/>
          </w:pPr>
          <w:r>
            <w:rPr>
              <w:b/>
              <w:i w:val="0"/>
              <w:color w:val="1F7A8C"/>
              <w:sz w:val="16"/>
            </w:rPr>
            <w:t>LICITACON</w:t>
          </w:r>
          <w:r>
            <w:rPr>
              <w:b w:val="0"/>
              <w:i w:val="0"/>
              <w:color w:val="66757F"/>
              <w:sz w:val="16"/>
            </w:rPr>
            <w:t xml:space="preserve">  ·  Parecer Técnico nº F2E7/2026</w:t>
          </w:r>
        </w:p>
      </w:tc>
      <w:tc>
        <w:tcPr>
          <w:tcW w:type="dxa" w:w="2268"/>
          <w:tcBorders>
            <w:top w:val="nil"/>
            <w:left w:val="nil"/>
            <w:bottom w:val="single" w:sz="6" w:color="D9DEE2" w:space="0"/>
            <w:right w:val="nil"/>
          </w:tcBorders>
        </w:tcPr>
        <w:p>
          <w:pPr>
            <w:spacing w:before="0" w:after="0" w:line="240" w:lineRule="auto"/>
            <w:ind w:firstLine="0"/>
            <w:jc w:val="right"/>
          </w:pPr>
          <w:r>
            <w:rPr>
              <w:color w:val="12324A"/>
              <w:sz w:val="20"/>
            </w:rPr>
            <w:fldChar w:fldCharType="begin"/>
            <w:instrText xml:space="preserve">PAGE</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1E2A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2324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232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