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cBorders>
            <w:shd w:val="clear" w:color="auto" w:fill="12324A"/>
            <w:tcMar>
              <w:top w:w="340" w:type="dxa"/>
              <w:left w:w="340" w:type="dxa"/>
              <w:bottom w:w="340" w:type="dxa"/>
              <w:right w:w="340" w:type="dxa"/>
            </w:tcMar>
          </w:tcPr>
          <w:p>
            <w:pPr>
              <w:spacing w:before="0" w:after="40" w:line="240" w:lineRule="auto"/>
              <w:ind w:firstLine="0"/>
              <w:jc w:val="left"/>
            </w:pPr>
            <w:r>
              <w:rPr>
                <w:b/>
                <w:i w:val="0"/>
                <w:color w:val="9FD3DC"/>
                <w:sz w:val="22"/>
              </w:rPr>
              <w:t>LICITACON</w:t>
            </w:r>
            <w:r>
              <w:rPr>
                <w:b w:val="0"/>
                <w:i w:val="0"/>
                <w:color w:val="C9D6DE"/>
                <w:sz w:val="16"/>
              </w:rPr>
              <w:t xml:space="preserve">   ANÁLISE TÉCNICA EM LICITAÇÕES E CONTRATOS</w:t>
            </w:r>
          </w:p>
          <w:p>
            <w:pPr>
              <w:spacing w:before="800" w:after="0" w:line="240" w:lineRule="auto"/>
              <w:ind w:firstLine="0"/>
              <w:jc w:val="left"/>
            </w:pPr>
            <w:r>
              <w:rPr>
                <w:b/>
                <w:i w:val="0"/>
                <w:color w:val="FFFFFF"/>
                <w:sz w:val="52"/>
              </w:rPr>
              <w:t>PARECER TÉCNICO</w:t>
            </w:r>
          </w:p>
          <w:p>
            <w:pPr>
              <w:spacing w:before="40" w:after="600" w:line="240" w:lineRule="auto"/>
              <w:ind w:firstLine="0"/>
              <w:jc w:val="left"/>
            </w:pPr>
            <w:r>
              <w:rPr>
                <w:b w:val="0"/>
                <w:i w:val="0"/>
                <w:color w:val="9FD3DC"/>
                <w:sz w:val="26"/>
              </w:rPr>
              <w:t>nº A753/2026</w:t>
            </w:r>
          </w:p>
        </w:tc>
      </w:tr>
    </w:tbl>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cBorders>
            <w:shd w:val="clear" w:color="auto" w:fill="1F7A8C"/>
            <w:tcMar>
              <w:top w:w="198" w:type="dxa"/>
              <w:left w:w="198" w:type="dxa"/>
              <w:bottom w:w="198" w:type="dxa"/>
              <w:right w:w="198" w:type="dxa"/>
            </w:tcMar>
          </w:tcPr>
          <w:p>
            <w:pPr>
              <w:spacing w:before="0" w:after="0" w:line="240" w:lineRule="auto"/>
              <w:ind w:firstLine="0"/>
              <w:jc w:val="left"/>
            </w:pPr>
            <w:r>
              <w:rPr>
                <w:b/>
                <w:i w:val="0"/>
                <w:color w:val="FFFFFF"/>
                <w:sz w:val="21"/>
              </w:rPr>
              <w:t>Conformidade do edital com a Lei 14.133/2021</w:t>
            </w:r>
          </w:p>
        </w:tc>
      </w:tr>
    </w:tbl>
    <w:p>
      <w:pPr>
        <w:spacing w:before="720" w:after="120" w:line="276" w:lineRule="auto"/>
        <w:ind w:firstLine="0"/>
        <w:jc w:val="left"/>
      </w:pPr>
      <w:r>
        <w:rPr>
          <w:b/>
          <w:i w:val="0"/>
          <w:color w:val="1F7A8C"/>
          <w:sz w:val="16"/>
        </w:rPr>
        <w:t>OBJETO</w:t>
      </w:r>
    </w:p>
    <w:p>
      <w:pPr>
        <w:spacing w:before="0" w:after="360" w:line="288" w:lineRule="auto"/>
        <w:ind w:firstLine="0"/>
        <w:jc w:val="left"/>
      </w:pPr>
      <w:r>
        <w:rPr>
          <w:b/>
          <w:i w:val="0"/>
          <w:color w:val="12324A"/>
          <w:sz w:val="30"/>
        </w:rPr>
        <w:t>Aquisição de aparelhos de ultrassonografia diagnóstica com Doppler colorido (2 unidades) e mesas ginecológicas elétricas (6 unidades), valor estimado de R$ 777.978,34</w:t>
      </w:r>
    </w:p>
    <w:tbl>
      <w:tblPr>
        <w:tblW w:type="auto" w:w="0"/>
        <w:jc w:val="center"/>
        <w:tblLook w:firstColumn="1" w:firstRow="1" w:lastColumn="0" w:lastRow="0" w:noHBand="0" w:noVBand="1" w:val="04A0"/>
        <w:tblLayout w:type="fixed"/>
      </w:tblPr>
      <w:tblGrid>
        <w:gridCol w:w="1871"/>
        <w:gridCol w:w="7200"/>
      </w:tblGrid>
      <w:tr>
        <w:tc>
          <w:tcPr>
            <w:tcW w:type="dxa" w:w="1871"/>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i w:val="0"/>
                <w:color w:val="66757F"/>
                <w:sz w:val="15"/>
              </w:rPr>
              <w:t>INTERESSADO</w:t>
            </w:r>
          </w:p>
        </w:tc>
        <w:tc>
          <w:tcPr>
            <w:tcW w:type="dxa" w:w="7200"/>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val="0"/>
                <w:i w:val="0"/>
                <w:sz w:val="19"/>
              </w:rPr>
              <w:t>Prefeitura Municipal de Maricá – Secretaria de Saúde</w:t>
            </w:r>
          </w:p>
        </w:tc>
      </w:tr>
      <w:tr>
        <w:tc>
          <w:tcPr>
            <w:tcW w:type="dxa" w:w="1871"/>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i w:val="0"/>
                <w:color w:val="66757F"/>
                <w:sz w:val="15"/>
              </w:rPr>
              <w:t>PROCESSO</w:t>
            </w:r>
          </w:p>
        </w:tc>
        <w:tc>
          <w:tcPr>
            <w:tcW w:type="dxa" w:w="7200"/>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val="0"/>
                <w:i w:val="0"/>
                <w:sz w:val="19"/>
              </w:rPr>
              <w:t>Pregão Eletrônico nº 55/2025 – Processo Administrativo nº 11566/2025 (PNCP 29131075000193-1-000428/2026)</w:t>
            </w:r>
          </w:p>
        </w:tc>
      </w:tr>
      <w:tr>
        <w:tc>
          <w:tcPr>
            <w:tcW w:type="dxa" w:w="1871"/>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i w:val="0"/>
                <w:color w:val="66757F"/>
                <w:sz w:val="15"/>
              </w:rPr>
              <w:t>MODALIDADE</w:t>
            </w:r>
          </w:p>
        </w:tc>
        <w:tc>
          <w:tcPr>
            <w:tcW w:type="dxa" w:w="7200"/>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val="0"/>
                <w:i w:val="0"/>
                <w:sz w:val="19"/>
              </w:rPr>
              <w:t>Pregão Eletrônico – menor preço por item, modo de disputa aberto, sem registro de preços</w:t>
            </w:r>
          </w:p>
        </w:tc>
      </w:tr>
      <w:tr>
        <w:tc>
          <w:tcPr>
            <w:tcW w:type="dxa" w:w="1871"/>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i w:val="0"/>
                <w:color w:val="66757F"/>
                <w:sz w:val="15"/>
              </w:rPr>
              <w:t>BASE LEGAL</w:t>
            </w:r>
          </w:p>
        </w:tc>
        <w:tc>
          <w:tcPr>
            <w:tcW w:type="dxa" w:w="7200"/>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val="0"/>
                <w:i w:val="0"/>
                <w:sz w:val="19"/>
              </w:rPr>
              <w:t>Lei 14.133/2021</w:t>
            </w:r>
          </w:p>
        </w:tc>
      </w:tr>
      <w:tr>
        <w:tc>
          <w:tcPr>
            <w:tcW w:type="dxa" w:w="1871"/>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i w:val="0"/>
                <w:color w:val="66757F"/>
                <w:sz w:val="15"/>
              </w:rPr>
              <w:t>DATA</w:t>
            </w:r>
          </w:p>
        </w:tc>
        <w:tc>
          <w:tcPr>
            <w:tcW w:type="dxa" w:w="7200"/>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val="0"/>
                <w:i w:val="0"/>
                <w:sz w:val="19"/>
              </w:rPr>
              <w:t>29 de outubro de 2026</w:t>
            </w:r>
          </w:p>
        </w:tc>
      </w:tr>
    </w:tbl>
    <w:p>
      <w:pPr>
        <w:spacing w:before="520" w:after="0" w:line="240" w:lineRule="auto"/>
        <w:ind w:firstLine="0"/>
        <w:jc w:val="left"/>
      </w:pP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6" w:color="B23A48" w:space="0"/>
              <w:bottom w:val="nil"/>
              <w:right w:val="nil"/>
            </w:tcBorders>
            <w:shd w:val="clear" w:color="auto" w:fill="F8E6E8"/>
            <w:tcMar>
              <w:top w:w="170" w:type="dxa"/>
              <w:left w:w="170" w:type="dxa"/>
              <w:bottom w:w="170" w:type="dxa"/>
              <w:right w:w="170" w:type="dxa"/>
            </w:tcMar>
          </w:tcPr>
          <w:p>
            <w:pPr>
              <w:spacing w:before="0" w:after="0" w:line="264" w:lineRule="auto"/>
              <w:ind w:firstLine="0"/>
              <w:jc w:val="left"/>
            </w:pPr>
            <w:r>
              <w:rPr>
                <w:b/>
                <w:i w:val="0"/>
                <w:color w:val="B23A48"/>
                <w:sz w:val="15"/>
              </w:rPr>
              <w:t xml:space="preserve">SITUAÇÃO GERAL  </w:t>
            </w:r>
            <w:r>
              <w:rPr>
                <w:b/>
                <w:i w:val="0"/>
                <w:color w:val="B23A48"/>
                <w:sz w:val="21"/>
              </w:rPr>
              <w:t>Há falhas graves que recomendam correção.</w:t>
            </w:r>
          </w:p>
        </w:tc>
      </w:tr>
    </w:tbl>
    <w:p>
      <w:pPr>
        <w:spacing w:before="160" w:after="0" w:line="276" w:lineRule="auto"/>
        <w:ind w:firstLine="0"/>
        <w:jc w:val="left"/>
      </w:pPr>
      <w:r>
        <w:rPr>
          <w:b/>
          <w:i w:val="0"/>
          <w:color w:val="1F7A8C"/>
          <w:sz w:val="15"/>
        </w:rPr>
        <w:t xml:space="preserve">PARECER OPINATIVO  </w:t>
      </w:r>
      <w:r>
        <w:rPr>
          <w:b w:val="0"/>
          <w:i w:val="0"/>
          <w:color w:val="1E2A32"/>
          <w:sz w:val="18"/>
        </w:rPr>
        <w:t>As recomendações não vinculam o destinatário; a decisão final é sempre de quem recebe este parecer.</w:t>
      </w:r>
    </w:p>
    <w:p>
      <w:pPr>
        <w:spacing w:before="1200" w:after="0" w:line="276" w:lineRule="auto"/>
        <w:ind w:firstLine="0"/>
        <w:jc w:val="center"/>
      </w:pPr>
      <w:r>
        <w:rPr>
          <w:b/>
          <w:i w:val="0"/>
          <w:sz w:val="22"/>
        </w:rPr>
        <w:t>Maricá – RJ</w:t>
      </w:r>
    </w:p>
    <w:p>
      <w:pPr>
        <w:spacing w:before="0" w:after="0" w:line="276" w:lineRule="auto"/>
        <w:ind w:firstLine="0"/>
        <w:jc w:val="center"/>
      </w:pPr>
      <w:r>
        <w:rPr>
          <w:b/>
          <w:i w:val="0"/>
          <w:sz w:val="22"/>
        </w:rPr>
        <w:t>2026</w:t>
      </w:r>
    </w:p>
    <w:p>
      <w:r>
        <w:br w:type="page"/>
      </w:r>
    </w:p>
    <w:p>
      <w:pPr>
        <w:pStyle w:val="Heading1"/>
        <w:keepNext/>
        <w:spacing w:before="360" w:after="160" w:line="360" w:lineRule="auto"/>
        <w:ind w:firstLine="0"/>
        <w:jc w:val="left"/>
      </w:pPr>
      <w:r>
        <w:rPr>
          <w:rFonts w:ascii="Arial" w:hAnsi="Arial"/>
          <w:b/>
          <w:i w:val="0"/>
          <w:color w:val="12324A"/>
          <w:sz w:val="24"/>
        </w:rPr>
        <w:t>SUMÁRIO</w:t>
      </w:r>
    </w:p>
    <w:p>
      <w:pPr>
        <w:tabs>
          <w:tab w:pos="9071" w:val="right" w:leader="dot"/>
        </w:tabs>
        <w:spacing w:before="0" w:after="0" w:line="360" w:lineRule="auto"/>
        <w:ind w:firstLine="0" w:left="0"/>
        <w:jc w:val="left"/>
      </w:pPr>
      <w:r>
        <w:rPr>
          <w:b/>
          <w:i w:val="0"/>
          <w:sz w:val="22"/>
        </w:rPr>
        <w:t>1 PAINEL EXECUTIVO</w:t>
      </w:r>
      <w:r>
        <w:rPr>
          <w:b/>
          <w:i w:val="0"/>
          <w:sz w:val="22"/>
        </w:rPr>
        <w:tab/>
        <w:t>3</w:t>
      </w:r>
    </w:p>
    <w:p>
      <w:pPr>
        <w:tabs>
          <w:tab w:pos="9071" w:val="right" w:leader="dot"/>
        </w:tabs>
        <w:spacing w:before="0" w:after="0" w:line="360" w:lineRule="auto"/>
        <w:ind w:firstLine="0" w:left="0"/>
        <w:jc w:val="left"/>
      </w:pPr>
      <w:r>
        <w:rPr>
          <w:b/>
          <w:i w:val="0"/>
          <w:sz w:val="22"/>
        </w:rPr>
        <w:t>2 RELATÓRIO</w:t>
      </w:r>
      <w:r>
        <w:rPr>
          <w:b/>
          <w:i w:val="0"/>
          <w:sz w:val="22"/>
        </w:rPr>
        <w:tab/>
        <w:t>5</w:t>
      </w:r>
    </w:p>
    <w:p>
      <w:pPr>
        <w:tabs>
          <w:tab w:pos="9071" w:val="right" w:leader="dot"/>
        </w:tabs>
        <w:spacing w:before="0" w:after="0" w:line="360" w:lineRule="auto"/>
        <w:ind w:firstLine="0" w:left="0"/>
        <w:jc w:val="left"/>
      </w:pPr>
      <w:r>
        <w:rPr>
          <w:b/>
          <w:i w:val="0"/>
          <w:sz w:val="22"/>
        </w:rPr>
        <w:t>3 FUNDAMENTAÇÃO</w:t>
      </w:r>
      <w:r>
        <w:rPr>
          <w:b/>
          <w:i w:val="0"/>
          <w:sz w:val="22"/>
        </w:rPr>
        <w:tab/>
        <w:t>6</w:t>
      </w:r>
    </w:p>
    <w:p>
      <w:pPr>
        <w:tabs>
          <w:tab w:pos="9071" w:val="right" w:leader="dot"/>
        </w:tabs>
        <w:spacing w:before="0" w:after="0" w:line="360" w:lineRule="auto"/>
        <w:ind w:firstLine="0" w:left="340"/>
        <w:jc w:val="left"/>
      </w:pPr>
      <w:r>
        <w:rPr>
          <w:b w:val="0"/>
          <w:i w:val="0"/>
          <w:sz w:val="21"/>
        </w:rPr>
        <w:t>3.1 Prazo mínimo para apresentação de propostas</w:t>
      </w:r>
      <w:r>
        <w:rPr>
          <w:b w:val="0"/>
          <w:i w:val="0"/>
          <w:sz w:val="21"/>
        </w:rPr>
        <w:tab/>
        <w:t>7</w:t>
      </w:r>
    </w:p>
    <w:p>
      <w:pPr>
        <w:tabs>
          <w:tab w:pos="9071" w:val="right" w:leader="dot"/>
        </w:tabs>
        <w:spacing w:before="0" w:after="0" w:line="360" w:lineRule="auto"/>
        <w:ind w:firstLine="0" w:left="340"/>
        <w:jc w:val="left"/>
      </w:pPr>
      <w:r>
        <w:rPr>
          <w:b w:val="0"/>
          <w:i w:val="0"/>
          <w:sz w:val="21"/>
        </w:rPr>
        <w:t>3.2 Qualificação técnica proporcional</w:t>
      </w:r>
      <w:r>
        <w:rPr>
          <w:b w:val="0"/>
          <w:i w:val="0"/>
          <w:sz w:val="21"/>
        </w:rPr>
        <w:tab/>
        <w:t>8</w:t>
      </w:r>
    </w:p>
    <w:p>
      <w:pPr>
        <w:tabs>
          <w:tab w:pos="9071" w:val="right" w:leader="dot"/>
        </w:tabs>
        <w:spacing w:before="0" w:after="0" w:line="360" w:lineRule="auto"/>
        <w:ind w:firstLine="0" w:left="340"/>
        <w:jc w:val="left"/>
      </w:pPr>
      <w:r>
        <w:rPr>
          <w:b w:val="0"/>
          <w:i w:val="0"/>
          <w:sz w:val="21"/>
        </w:rPr>
        <w:t>3.3 Minuta de contrato como anexo e cláusulas necessárias</w:t>
      </w:r>
      <w:r>
        <w:rPr>
          <w:b w:val="0"/>
          <w:i w:val="0"/>
          <w:sz w:val="21"/>
        </w:rPr>
        <w:tab/>
        <w:t>10</w:t>
      </w:r>
    </w:p>
    <w:p>
      <w:pPr>
        <w:tabs>
          <w:tab w:pos="9071" w:val="right" w:leader="dot"/>
        </w:tabs>
        <w:spacing w:before="0" w:after="0" w:line="360" w:lineRule="auto"/>
        <w:ind w:firstLine="0" w:left="340"/>
        <w:jc w:val="left"/>
      </w:pPr>
      <w:r>
        <w:rPr>
          <w:b w:val="0"/>
          <w:i w:val="0"/>
          <w:sz w:val="21"/>
        </w:rPr>
        <w:t>3.4 Coerência interna do edital e dos anexos</w:t>
      </w:r>
      <w:r>
        <w:rPr>
          <w:b w:val="0"/>
          <w:i w:val="0"/>
          <w:sz w:val="21"/>
        </w:rPr>
        <w:tab/>
        <w:t>11</w:t>
      </w:r>
    </w:p>
    <w:p>
      <w:pPr>
        <w:tabs>
          <w:tab w:pos="9071" w:val="right" w:leader="dot"/>
        </w:tabs>
        <w:spacing w:before="0" w:after="0" w:line="360" w:lineRule="auto"/>
        <w:ind w:firstLine="0" w:left="340"/>
        <w:jc w:val="left"/>
      </w:pPr>
      <w:r>
        <w:rPr>
          <w:b w:val="0"/>
          <w:i w:val="0"/>
          <w:sz w:val="21"/>
        </w:rPr>
        <w:t>3.5 Minuta de contrato com cláusula de garantia incompatível com a decisão de não exigir garantia</w:t>
      </w:r>
      <w:r>
        <w:rPr>
          <w:b w:val="0"/>
          <w:i w:val="0"/>
          <w:sz w:val="21"/>
        </w:rPr>
        <w:tab/>
        <w:t>13</w:t>
      </w:r>
    </w:p>
    <w:p>
      <w:pPr>
        <w:tabs>
          <w:tab w:pos="9071" w:val="right" w:leader="dot"/>
        </w:tabs>
        <w:spacing w:before="0" w:after="0" w:line="360" w:lineRule="auto"/>
        <w:ind w:firstLine="0" w:left="340"/>
        <w:jc w:val="left"/>
      </w:pPr>
      <w:r>
        <w:rPr>
          <w:b w:val="0"/>
          <w:i w:val="0"/>
          <w:sz w:val="21"/>
        </w:rPr>
        <w:t>3.6 Qualificação econômico-financeira</w:t>
      </w:r>
      <w:r>
        <w:rPr>
          <w:b w:val="0"/>
          <w:i w:val="0"/>
          <w:sz w:val="21"/>
        </w:rPr>
        <w:tab/>
        <w:t>14</w:t>
      </w:r>
    </w:p>
    <w:p>
      <w:pPr>
        <w:tabs>
          <w:tab w:pos="9071" w:val="right" w:leader="dot"/>
        </w:tabs>
        <w:spacing w:before="0" w:after="0" w:line="360" w:lineRule="auto"/>
        <w:ind w:firstLine="0" w:left="340"/>
        <w:jc w:val="left"/>
      </w:pPr>
      <w:r>
        <w:rPr>
          <w:b w:val="0"/>
          <w:i w:val="0"/>
          <w:sz w:val="21"/>
        </w:rPr>
        <w:t>3.7 Tratamento diferenciado a ME e EPP</w:t>
      </w:r>
      <w:r>
        <w:rPr>
          <w:b w:val="0"/>
          <w:i w:val="0"/>
          <w:sz w:val="21"/>
        </w:rPr>
        <w:tab/>
        <w:t>15</w:t>
      </w:r>
    </w:p>
    <w:p>
      <w:pPr>
        <w:tabs>
          <w:tab w:pos="9071" w:val="right" w:leader="dot"/>
        </w:tabs>
        <w:spacing w:before="0" w:after="0" w:line="360" w:lineRule="auto"/>
        <w:ind w:firstLine="0" w:left="340"/>
        <w:jc w:val="left"/>
      </w:pPr>
      <w:r>
        <w:rPr>
          <w:b w:val="0"/>
          <w:i w:val="0"/>
          <w:sz w:val="21"/>
        </w:rPr>
        <w:t>3.8 Impugnação e esclarecimentos</w:t>
      </w:r>
      <w:r>
        <w:rPr>
          <w:b w:val="0"/>
          <w:i w:val="0"/>
          <w:sz w:val="21"/>
        </w:rPr>
        <w:tab/>
        <w:t>16</w:t>
      </w:r>
    </w:p>
    <w:p>
      <w:pPr>
        <w:tabs>
          <w:tab w:pos="9071" w:val="right" w:leader="dot"/>
        </w:tabs>
        <w:spacing w:before="0" w:after="0" w:line="360" w:lineRule="auto"/>
        <w:ind w:firstLine="0" w:left="340"/>
        <w:jc w:val="left"/>
      </w:pPr>
      <w:r>
        <w:rPr>
          <w:b w:val="0"/>
          <w:i w:val="0"/>
          <w:sz w:val="21"/>
        </w:rPr>
        <w:t>3.9 Recursos administrativos</w:t>
      </w:r>
      <w:r>
        <w:rPr>
          <w:b w:val="0"/>
          <w:i w:val="0"/>
          <w:sz w:val="21"/>
        </w:rPr>
        <w:tab/>
        <w:t>17</w:t>
      </w:r>
    </w:p>
    <w:p>
      <w:pPr>
        <w:tabs>
          <w:tab w:pos="9071" w:val="right" w:leader="dot"/>
        </w:tabs>
        <w:spacing w:before="0" w:after="0" w:line="360" w:lineRule="auto"/>
        <w:ind w:firstLine="0" w:left="340"/>
        <w:jc w:val="left"/>
      </w:pPr>
      <w:r>
        <w:rPr>
          <w:b w:val="0"/>
          <w:i w:val="0"/>
          <w:sz w:val="21"/>
        </w:rPr>
        <w:t>3.10 Garantia das mesas ginecológicas sem prazo definido</w:t>
      </w:r>
      <w:r>
        <w:rPr>
          <w:b w:val="0"/>
          <w:i w:val="0"/>
          <w:sz w:val="21"/>
        </w:rPr>
        <w:tab/>
        <w:t>18</w:t>
      </w:r>
    </w:p>
    <w:p>
      <w:pPr>
        <w:tabs>
          <w:tab w:pos="9071" w:val="right" w:leader="dot"/>
        </w:tabs>
        <w:spacing w:before="0" w:after="0" w:line="360" w:lineRule="auto"/>
        <w:ind w:firstLine="0" w:left="340"/>
        <w:jc w:val="left"/>
      </w:pPr>
      <w:r>
        <w:rPr>
          <w:b w:val="0"/>
          <w:i w:val="0"/>
          <w:sz w:val="21"/>
        </w:rPr>
        <w:t>3.11 Vedação ampla de participação de licitantes com sócios ou técnicos servidores do Município</w:t>
      </w:r>
      <w:r>
        <w:rPr>
          <w:b w:val="0"/>
          <w:i w:val="0"/>
          <w:sz w:val="21"/>
        </w:rPr>
        <w:tab/>
        <w:t>19</w:t>
      </w:r>
    </w:p>
    <w:p>
      <w:pPr>
        <w:tabs>
          <w:tab w:pos="9071" w:val="right" w:leader="dot"/>
        </w:tabs>
        <w:spacing w:before="0" w:after="0" w:line="360" w:lineRule="auto"/>
        <w:ind w:firstLine="0" w:left="340"/>
        <w:jc w:val="left"/>
      </w:pPr>
      <w:r>
        <w:rPr>
          <w:b w:val="0"/>
          <w:i w:val="0"/>
          <w:sz w:val="21"/>
        </w:rPr>
        <w:t>3.12 Exigência de via física original ou autenticada após a sessão</w:t>
      </w:r>
      <w:r>
        <w:rPr>
          <w:b w:val="0"/>
          <w:i w:val="0"/>
          <w:sz w:val="21"/>
        </w:rPr>
        <w:tab/>
        <w:t>20</w:t>
      </w:r>
    </w:p>
    <w:p>
      <w:pPr>
        <w:tabs>
          <w:tab w:pos="9071" w:val="right" w:leader="dot"/>
        </w:tabs>
        <w:spacing w:before="0" w:after="0" w:line="360" w:lineRule="auto"/>
        <w:ind w:firstLine="0" w:left="340"/>
        <w:jc w:val="left"/>
      </w:pPr>
      <w:r>
        <w:rPr>
          <w:b w:val="0"/>
          <w:i w:val="0"/>
          <w:sz w:val="21"/>
        </w:rPr>
        <w:t>3.13 Tabela de infrações da multa copiada de modelo de serviços</w:t>
      </w:r>
      <w:r>
        <w:rPr>
          <w:b w:val="0"/>
          <w:i w:val="0"/>
          <w:sz w:val="21"/>
        </w:rPr>
        <w:tab/>
        <w:t>21</w:t>
      </w:r>
    </w:p>
    <w:p>
      <w:pPr>
        <w:tabs>
          <w:tab w:pos="9071" w:val="right" w:leader="dot"/>
        </w:tabs>
        <w:spacing w:before="0" w:after="0" w:line="360" w:lineRule="auto"/>
        <w:ind w:firstLine="0" w:left="340"/>
        <w:jc w:val="left"/>
      </w:pPr>
      <w:r>
        <w:rPr>
          <w:b w:val="0"/>
          <w:i w:val="0"/>
          <w:sz w:val="21"/>
        </w:rPr>
        <w:t>3.14 Edital sem data e assinatura; orçamento defasado em relação à divulgação</w:t>
      </w:r>
      <w:r>
        <w:rPr>
          <w:b w:val="0"/>
          <w:i w:val="0"/>
          <w:sz w:val="21"/>
        </w:rPr>
        <w:tab/>
        <w:t>22</w:t>
      </w:r>
    </w:p>
    <w:p>
      <w:pPr>
        <w:tabs>
          <w:tab w:pos="9071" w:val="right" w:leader="dot"/>
        </w:tabs>
        <w:spacing w:before="0" w:after="0" w:line="360" w:lineRule="auto"/>
        <w:ind w:firstLine="0" w:left="0"/>
        <w:jc w:val="left"/>
      </w:pPr>
      <w:r>
        <w:rPr>
          <w:b/>
          <w:i w:val="0"/>
          <w:sz w:val="22"/>
        </w:rPr>
        <w:t>4 RECOMENDAÇÕES DE MELHORIA</w:t>
      </w:r>
      <w:r>
        <w:rPr>
          <w:b/>
          <w:i w:val="0"/>
          <w:sz w:val="22"/>
        </w:rPr>
        <w:tab/>
        <w:t>22</w:t>
      </w:r>
    </w:p>
    <w:p>
      <w:pPr>
        <w:tabs>
          <w:tab w:pos="9071" w:val="right" w:leader="dot"/>
        </w:tabs>
        <w:spacing w:before="0" w:after="0" w:line="360" w:lineRule="auto"/>
        <w:ind w:firstLine="0" w:left="0"/>
        <w:jc w:val="left"/>
      </w:pPr>
      <w:r>
        <w:rPr>
          <w:b/>
          <w:i w:val="0"/>
          <w:sz w:val="22"/>
        </w:rPr>
        <w:t>5 CONCLUSÃO</w:t>
      </w:r>
      <w:r>
        <w:rPr>
          <w:b/>
          <w:i w:val="0"/>
          <w:sz w:val="22"/>
        </w:rPr>
        <w:tab/>
        <w:t>23</w:t>
      </w:r>
    </w:p>
    <w:p>
      <w:pPr>
        <w:tabs>
          <w:tab w:pos="9071" w:val="right" w:leader="dot"/>
        </w:tabs>
        <w:spacing w:before="0" w:after="0" w:line="360" w:lineRule="auto"/>
        <w:ind w:firstLine="0" w:left="0"/>
        <w:jc w:val="left"/>
      </w:pPr>
      <w:r>
        <w:rPr>
          <w:b/>
          <w:i w:val="0"/>
          <w:sz w:val="22"/>
        </w:rPr>
        <w:t>REFERÊNCIAS</w:t>
      </w:r>
      <w:r>
        <w:rPr>
          <w:b/>
          <w:i w:val="0"/>
          <w:sz w:val="22"/>
        </w:rPr>
        <w:tab/>
        <w:t>27</w:t>
      </w:r>
    </w:p>
    <w:p>
      <w:pPr>
        <w:tabs>
          <w:tab w:pos="9071" w:val="right" w:leader="dot"/>
        </w:tabs>
        <w:spacing w:before="0" w:after="0" w:line="360" w:lineRule="auto"/>
        <w:ind w:firstLine="0" w:left="0"/>
        <w:jc w:val="left"/>
      </w:pPr>
      <w:r>
        <w:rPr>
          <w:b/>
          <w:i w:val="0"/>
          <w:sz w:val="22"/>
        </w:rPr>
        <w:t>APÊNDICE A – LISTA DE VERIFICAÇÃO</w:t>
      </w:r>
      <w:r>
        <w:rPr>
          <w:b/>
          <w:i w:val="0"/>
          <w:sz w:val="22"/>
        </w:rPr>
        <w:tab/>
        <w:t>28</w:t>
      </w:r>
    </w:p>
    <w:p>
      <w:pPr>
        <w:tabs>
          <w:tab w:pos="9071" w:val="right" w:leader="dot"/>
        </w:tabs>
        <w:spacing w:before="0" w:after="0" w:line="360" w:lineRule="auto"/>
        <w:ind w:firstLine="0" w:left="0"/>
        <w:jc w:val="left"/>
      </w:pPr>
      <w:r>
        <w:rPr>
          <w:b/>
          <w:i w:val="0"/>
          <w:sz w:val="22"/>
        </w:rPr>
        <w:t>APÊNDICE B – METODOLOGIA E LIMITES</w:t>
      </w:r>
      <w:r>
        <w:rPr>
          <w:b/>
          <w:i w:val="0"/>
          <w:sz w:val="22"/>
        </w:rPr>
        <w:tab/>
        <w:t>29</w:t>
      </w:r>
    </w:p>
    <w:p>
      <w:r>
        <w:br w:type="page"/>
      </w:r>
    </w:p>
    <w:p>
      <w:pPr>
        <w:pStyle w:val="Heading1"/>
        <w:keepNext/>
        <w:spacing w:before="360" w:after="160" w:line="360" w:lineRule="auto"/>
        <w:ind w:firstLine="0"/>
        <w:jc w:val="left"/>
      </w:pPr>
      <w:r>
        <w:rPr>
          <w:rFonts w:ascii="Arial" w:hAnsi="Arial"/>
          <w:b/>
          <w:i w:val="0"/>
          <w:color w:val="12324A"/>
          <w:sz w:val="24"/>
        </w:rPr>
        <w:t>1 PAINEL EXECUTIVO</w:t>
      </w:r>
    </w:p>
    <w:p>
      <w:pPr>
        <w:spacing w:before="0" w:after="160" w:line="360" w:lineRule="auto"/>
        <w:ind w:firstLine="0"/>
        <w:jc w:val="both"/>
      </w:pPr>
      <w:r>
        <w:rPr>
          <w:b w:val="0"/>
          <w:i/>
          <w:color w:val="66757F"/>
          <w:sz w:val="20"/>
        </w:rPr>
        <w:t>Visão geral do resultado. O detalhamento, com o texto legal e os precedentes, está na seção 3.</w:t>
      </w:r>
    </w:p>
    <w:tbl>
      <w:tblPr>
        <w:tblW w:type="auto" w:w="0"/>
        <w:jc w:val="center"/>
        <w:tblLook w:firstColumn="1" w:firstRow="1" w:lastColumn="0" w:lastRow="0" w:noHBand="0" w:noVBand="1" w:val="04A0"/>
        <w:tblLayout w:type="fixed"/>
      </w:tblPr>
      <w:tblGrid>
        <w:gridCol w:w="2012"/>
        <w:gridCol w:w="340"/>
        <w:gridCol w:w="2012"/>
        <w:gridCol w:w="340"/>
        <w:gridCol w:w="2012"/>
        <w:gridCol w:w="340"/>
        <w:gridCol w:w="2012"/>
      </w:tblGrid>
      <w:tr>
        <w:tc>
          <w:tcPr>
            <w:tcW w:type="dxa" w:w="2013"/>
            <w:tcBorders>
              <w:top w:val="nil"/>
              <w:left w:val="nil"/>
              <w:bottom w:val="nil"/>
              <w:right w:val="nil"/>
              <w:top w:val="single" w:sz="24" w:color="B23A48" w:space="0"/>
              <w:left w:val="nil"/>
              <w:bottom w:val="nil"/>
              <w:right w:val="nil"/>
            </w:tcBorders>
            <w:shd w:val="clear" w:color="auto" w:fill="F8E6E8"/>
            <w:tcMar>
              <w:top w:w="113" w:type="dxa"/>
              <w:left w:w="113" w:type="dxa"/>
              <w:bottom w:w="113" w:type="dxa"/>
              <w:right w:w="113" w:type="dxa"/>
            </w:tcMar>
          </w:tcPr>
          <w:p>
            <w:pPr>
              <w:spacing w:before="0" w:after="0" w:line="240" w:lineRule="auto"/>
              <w:ind w:firstLine="0"/>
              <w:jc w:val="left"/>
            </w:pPr>
            <w:r>
              <w:rPr>
                <w:b/>
                <w:i w:val="0"/>
                <w:color w:val="B23A48"/>
                <w:sz w:val="48"/>
              </w:rPr>
              <w:t>1</w:t>
            </w:r>
          </w:p>
          <w:p>
            <w:pPr>
              <w:spacing w:before="0" w:after="40" w:line="240" w:lineRule="auto"/>
              <w:ind w:firstLine="0"/>
              <w:jc w:val="left"/>
            </w:pPr>
            <w:r>
              <w:rPr>
                <w:b/>
                <w:i w:val="0"/>
                <w:color w:val="1E2A32"/>
                <w:sz w:val="14"/>
              </w:rPr>
              <w:t>GRAVIDADE ALTA</w:t>
            </w:r>
          </w:p>
        </w:tc>
        <w:tc>
          <w:tcPr>
            <w:tcW w:type="dxa" w:w="340"/>
            <w:tcBorders>
              <w:top w:val="nil"/>
              <w:left w:val="nil"/>
              <w:bottom w:val="nil"/>
              <w:right w:val="nil"/>
            </w:tcBorders>
          </w:tcPr>
          <w:p/>
        </w:tc>
        <w:tc>
          <w:tcPr>
            <w:tcW w:type="dxa" w:w="2013"/>
            <w:tcBorders>
              <w:top w:val="nil"/>
              <w:left w:val="nil"/>
              <w:bottom w:val="nil"/>
              <w:right w:val="nil"/>
              <w:top w:val="single" w:sz="24" w:color="C9781E" w:space="0"/>
              <w:left w:val="nil"/>
              <w:bottom w:val="nil"/>
              <w:right w:val="nil"/>
            </w:tcBorders>
            <w:shd w:val="clear" w:color="auto" w:fill="FBEEDD"/>
            <w:tcMar>
              <w:top w:w="113" w:type="dxa"/>
              <w:left w:w="113" w:type="dxa"/>
              <w:bottom w:w="113" w:type="dxa"/>
              <w:right w:w="113" w:type="dxa"/>
            </w:tcMar>
          </w:tcPr>
          <w:p>
            <w:pPr>
              <w:spacing w:before="0" w:after="0" w:line="240" w:lineRule="auto"/>
              <w:ind w:firstLine="0"/>
              <w:jc w:val="left"/>
            </w:pPr>
            <w:r>
              <w:rPr>
                <w:b/>
                <w:i w:val="0"/>
                <w:color w:val="C9781E"/>
                <w:sz w:val="48"/>
              </w:rPr>
              <w:t>4</w:t>
            </w:r>
          </w:p>
          <w:p>
            <w:pPr>
              <w:spacing w:before="0" w:after="40" w:line="240" w:lineRule="auto"/>
              <w:ind w:firstLine="0"/>
              <w:jc w:val="left"/>
            </w:pPr>
            <w:r>
              <w:rPr>
                <w:b/>
                <w:i w:val="0"/>
                <w:color w:val="1E2A32"/>
                <w:sz w:val="14"/>
              </w:rPr>
              <w:t>GRAVIDADE MÉDIA</w:t>
            </w:r>
          </w:p>
        </w:tc>
        <w:tc>
          <w:tcPr>
            <w:tcW w:type="dxa" w:w="340"/>
            <w:tcBorders>
              <w:top w:val="nil"/>
              <w:left w:val="nil"/>
              <w:bottom w:val="nil"/>
              <w:right w:val="nil"/>
            </w:tcBorders>
          </w:tcPr>
          <w:p/>
        </w:tc>
        <w:tc>
          <w:tcPr>
            <w:tcW w:type="dxa" w:w="2013"/>
            <w:tcBorders>
              <w:top w:val="nil"/>
              <w:left w:val="nil"/>
              <w:bottom w:val="nil"/>
              <w:right w:val="nil"/>
              <w:top w:val="single" w:sz="24" w:color="3D8FA6" w:space="0"/>
              <w:left w:val="nil"/>
              <w:bottom w:val="nil"/>
              <w:right w:val="nil"/>
            </w:tcBorders>
            <w:shd w:val="clear" w:color="auto" w:fill="E3F1F5"/>
            <w:tcMar>
              <w:top w:w="113" w:type="dxa"/>
              <w:left w:w="113" w:type="dxa"/>
              <w:bottom w:w="113" w:type="dxa"/>
              <w:right w:w="113" w:type="dxa"/>
            </w:tcMar>
          </w:tcPr>
          <w:p>
            <w:pPr>
              <w:spacing w:before="0" w:after="0" w:line="240" w:lineRule="auto"/>
              <w:ind w:firstLine="0"/>
              <w:jc w:val="left"/>
            </w:pPr>
            <w:r>
              <w:rPr>
                <w:b/>
                <w:i w:val="0"/>
                <w:color w:val="3D8FA6"/>
                <w:sz w:val="48"/>
              </w:rPr>
              <w:t>9</w:t>
            </w:r>
          </w:p>
          <w:p>
            <w:pPr>
              <w:spacing w:before="0" w:after="40" w:line="240" w:lineRule="auto"/>
              <w:ind w:firstLine="0"/>
              <w:jc w:val="left"/>
            </w:pPr>
            <w:r>
              <w:rPr>
                <w:b/>
                <w:i w:val="0"/>
                <w:color w:val="1E2A32"/>
                <w:sz w:val="14"/>
              </w:rPr>
              <w:t>GRAVIDADE BAIXA</w:t>
            </w:r>
          </w:p>
        </w:tc>
        <w:tc>
          <w:tcPr>
            <w:tcW w:type="dxa" w:w="340"/>
            <w:tcBorders>
              <w:top w:val="nil"/>
              <w:left w:val="nil"/>
              <w:bottom w:val="nil"/>
              <w:right w:val="nil"/>
            </w:tcBorders>
          </w:tcPr>
          <w:p/>
        </w:tc>
        <w:tc>
          <w:tcPr>
            <w:tcW w:type="dxa" w:w="2013"/>
            <w:tcBorders>
              <w:top w:val="nil"/>
              <w:left w:val="nil"/>
              <w:bottom w:val="nil"/>
              <w:right w:val="nil"/>
              <w:top w:val="single" w:sz="24" w:color="2E8B57" w:space="0"/>
              <w:left w:val="nil"/>
              <w:bottom w:val="nil"/>
              <w:right w:val="nil"/>
            </w:tcBorders>
            <w:shd w:val="clear" w:color="auto" w:fill="E3F2EA"/>
            <w:tcMar>
              <w:top w:w="113" w:type="dxa"/>
              <w:left w:w="113" w:type="dxa"/>
              <w:bottom w:w="113" w:type="dxa"/>
              <w:right w:w="113" w:type="dxa"/>
            </w:tcMar>
          </w:tcPr>
          <w:p>
            <w:pPr>
              <w:spacing w:before="0" w:after="0" w:line="240" w:lineRule="auto"/>
              <w:ind w:firstLine="0"/>
              <w:jc w:val="left"/>
            </w:pPr>
            <w:r>
              <w:rPr>
                <w:b/>
                <w:i w:val="0"/>
                <w:color w:val="2E8B57"/>
                <w:sz w:val="48"/>
              </w:rPr>
              <w:t>3</w:t>
            </w:r>
          </w:p>
          <w:p>
            <w:pPr>
              <w:spacing w:before="0" w:after="40" w:line="240" w:lineRule="auto"/>
              <w:ind w:firstLine="0"/>
              <w:jc w:val="left"/>
            </w:pPr>
            <w:r>
              <w:rPr>
                <w:b/>
                <w:i w:val="0"/>
                <w:color w:val="1E2A32"/>
                <w:sz w:val="14"/>
              </w:rPr>
              <w:t>MELHORIAS</w:t>
            </w:r>
          </w:p>
        </w:tc>
      </w:tr>
    </w:tbl>
    <w:p>
      <w:pPr>
        <w:spacing w:before="0" w:after="80" w:line="240" w:lineRule="auto"/>
        <w:ind w:firstLine="0"/>
        <w:jc w:val="both"/>
      </w:pPr>
    </w:p>
    <w:p>
      <w:pPr>
        <w:spacing w:before="0" w:after="40" w:line="240" w:lineRule="auto"/>
        <w:ind w:firstLine="0"/>
        <w:jc w:val="center"/>
      </w:pPr>
      <w:r>
        <w:drawing>
          <wp:inline xmlns:a="http://schemas.openxmlformats.org/drawingml/2006/main" xmlns:pic="http://schemas.openxmlformats.org/drawingml/2006/picture">
            <wp:extent cx="5760000" cy="2250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760000" cy="2250000"/>
                    </a:xfrm>
                    <a:prstGeom prst="rect"/>
                  </pic:spPr>
                </pic:pic>
              </a:graphicData>
            </a:graphic>
          </wp:inline>
        </w:drawing>
      </w:r>
    </w:p>
    <w:p>
      <w:pPr>
        <w:spacing w:before="0" w:after="240" w:line="240" w:lineRule="auto"/>
        <w:ind w:firstLine="0"/>
        <w:jc w:val="left"/>
      </w:pPr>
      <w:r>
        <w:rPr>
          <w:b/>
          <w:i w:val="0"/>
          <w:color w:val="66757F"/>
          <w:sz w:val="15"/>
        </w:rPr>
        <w:t xml:space="preserve">Índice de conformidade: </w:t>
      </w:r>
      <w:r>
        <w:rPr>
          <w:b w:val="0"/>
          <w:i w:val="0"/>
          <w:color w:val="66757F"/>
          <w:sz w:val="15"/>
        </w:rPr>
        <w:t>itens conformes mais metade dos parcialmente conformes, divididos pelos itens aplicáveis e verificáveis. Indicador de leitura rápida; não substitui o exame de cada apontamento.</w:t>
      </w:r>
    </w:p>
    <w:p>
      <w:pPr>
        <w:spacing w:before="0" w:after="120" w:line="240" w:lineRule="auto"/>
        <w:ind w:firstLine="0"/>
        <w:jc w:val="both"/>
      </w:pPr>
      <w:r>
        <w:rPr>
          <w:b/>
          <w:i w:val="0"/>
          <w:color w:val="1F7A8C"/>
          <w:sz w:val="18"/>
        </w:rPr>
        <w:t>PRINCIPAIS ACHADOS</w:t>
      </w:r>
    </w:p>
    <w:tbl>
      <w:tblPr>
        <w:tblW w:type="auto" w:w="0"/>
        <w:jc w:val="center"/>
        <w:tblLook w:firstColumn="1" w:firstRow="1" w:lastColumn="0" w:lastRow="0" w:noHBand="0" w:noVBand="1" w:val="04A0"/>
        <w:tblLayout w:type="fixed"/>
      </w:tblPr>
      <w:tblGrid>
        <w:gridCol w:w="567"/>
        <w:gridCol w:w="4876"/>
        <w:gridCol w:w="1474"/>
        <w:gridCol w:w="2154"/>
      </w:tblGrid>
      <w:tr>
        <w:tc>
          <w:tcPr>
            <w:tcW w:type="dxa" w:w="567"/>
            <w:tcBorders>
              <w:top w:val="nil"/>
              <w:left w:val="nil"/>
              <w:bottom w:val="nil"/>
              <w:right w:val="nil"/>
            </w:tcBorders>
            <w:shd w:val="clear" w:color="auto" w:fill="12324A"/>
            <w:tcMar>
              <w:top w:w="68" w:type="dxa"/>
              <w:left w:w="68" w:type="dxa"/>
              <w:bottom w:w="68" w:type="dxa"/>
              <w:right w:w="68" w:type="dxa"/>
            </w:tcMar>
          </w:tcPr>
          <w:p>
            <w:pPr>
              <w:spacing w:before="0" w:after="0" w:line="240" w:lineRule="auto"/>
              <w:ind w:firstLine="0"/>
              <w:jc w:val="left"/>
            </w:pPr>
            <w:r>
              <w:rPr>
                <w:b/>
                <w:i w:val="0"/>
                <w:color w:val="FFFFFF"/>
                <w:sz w:val="15"/>
              </w:rPr>
              <w:t>ITEM</w:t>
            </w:r>
          </w:p>
        </w:tc>
        <w:tc>
          <w:tcPr>
            <w:tcW w:type="dxa" w:w="4876"/>
            <w:tcBorders>
              <w:top w:val="nil"/>
              <w:left w:val="nil"/>
              <w:bottom w:val="nil"/>
              <w:right w:val="nil"/>
            </w:tcBorders>
            <w:shd w:val="clear" w:color="auto" w:fill="12324A"/>
            <w:tcMar>
              <w:top w:w="68" w:type="dxa"/>
              <w:left w:w="68" w:type="dxa"/>
              <w:bottom w:w="68" w:type="dxa"/>
              <w:right w:w="68" w:type="dxa"/>
            </w:tcMar>
          </w:tcPr>
          <w:p>
            <w:pPr>
              <w:spacing w:before="0" w:after="0" w:line="240" w:lineRule="auto"/>
              <w:ind w:firstLine="0"/>
              <w:jc w:val="left"/>
            </w:pPr>
            <w:r>
              <w:rPr>
                <w:b/>
                <w:i w:val="0"/>
                <w:color w:val="FFFFFF"/>
                <w:sz w:val="15"/>
              </w:rPr>
              <w:t>ACHADO</w:t>
            </w:r>
          </w:p>
        </w:tc>
        <w:tc>
          <w:tcPr>
            <w:tcW w:type="dxa" w:w="1474"/>
            <w:tcBorders>
              <w:top w:val="nil"/>
              <w:left w:val="nil"/>
              <w:bottom w:val="nil"/>
              <w:right w:val="nil"/>
            </w:tcBorders>
            <w:shd w:val="clear" w:color="auto" w:fill="12324A"/>
            <w:tcMar>
              <w:top w:w="68" w:type="dxa"/>
              <w:left w:w="68" w:type="dxa"/>
              <w:bottom w:w="68" w:type="dxa"/>
              <w:right w:w="68" w:type="dxa"/>
            </w:tcMar>
          </w:tcPr>
          <w:p>
            <w:pPr>
              <w:spacing w:before="0" w:after="0" w:line="240" w:lineRule="auto"/>
              <w:ind w:firstLine="0"/>
              <w:jc w:val="left"/>
            </w:pPr>
            <w:r>
              <w:rPr>
                <w:b/>
                <w:i w:val="0"/>
                <w:color w:val="FFFFFF"/>
                <w:sz w:val="15"/>
              </w:rPr>
              <w:t>GRAVIDADE</w:t>
            </w:r>
          </w:p>
        </w:tc>
        <w:tc>
          <w:tcPr>
            <w:tcW w:type="dxa" w:w="2154"/>
            <w:tcBorders>
              <w:top w:val="nil"/>
              <w:left w:val="nil"/>
              <w:bottom w:val="nil"/>
              <w:right w:val="nil"/>
            </w:tcBorders>
            <w:shd w:val="clear" w:color="auto" w:fill="12324A"/>
            <w:tcMar>
              <w:top w:w="68" w:type="dxa"/>
              <w:left w:w="68" w:type="dxa"/>
              <w:bottom w:w="68" w:type="dxa"/>
              <w:right w:w="68" w:type="dxa"/>
            </w:tcMar>
          </w:tcPr>
          <w:p>
            <w:pPr>
              <w:spacing w:before="0" w:after="0" w:line="240" w:lineRule="auto"/>
              <w:ind w:firstLine="0"/>
              <w:jc w:val="left"/>
            </w:pPr>
            <w:r>
              <w:rPr>
                <w:b/>
                <w:i w:val="0"/>
                <w:color w:val="FFFFFF"/>
                <w:sz w:val="15"/>
              </w:rPr>
              <w:t>DISPOSITIVO</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i w:val="0"/>
                <w:color w:val="12324A"/>
                <w:sz w:val="17"/>
              </w:rPr>
              <w:t>3.1</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Prazo mínimo para apresentação de propostas</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color w:val="B23A48"/>
                <w:sz w:val="18"/>
              </w:rPr>
              <w:t xml:space="preserve">● </w:t>
            </w:r>
            <w:r>
              <w:rPr>
                <w:b/>
                <w:i w:val="0"/>
                <w:color w:val="B23A48"/>
                <w:sz w:val="17"/>
              </w:rPr>
              <w:t>Alta</w:t>
            </w:r>
          </w:p>
          <w:p>
            <w:pPr>
              <w:spacing w:before="0" w:after="0" w:line="240" w:lineRule="auto"/>
              <w:ind w:firstLine="0"/>
              <w:jc w:val="left"/>
            </w:pPr>
            <w:r>
              <w:rPr>
                <w:b w:val="0"/>
                <w:i w:val="0"/>
                <w:color w:val="66757F"/>
                <w:sz w:val="14"/>
              </w:rPr>
              <w:t>Não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art. 55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i w:val="0"/>
                <w:color w:val="12324A"/>
                <w:sz w:val="17"/>
              </w:rPr>
              <w:t>3.2</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Qualificação técnica proporcional</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color w:val="C9781E"/>
                <w:sz w:val="18"/>
              </w:rPr>
              <w:t xml:space="preserve">● </w:t>
            </w:r>
            <w:r>
              <w:rPr>
                <w:b/>
                <w:i w:val="0"/>
                <w:color w:val="C9781E"/>
                <w:sz w:val="17"/>
              </w:rPr>
              <w:t>Média</w:t>
            </w:r>
          </w:p>
          <w:p>
            <w:pPr>
              <w:spacing w:before="0" w:after="0" w:line="240" w:lineRule="auto"/>
              <w:ind w:firstLine="0"/>
              <w:jc w:val="left"/>
            </w:pPr>
            <w:r>
              <w:rPr>
                <w:b w:val="0"/>
                <w:i w:val="0"/>
                <w:color w:val="66757F"/>
                <w:sz w:val="14"/>
              </w:rPr>
              <w:t>Parcialmente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art. 67, § 1º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i w:val="0"/>
                <w:color w:val="12324A"/>
                <w:sz w:val="17"/>
              </w:rPr>
              <w:t>3.3</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Minuta de contrato como anexo e cláusulas necessárias</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color w:val="C9781E"/>
                <w:sz w:val="18"/>
              </w:rPr>
              <w:t xml:space="preserve">● </w:t>
            </w:r>
            <w:r>
              <w:rPr>
                <w:b/>
                <w:i w:val="0"/>
                <w:color w:val="C9781E"/>
                <w:sz w:val="17"/>
              </w:rPr>
              <w:t>Média</w:t>
            </w:r>
          </w:p>
          <w:p>
            <w:pPr>
              <w:spacing w:before="0" w:after="0" w:line="240" w:lineRule="auto"/>
              <w:ind w:firstLine="0"/>
              <w:jc w:val="left"/>
            </w:pPr>
            <w:r>
              <w:rPr>
                <w:b w:val="0"/>
                <w:i w:val="0"/>
                <w:color w:val="66757F"/>
                <w:sz w:val="14"/>
              </w:rPr>
              <w:t>Parcialmente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art. 18, inciso VI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i w:val="0"/>
                <w:color w:val="12324A"/>
                <w:sz w:val="17"/>
              </w:rPr>
              <w:t>3.4</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Coerência interna do edital e dos anexos</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color w:val="C9781E"/>
                <w:sz w:val="18"/>
              </w:rPr>
              <w:t xml:space="preserve">● </w:t>
            </w:r>
            <w:r>
              <w:rPr>
                <w:b/>
                <w:i w:val="0"/>
                <w:color w:val="C9781E"/>
                <w:sz w:val="17"/>
              </w:rPr>
              <w:t>Média</w:t>
            </w:r>
          </w:p>
          <w:p>
            <w:pPr>
              <w:spacing w:before="0" w:after="0" w:line="240" w:lineRule="auto"/>
              <w:ind w:firstLine="0"/>
              <w:jc w:val="left"/>
            </w:pPr>
            <w:r>
              <w:rPr>
                <w:b w:val="0"/>
                <w:i w:val="0"/>
                <w:color w:val="66757F"/>
                <w:sz w:val="14"/>
              </w:rPr>
              <w:t>Não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art. 25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i w:val="0"/>
                <w:color w:val="12324A"/>
                <w:sz w:val="17"/>
              </w:rPr>
              <w:t>3.5</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Minuta de contrato com cláusula de garantia incompatível com a decisão de não exigir garantia</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color w:val="C9781E"/>
                <w:sz w:val="18"/>
              </w:rPr>
              <w:t xml:space="preserve">● </w:t>
            </w:r>
            <w:r>
              <w:rPr>
                <w:b/>
                <w:i w:val="0"/>
                <w:color w:val="C9781E"/>
                <w:sz w:val="17"/>
              </w:rPr>
              <w:t>Média</w:t>
            </w:r>
          </w:p>
          <w:p>
            <w:pPr>
              <w:spacing w:before="0" w:after="0" w:line="240" w:lineRule="auto"/>
              <w:ind w:firstLine="0"/>
              <w:jc w:val="left"/>
            </w:pPr>
            <w:r>
              <w:rPr>
                <w:b w:val="0"/>
                <w:i w:val="0"/>
                <w:color w:val="66757F"/>
                <w:sz w:val="14"/>
              </w:rPr>
              <w:t>Apontamento adicional</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art. 98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i w:val="0"/>
                <w:color w:val="12324A"/>
                <w:sz w:val="17"/>
              </w:rPr>
              <w:t>3.6</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Qualificação econômico-financeira</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color w:val="3D8FA6"/>
                <w:sz w:val="18"/>
              </w:rPr>
              <w:t xml:space="preserve">● </w:t>
            </w:r>
            <w:r>
              <w:rPr>
                <w:b/>
                <w:i w:val="0"/>
                <w:color w:val="3D8FA6"/>
                <w:sz w:val="17"/>
              </w:rPr>
              <w:t>Baixa</w:t>
            </w:r>
          </w:p>
          <w:p>
            <w:pPr>
              <w:spacing w:before="0" w:after="0" w:line="240" w:lineRule="auto"/>
              <w:ind w:firstLine="0"/>
              <w:jc w:val="left"/>
            </w:pPr>
            <w:r>
              <w:rPr>
                <w:b w:val="0"/>
                <w:i w:val="0"/>
                <w:color w:val="66757F"/>
                <w:sz w:val="14"/>
              </w:rPr>
              <w:t>Parcialmente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art. 69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i w:val="0"/>
                <w:color w:val="12324A"/>
                <w:sz w:val="17"/>
              </w:rPr>
              <w:t>3.7</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Tratamento diferenciado a ME e EPP</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color w:val="3D8FA6"/>
                <w:sz w:val="18"/>
              </w:rPr>
              <w:t xml:space="preserve">● </w:t>
            </w:r>
            <w:r>
              <w:rPr>
                <w:b/>
                <w:i w:val="0"/>
                <w:color w:val="3D8FA6"/>
                <w:sz w:val="17"/>
              </w:rPr>
              <w:t>Baixa</w:t>
            </w:r>
          </w:p>
          <w:p>
            <w:pPr>
              <w:spacing w:before="0" w:after="0" w:line="240" w:lineRule="auto"/>
              <w:ind w:firstLine="0"/>
              <w:jc w:val="left"/>
            </w:pPr>
            <w:r>
              <w:rPr>
                <w:b w:val="0"/>
                <w:i w:val="0"/>
                <w:color w:val="66757F"/>
                <w:sz w:val="14"/>
              </w:rPr>
              <w:t>Parcialmente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art. 4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i w:val="0"/>
                <w:color w:val="12324A"/>
                <w:sz w:val="17"/>
              </w:rPr>
              <w:t>3.8</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Impugnação e esclarecimentos</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color w:val="3D8FA6"/>
                <w:sz w:val="18"/>
              </w:rPr>
              <w:t xml:space="preserve">● </w:t>
            </w:r>
            <w:r>
              <w:rPr>
                <w:b/>
                <w:i w:val="0"/>
                <w:color w:val="3D8FA6"/>
                <w:sz w:val="17"/>
              </w:rPr>
              <w:t>Baixa</w:t>
            </w:r>
          </w:p>
          <w:p>
            <w:pPr>
              <w:spacing w:before="0" w:after="0" w:line="240" w:lineRule="auto"/>
              <w:ind w:firstLine="0"/>
              <w:jc w:val="left"/>
            </w:pPr>
            <w:r>
              <w:rPr>
                <w:b w:val="0"/>
                <w:i w:val="0"/>
                <w:color w:val="66757F"/>
                <w:sz w:val="14"/>
              </w:rPr>
              <w:t>Parcialmente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art. 164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i w:val="0"/>
                <w:color w:val="12324A"/>
                <w:sz w:val="17"/>
              </w:rPr>
              <w:t>3.9</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Recursos administrativos</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color w:val="3D8FA6"/>
                <w:sz w:val="18"/>
              </w:rPr>
              <w:t xml:space="preserve">● </w:t>
            </w:r>
            <w:r>
              <w:rPr>
                <w:b/>
                <w:i w:val="0"/>
                <w:color w:val="3D8FA6"/>
                <w:sz w:val="17"/>
              </w:rPr>
              <w:t>Baixa</w:t>
            </w:r>
          </w:p>
          <w:p>
            <w:pPr>
              <w:spacing w:before="0" w:after="0" w:line="240" w:lineRule="auto"/>
              <w:ind w:firstLine="0"/>
              <w:jc w:val="left"/>
            </w:pPr>
            <w:r>
              <w:rPr>
                <w:b w:val="0"/>
                <w:i w:val="0"/>
                <w:color w:val="66757F"/>
                <w:sz w:val="14"/>
              </w:rPr>
              <w:t>Parcialmente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art. 165, inciso I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i w:val="0"/>
                <w:color w:val="12324A"/>
                <w:sz w:val="17"/>
              </w:rPr>
              <w:t>3.10</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Garantia das mesas ginecológicas sem prazo definido</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color w:val="3D8FA6"/>
                <w:sz w:val="18"/>
              </w:rPr>
              <w:t xml:space="preserve">● </w:t>
            </w:r>
            <w:r>
              <w:rPr>
                <w:b/>
                <w:i w:val="0"/>
                <w:color w:val="3D8FA6"/>
                <w:sz w:val="17"/>
              </w:rPr>
              <w:t>Baixa</w:t>
            </w:r>
          </w:p>
          <w:p>
            <w:pPr>
              <w:spacing w:before="0" w:after="0" w:line="240" w:lineRule="auto"/>
              <w:ind w:firstLine="0"/>
              <w:jc w:val="left"/>
            </w:pPr>
            <w:r>
              <w:rPr>
                <w:b w:val="0"/>
                <w:i w:val="0"/>
                <w:color w:val="66757F"/>
                <w:sz w:val="14"/>
              </w:rPr>
              <w:t>Apontamento adicional</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i w:val="0"/>
                <w:color w:val="12324A"/>
                <w:sz w:val="17"/>
              </w:rPr>
              <w:t>3.11</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Vedação ampla de participação de licitantes com sócios ou técnicos servidores do Município</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color w:val="3D8FA6"/>
                <w:sz w:val="18"/>
              </w:rPr>
              <w:t xml:space="preserve">● </w:t>
            </w:r>
            <w:r>
              <w:rPr>
                <w:b/>
                <w:i w:val="0"/>
                <w:color w:val="3D8FA6"/>
                <w:sz w:val="17"/>
              </w:rPr>
              <w:t>Baixa</w:t>
            </w:r>
          </w:p>
          <w:p>
            <w:pPr>
              <w:spacing w:before="0" w:after="0" w:line="240" w:lineRule="auto"/>
              <w:ind w:firstLine="0"/>
              <w:jc w:val="left"/>
            </w:pPr>
            <w:r>
              <w:rPr>
                <w:b w:val="0"/>
                <w:i w:val="0"/>
                <w:color w:val="66757F"/>
                <w:sz w:val="14"/>
              </w:rPr>
              <w:t>Apontamento adicional</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art. 14, inciso IV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i w:val="0"/>
                <w:color w:val="12324A"/>
                <w:sz w:val="17"/>
              </w:rPr>
              <w:t>3.12</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Exigência de via física original ou autenticada após a sessão</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color w:val="3D8FA6"/>
                <w:sz w:val="18"/>
              </w:rPr>
              <w:t xml:space="preserve">● </w:t>
            </w:r>
            <w:r>
              <w:rPr>
                <w:b/>
                <w:i w:val="0"/>
                <w:color w:val="3D8FA6"/>
                <w:sz w:val="17"/>
              </w:rPr>
              <w:t>Baixa</w:t>
            </w:r>
          </w:p>
          <w:p>
            <w:pPr>
              <w:spacing w:before="0" w:after="0" w:line="240" w:lineRule="auto"/>
              <w:ind w:firstLine="0"/>
              <w:jc w:val="left"/>
            </w:pPr>
            <w:r>
              <w:rPr>
                <w:b w:val="0"/>
                <w:i w:val="0"/>
                <w:color w:val="66757F"/>
                <w:sz w:val="14"/>
              </w:rPr>
              <w:t>Apontamento adicional</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art. 70, inciso I</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i w:val="0"/>
                <w:color w:val="12324A"/>
                <w:sz w:val="17"/>
              </w:rPr>
              <w:t>3.13</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Tabela de infrações da multa copiada de modelo de serviços</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color w:val="3D8FA6"/>
                <w:sz w:val="18"/>
              </w:rPr>
              <w:t xml:space="preserve">● </w:t>
            </w:r>
            <w:r>
              <w:rPr>
                <w:b/>
                <w:i w:val="0"/>
                <w:color w:val="3D8FA6"/>
                <w:sz w:val="17"/>
              </w:rPr>
              <w:t>Baixa</w:t>
            </w:r>
          </w:p>
          <w:p>
            <w:pPr>
              <w:spacing w:before="0" w:after="0" w:line="240" w:lineRule="auto"/>
              <w:ind w:firstLine="0"/>
              <w:jc w:val="left"/>
            </w:pPr>
            <w:r>
              <w:rPr>
                <w:b w:val="0"/>
                <w:i w:val="0"/>
                <w:color w:val="66757F"/>
                <w:sz w:val="14"/>
              </w:rPr>
              <w:t>Apontamento adicional</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art. 156</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i w:val="0"/>
                <w:color w:val="12324A"/>
                <w:sz w:val="17"/>
              </w:rPr>
              <w:t>3.14</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Edital sem data e assinatura; orçamento defasado em relação à divulgação</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color w:val="3D8FA6"/>
                <w:sz w:val="18"/>
              </w:rPr>
              <w:t xml:space="preserve">● </w:t>
            </w:r>
            <w:r>
              <w:rPr>
                <w:b/>
                <w:i w:val="0"/>
                <w:color w:val="3D8FA6"/>
                <w:sz w:val="17"/>
              </w:rPr>
              <w:t>Baixa</w:t>
            </w:r>
          </w:p>
          <w:p>
            <w:pPr>
              <w:spacing w:before="0" w:after="0" w:line="240" w:lineRule="auto"/>
              <w:ind w:firstLine="0"/>
              <w:jc w:val="left"/>
            </w:pPr>
            <w:r>
              <w:rPr>
                <w:b w:val="0"/>
                <w:i w:val="0"/>
                <w:color w:val="66757F"/>
                <w:sz w:val="14"/>
              </w:rPr>
              <w:t>Apontamento adicional</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w:t>
            </w:r>
          </w:p>
        </w:tc>
      </w:tr>
    </w:tbl>
    <w:p>
      <w:r>
        <w:br w:type="page"/>
      </w:r>
    </w:p>
    <w:tbl>
      <w:tblPr>
        <w:tblW w:type="auto" w:w="0"/>
        <w:jc w:val="center"/>
        <w:tblLook w:firstColumn="1" w:firstRow="1" w:lastColumn="0" w:lastRow="0" w:noHBand="0" w:noVBand="1" w:val="04A0"/>
        <w:tblLayout w:type="fixed"/>
      </w:tblPr>
      <w:tblGrid>
        <w:gridCol w:w="1814"/>
        <w:gridCol w:w="7257"/>
      </w:tblGrid>
      <w:tr>
        <w:tc>
          <w:tcPr>
            <w:tcW w:type="dxa" w:w="1814"/>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64" w:lineRule="auto"/>
              <w:ind w:firstLine="0"/>
              <w:jc w:val="left"/>
            </w:pPr>
            <w:r>
              <w:rPr>
                <w:b/>
                <w:i w:val="0"/>
                <w:color w:val="66757F"/>
                <w:sz w:val="16"/>
              </w:rPr>
              <w:t>PARECER TÉCNICO</w:t>
            </w:r>
          </w:p>
        </w:tc>
        <w:tc>
          <w:tcPr>
            <w:tcW w:type="dxa" w:w="7257"/>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64" w:lineRule="auto"/>
              <w:ind w:firstLine="0"/>
              <w:jc w:val="left"/>
            </w:pPr>
            <w:r>
              <w:rPr>
                <w:b w:val="0"/>
                <w:i w:val="0"/>
                <w:sz w:val="20"/>
              </w:rPr>
              <w:t>nº A753/2026</w:t>
            </w:r>
          </w:p>
        </w:tc>
      </w:tr>
      <w:tr>
        <w:tc>
          <w:tcPr>
            <w:tcW w:type="dxa" w:w="1814"/>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64" w:lineRule="auto"/>
              <w:ind w:firstLine="0"/>
              <w:jc w:val="left"/>
            </w:pPr>
            <w:r>
              <w:rPr>
                <w:b/>
                <w:i w:val="0"/>
                <w:color w:val="66757F"/>
                <w:sz w:val="16"/>
              </w:rPr>
              <w:t>INTERESSADO</w:t>
            </w:r>
          </w:p>
        </w:tc>
        <w:tc>
          <w:tcPr>
            <w:tcW w:type="dxa" w:w="7257"/>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64" w:lineRule="auto"/>
              <w:ind w:firstLine="0"/>
              <w:jc w:val="left"/>
            </w:pPr>
            <w:r>
              <w:rPr>
                <w:b w:val="0"/>
                <w:i w:val="0"/>
                <w:sz w:val="20"/>
              </w:rPr>
              <w:t>Prefeitura Municipal de Maricá – Secretaria de Saúde</w:t>
            </w:r>
          </w:p>
        </w:tc>
      </w:tr>
      <w:tr>
        <w:tc>
          <w:tcPr>
            <w:tcW w:type="dxa" w:w="1814"/>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64" w:lineRule="auto"/>
              <w:ind w:firstLine="0"/>
              <w:jc w:val="left"/>
            </w:pPr>
            <w:r>
              <w:rPr>
                <w:b/>
                <w:i w:val="0"/>
                <w:color w:val="66757F"/>
                <w:sz w:val="16"/>
              </w:rPr>
              <w:t>ASSUNTO</w:t>
            </w:r>
          </w:p>
        </w:tc>
        <w:tc>
          <w:tcPr>
            <w:tcW w:type="dxa" w:w="7257"/>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64" w:lineRule="auto"/>
              <w:ind w:firstLine="0"/>
              <w:jc w:val="left"/>
            </w:pPr>
            <w:r>
              <w:rPr>
                <w:b w:val="0"/>
                <w:i w:val="0"/>
                <w:sz w:val="20"/>
              </w:rPr>
              <w:t>Análise de conformidade — Aquisição de aparelhos de ultrassonografia diagnóstica com Doppler colorido (2 unidades) e mesas ginecológicas elétricas (6 unidades), valor estimado de R$ 777.978,34</w:t>
            </w:r>
          </w:p>
        </w:tc>
      </w:tr>
      <w:tr>
        <w:tc>
          <w:tcPr>
            <w:tcW w:type="dxa" w:w="1814"/>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64" w:lineRule="auto"/>
              <w:ind w:firstLine="0"/>
              <w:jc w:val="left"/>
            </w:pPr>
            <w:r>
              <w:rPr>
                <w:b/>
                <w:i w:val="0"/>
                <w:color w:val="66757F"/>
                <w:sz w:val="16"/>
              </w:rPr>
              <w:t>REFERÊNCIA</w:t>
            </w:r>
          </w:p>
        </w:tc>
        <w:tc>
          <w:tcPr>
            <w:tcW w:type="dxa" w:w="7257"/>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64" w:lineRule="auto"/>
              <w:ind w:firstLine="0"/>
              <w:jc w:val="left"/>
            </w:pPr>
            <w:r>
              <w:rPr>
                <w:b w:val="0"/>
                <w:i w:val="0"/>
                <w:sz w:val="20"/>
              </w:rPr>
              <w:t>Pregão Eletrônico nº 55/2025 – Processo Administrativo nº 11566/2025 (PNCP 29131075000193-1-000428/2026)</w:t>
            </w:r>
          </w:p>
        </w:tc>
      </w:tr>
    </w:tbl>
    <w:p>
      <w:pPr>
        <w:spacing w:before="0" w:after="200" w:line="240" w:lineRule="auto"/>
        <w:ind w:firstLine="0"/>
        <w:jc w:val="both"/>
      </w:pPr>
    </w:p>
    <w:p>
      <w:pPr>
        <w:spacing w:before="0" w:after="80" w:line="240" w:lineRule="auto"/>
        <w:ind w:firstLine="0" w:left="3402"/>
        <w:jc w:val="both"/>
      </w:pPr>
      <w:r>
        <w:rPr>
          <w:b/>
          <w:i w:val="0"/>
          <w:color w:val="12324A"/>
          <w:sz w:val="20"/>
        </w:rPr>
        <w:t xml:space="preserve">EMENTA: </w:t>
      </w:r>
      <w:r>
        <w:rPr>
          <w:b/>
          <w:i w:val="0"/>
          <w:sz w:val="20"/>
        </w:rPr>
        <w:t xml:space="preserve">PREGÃO ELETRÔNICO. AQUISIÇÃO DE EQUIPAMENTOS DE SAÚDE. PRAZO DE PROPOSTAS INFERIOR AO MÍNIMO. INCOERÊNCIA ENTRE EDITAL, TR E MINUTA. MINUTA PADRÃO COM GARANTIA. QUALIFICAÇÃO TÉCNICA. MENOR PREÇO POR ITEM </w:t>
      </w:r>
      <w:r>
        <w:rPr>
          <w:b w:val="0"/>
          <w:i w:val="0"/>
          <w:sz w:val="20"/>
        </w:rPr>
        <w:t>O edital de pregão eletrônico para aquisição de ultrassons e mesas ginecológicas contém, em geral, as regras exigidas pelo art. 25 e adota reajuste por IPCA com data-base no orçamento. O vício mais grave é o prazo de apresentação de propostas, que, pela contagem do art. 183, encerra no 7º dia útil, abaixo dos 8 dias úteis exigidos para a aquisição de bens. Há ainda várias incoerências entre edital, TR e minuta de contrato, e a minuta mantém cláusulas de garantia e itens que não se ajustam a este objeto.</w:t>
      </w:r>
    </w:p>
    <w:p>
      <w:pPr>
        <w:spacing w:before="0" w:after="120" w:line="240" w:lineRule="auto"/>
        <w:ind w:firstLine="0"/>
        <w:jc w:val="both"/>
      </w:pP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1F7A8C" w:space="0"/>
              <w:bottom w:val="nil"/>
              <w:right w:val="nil"/>
            </w:tcBorders>
            <w:shd w:val="clear" w:color="auto" w:fill="EEF4F6"/>
            <w:tcMar>
              <w:top w:w="170" w:type="dxa"/>
              <w:left w:w="170" w:type="dxa"/>
              <w:bottom w:w="170" w:type="dxa"/>
              <w:right w:w="170" w:type="dxa"/>
            </w:tcMar>
          </w:tcPr>
          <w:p>
            <w:pPr>
              <w:spacing w:before="0" w:after="80" w:line="264" w:lineRule="auto"/>
              <w:ind w:firstLine="0"/>
              <w:jc w:val="left"/>
            </w:pPr>
            <w:r>
              <w:rPr>
                <w:b/>
                <w:i w:val="0"/>
                <w:color w:val="1F7A8C"/>
                <w:sz w:val="18"/>
              </w:rPr>
              <w:t>NATUREZA OPINATIVA DESTE PARECER</w:t>
            </w:r>
          </w:p>
          <w:p>
            <w:pPr>
              <w:spacing w:before="0" w:after="80" w:line="276" w:lineRule="auto"/>
              <w:ind w:firstLine="0"/>
              <w:jc w:val="both"/>
            </w:pPr>
            <w:r>
              <w:rPr>
                <w:b w:val="0"/>
                <w:i w:val="0"/>
                <w:sz w:val="19"/>
              </w:rPr>
              <w:t>Este parecer técnico tem natureza exclusivamente opinativa. Ele expõe a análise de conformidade dos documentos examinados, aponta todos os aspectos identificados — dos críticos aos de baixa vulnerabilidade — e recomenda providências, mas não vincula quem o recebe.</w:t>
            </w:r>
          </w:p>
          <w:p>
            <w:pPr>
              <w:spacing w:before="0" w:after="80" w:line="276" w:lineRule="auto"/>
              <w:ind w:firstLine="0"/>
              <w:jc w:val="both"/>
            </w:pPr>
            <w:r>
              <w:rPr>
                <w:b w:val="0"/>
                <w:i w:val="0"/>
                <w:sz w:val="19"/>
              </w:rPr>
              <w:t>A decisão de adotar, total ou parcialmente, as recomendações, ou de manter o documento como está, é de competência e responsabilidade exclusivas do destinatário (o agente público, a autoridade competente ou o contratante), que deve ponderá-las com os demais elementos do processo.</w:t>
            </w:r>
          </w:p>
          <w:p>
            <w:pPr>
              <w:spacing w:before="0" w:after="80" w:line="276" w:lineRule="auto"/>
              <w:ind w:firstLine="0"/>
              <w:jc w:val="both"/>
            </w:pPr>
            <w:r>
              <w:rPr>
                <w:b w:val="0"/>
                <w:i w:val="0"/>
                <w:sz w:val="19"/>
              </w:rPr>
              <w:t>Fundamento: o Supremo Tribunal Federal distingue o parecer facultativo, o obrigatório e o vinculante; no parecer facultativo e no obrigatório não vinculante, a autoridade não fica adstrita à opinião emitida e responde pela decisão que tomar (STF, MS 24.631/DF, Plenário, rel. Min. Joaquim Barbosa, j. 9 ago. 2007). A distinção entre parecer vinculante e não vinculante também consta da Lei nº 9.784/1999 (art. 42, §§ 1º e 2º). A Lei de Introdução às Normas do Direito Brasileiro estabelece que o agente público responde pessoalmente por suas decisões ou opiniões técnicas em caso de dolo ou erro grosseiro (art. 28).</w:t>
            </w:r>
          </w:p>
          <w:p>
            <w:pPr>
              <w:spacing w:before="0" w:after="80" w:line="276" w:lineRule="auto"/>
              <w:ind w:firstLine="0"/>
              <w:jc w:val="both"/>
            </w:pPr>
            <w:r>
              <w:rPr>
                <w:b w:val="0"/>
                <w:i w:val="0"/>
                <w:sz w:val="19"/>
              </w:rPr>
              <w:t>Este parecer, contratado livremente e sem previsão legal que o torne obrigatório ou vinculante, não substitui o parecer jurídico de controle prévio de legalidade (art. 53 da Lei nº 14.133/2021) nem a manifestação dos órgãos de assessoramento e controle.</w:t>
            </w:r>
          </w:p>
        </w:tc>
      </w:tr>
    </w:tbl>
    <w:p>
      <w:pPr>
        <w:spacing w:before="0" w:after="120" w:line="240" w:lineRule="auto"/>
        <w:ind w:firstLine="0"/>
        <w:jc w:val="both"/>
      </w:pPr>
    </w:p>
    <w:p>
      <w:pPr>
        <w:pStyle w:val="Heading1"/>
        <w:keepNext/>
        <w:spacing w:before="360" w:after="160" w:line="360" w:lineRule="auto"/>
        <w:ind w:firstLine="0"/>
        <w:jc w:val="left"/>
      </w:pPr>
      <w:r>
        <w:rPr>
          <w:rFonts w:ascii="Arial" w:hAnsi="Arial"/>
          <w:b/>
          <w:i w:val="0"/>
          <w:color w:val="12324A"/>
          <w:sz w:val="24"/>
        </w:rPr>
        <w:t>2 RELATÓRIO</w:t>
      </w:r>
    </w:p>
    <w:p>
      <w:pPr>
        <w:spacing w:before="0" w:after="120" w:line="360" w:lineRule="auto"/>
        <w:ind w:firstLine="709"/>
        <w:jc w:val="both"/>
      </w:pPr>
      <w:r>
        <w:rPr>
          <w:b w:val="0"/>
          <w:i w:val="0"/>
        </w:rPr>
        <w:t>Trata-se de análise técnica de conformidade solicitada em relação ao processo Pregão Eletrônico nº 55/2025 – Processo Administrativo nº 11566/2025 (PNCP 29131075000193-1-000428/2026), do Prefeitura Municipal de Maricá – Secretaria de Saúde, cujo objeto é: Aquisição de aparelhos de ultrassonografia diagnóstica com Doppler colorido (2 unidades) e mesas ginecológicas elétricas (6 unidades), valor estimado de R$ 777.978,34.</w:t>
      </w:r>
    </w:p>
    <w:p>
      <w:pPr>
        <w:spacing w:before="0" w:after="120" w:line="360" w:lineRule="auto"/>
        <w:ind w:firstLine="709"/>
        <w:jc w:val="both"/>
      </w:pPr>
      <w:r>
        <w:rPr>
          <w:b w:val="0"/>
          <w:i w:val="0"/>
        </w:rPr>
        <w:t>Foram examinados os seguintes documentos: Edital e minutas (ata e contrato) (https://pncp.gov.br/app/editais/29131075000193/2026/428, 113 páginas). O exame teve por parâmetro a Lei 14.133/2021, aplicando-se o roteiro de verificação Licitacon (versão 2026-10-29), com 28 itens pertinentes ao caso.</w:t>
      </w:r>
    </w:p>
    <w:p>
      <w:pPr>
        <w:spacing w:before="0" w:after="120" w:line="360" w:lineRule="auto"/>
        <w:ind w:firstLine="709"/>
        <w:jc w:val="both"/>
      </w:pPr>
      <w:r>
        <w:rPr>
          <w:b w:val="0"/>
          <w:i w:val="0"/>
        </w:rPr>
        <w:t>Trata-se do Pregão Eletrônico nº 55/2025 da Secretaria de Saúde de Maricá, sem registro de preços, por menor preço por item e modo de disputa aberto. Foi divulgado no PNCP em 29/09/2026, com recebimento de propostas até 09/10/2026 às 10h. O edital e seus anexos (planilha, TR, declarações e minuta de contrato) cobrem o conteúdo exigido pelo art. 25. Preveem reajuste anual por IPCA contado do orçamento estimado (19/02/2026), impugnação e esclarecimentos em 3 dias úteis, recursos em 3 dias úteis, tratamento a ME/EPP e sanções dentro dos limites do art. 156. Sem prejuízo dessas conformidades, a análise identificou: (i) prazo de propostas de 7 dias úteis, inferior aos 8 exigidos para bens; (ii) qualificação técnica com quantitativo dentro do limite de 50%, mas redigida de forma vaga e sem identificação das parcelas de maior relevância; (iii) exigência de patrimônio líquido calculada sobre o valor global em licitação por item; (iv) contradições entre edital, TR e minuta (vigência, garantia, prazos de substituição e recebimento, mora, dotação, cronograma); (v) minuta de contrato genérica, com campos em branco e cláusulas de garantia incompatíveis com a decisão de não exigir garantia. Os itens de registro de preços, serviços contínuos, orçamento sigiloso e garantia não se aplicam. Como a data da análise (29/10/2026) é posterior à data da sessão, a situação atual do certame (sessão realizada, homologação, contrato) não consta dos autos e condiciona as providências.</w:t>
      </w:r>
    </w:p>
    <w:p>
      <w:pPr>
        <w:spacing w:before="0" w:after="120" w:line="360" w:lineRule="auto"/>
        <w:ind w:firstLine="709"/>
        <w:jc w:val="both"/>
      </w:pPr>
      <w:r>
        <w:rPr>
          <w:b w:val="0"/>
          <w:i w:val="0"/>
        </w:rPr>
        <w:t>É o relatório. Passa-se à fundamentação.</w:t>
      </w:r>
    </w:p>
    <w:p>
      <w:pPr>
        <w:pStyle w:val="Heading1"/>
        <w:keepNext/>
        <w:spacing w:before="360" w:after="160" w:line="360" w:lineRule="auto"/>
        <w:ind w:firstLine="0"/>
        <w:jc w:val="left"/>
      </w:pPr>
      <w:r>
        <w:rPr>
          <w:rFonts w:ascii="Arial" w:hAnsi="Arial"/>
          <w:b/>
          <w:i w:val="0"/>
          <w:color w:val="12324A"/>
          <w:sz w:val="24"/>
        </w:rPr>
        <w:t>3 FUNDAMENTAÇÃO</w:t>
      </w:r>
    </w:p>
    <w:p>
      <w:pPr>
        <w:spacing w:before="0" w:after="120" w:line="360" w:lineRule="auto"/>
        <w:ind w:firstLine="709"/>
        <w:jc w:val="both"/>
      </w:pPr>
      <w:r>
        <w:rPr>
          <w:b w:val="0"/>
          <w:i w:val="0"/>
        </w:rPr>
        <w:t>Cada apontamento indica a constatação no documento, o dispositivo legal aplicável (transcrito do texto oficial vigente), a análise do caso, o risco de manutenção, a providência recomendada e os precedentes localizados na Biblioteca Licitacon.</w:t>
      </w:r>
    </w:p>
    <w:p>
      <w:pPr>
        <w:pStyle w:val="Heading2"/>
        <w:keepNext/>
        <w:spacing w:before="240" w:after="160" w:line="360" w:lineRule="auto"/>
        <w:ind w:firstLine="0"/>
        <w:jc w:val="left"/>
      </w:pPr>
      <w:r>
        <w:rPr>
          <w:rFonts w:ascii="Arial" w:hAnsi="Arial"/>
          <w:b/>
          <w:i w:val="0"/>
          <w:color w:val="12324A"/>
          <w:sz w:val="24"/>
        </w:rPr>
        <w:t>3.1 Prazo mínimo para apresentação de propostas</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B23A48" w:space="0"/>
              <w:bottom w:val="nil"/>
              <w:right w:val="nil"/>
            </w:tcBorders>
            <w:shd w:val="clear" w:color="auto" w:fill="F8E6E8"/>
            <w:tcMar>
              <w:top w:w="85" w:type="dxa"/>
              <w:left w:w="85" w:type="dxa"/>
              <w:bottom w:w="85" w:type="dxa"/>
              <w:right w:w="85" w:type="dxa"/>
            </w:tcMar>
          </w:tcPr>
          <w:p>
            <w:pPr>
              <w:spacing w:before="0" w:after="0" w:line="240" w:lineRule="auto"/>
              <w:ind w:firstLine="0"/>
              <w:jc w:val="left"/>
            </w:pPr>
            <w:r>
              <w:rPr>
                <w:b/>
                <w:i w:val="0"/>
                <w:color w:val="B23A48"/>
                <w:sz w:val="16"/>
              </w:rPr>
              <w:t>GRAVIDADE ALTA</w:t>
            </w:r>
            <w:r>
              <w:rPr>
                <w:b w:val="0"/>
                <w:i w:val="0"/>
                <w:color w:val="1E2A32"/>
                <w:sz w:val="16"/>
              </w:rPr>
              <w:t xml:space="preserve">   ·   Não conforme   ·   Edital e minutas (ata e contrato), Item 3.1, [página 4]; item 22.2, [página 41]</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edital foi divulgado no PNCP em 29/09/2026 (09:13) e fixa a sessão e o fim do recebimento de propostas em 09/10/2026, às 10:00. Pela contagem do art. 183, o dia do começo é 30/09/2026 (primeiro dia útil seguinte), excluído, e o encerramento cai no 7º dia útil, considerando apenas feriados nacionais. Para aquisição de bens (aqui comuns, conforme TR item 1.4) por menor preço, o art. 55, I, 'a', exige no mínimo 8 dias úteis, de modo que falta ao menos um dia útil. Eventual feriado estadual ou municipal no período reduziria ainda mais o prazo. O item 22.2 do edital também não explicita a regra do primeiro dia útil seguinte à divulgação (art. 183, § 1º, I).</w:t>
      </w:r>
    </w:p>
    <w:p>
      <w:pPr>
        <w:spacing w:before="0" w:after="120" w:line="360" w:lineRule="auto"/>
        <w:ind w:firstLine="709"/>
        <w:jc w:val="both"/>
      </w:pPr>
      <w:r>
        <w:rPr>
          <w:b w:val="0"/>
          <w:i w:val="0"/>
        </w:rPr>
        <w:t>O documento dispõe: “No dia 09 de outubro de 2026, às 10:00 h, o Pregoeiro iniciará a sessão pública do” (Item 3.1, [página 4]; item 22.2, [página 41]).</w:t>
      </w:r>
    </w:p>
    <w:p>
      <w:pPr>
        <w:spacing w:before="0" w:after="80" w:line="360" w:lineRule="auto"/>
        <w:ind w:firstLine="709"/>
        <w:jc w:val="both"/>
      </w:pPr>
      <w:r>
        <w:rPr>
          <w:b/>
          <w:i w:val="0"/>
          <w:color w:val="12324A"/>
        </w:rPr>
        <w:t xml:space="preserve">Dispositivo aplicável. </w:t>
      </w:r>
      <w:r>
        <w:rPr>
          <w:b w:val="0"/>
          <w:i w:val="0"/>
        </w:rPr>
        <w:t>A matéria é disciplinada pelo art. 55, pelo art. 183 e pelo art. 183, § 1º, inciso I, da Lei 14.133/2021, que assim dispõem:</w:t>
      </w:r>
    </w:p>
    <w:p>
      <w:pPr>
        <w:spacing w:before="80" w:after="200" w:line="240" w:lineRule="auto"/>
        <w:ind w:firstLine="0" w:left="2268"/>
        <w:jc w:val="both"/>
      </w:pPr>
      <w:r>
        <w:rPr>
          <w:b w:val="0"/>
          <w:i w:val="0"/>
          <w:sz w:val="20"/>
        </w:rPr>
        <w:t>Os prazos mínimos para apresentação de propostas e lances, contados a partir da data de divulgação do edital de licitação, são de: […]</w:t>
      </w:r>
      <w:r>
        <w:rPr>
          <w:b w:val="0"/>
          <w:i w:val="0"/>
          <w:sz w:val="20"/>
        </w:rPr>
        <w:t xml:space="preserve"> (BRASIL, 2021, art. 55)</w:t>
      </w:r>
    </w:p>
    <w:p>
      <w:pPr>
        <w:spacing w:before="80" w:after="200" w:line="240" w:lineRule="auto"/>
        <w:ind w:firstLine="0" w:left="2268"/>
        <w:jc w:val="both"/>
      </w:pPr>
      <w:r>
        <w:rPr>
          <w:b w:val="0"/>
          <w:i w:val="0"/>
          <w:sz w:val="20"/>
        </w:rPr>
        <w:t>Os prazos previstos nesta Lei serão contados com exclusão do dia do começo e inclusão do dia do vencimento e observarão as seguintes disposições: […]</w:t>
      </w:r>
      <w:r>
        <w:rPr>
          <w:b w:val="0"/>
          <w:i w:val="0"/>
          <w:sz w:val="20"/>
        </w:rPr>
        <w:t xml:space="preserve"> (BRASIL, 2021, art. 183)</w:t>
      </w:r>
    </w:p>
    <w:p>
      <w:pPr>
        <w:spacing w:before="80" w:after="200" w:line="240" w:lineRule="auto"/>
        <w:ind w:firstLine="0" w:left="2268"/>
        <w:jc w:val="both"/>
      </w:pPr>
      <w:r>
        <w:rPr>
          <w:b w:val="0"/>
          <w:i w:val="0"/>
          <w:sz w:val="20"/>
        </w:rPr>
        <w:t>Salvo disposição em contrário, considera-se dia do começo do prazo: […] o primeiro dia útil seguinte ao da disponibilização da informação na internet;</w:t>
      </w:r>
      <w:r>
        <w:rPr>
          <w:b w:val="0"/>
          <w:i w:val="0"/>
          <w:sz w:val="20"/>
        </w:rPr>
        <w:t xml:space="preserve"> (BRASIL, 2021, art. 183, § 1º, inciso I)</w:t>
      </w:r>
    </w:p>
    <w:p>
      <w:pPr>
        <w:spacing w:before="0" w:after="120" w:line="360" w:lineRule="auto"/>
        <w:ind w:firstLine="709"/>
        <w:jc w:val="both"/>
      </w:pPr>
      <w:r>
        <w:rPr>
          <w:b/>
          <w:i w:val="0"/>
          <w:color w:val="12324A"/>
        </w:rPr>
        <w:t xml:space="preserve">Análise. </w:t>
      </w:r>
      <w:r>
        <w:rPr>
          <w:b w:val="0"/>
          <w:i w:val="0"/>
        </w:rPr>
        <w:t>O art. 55 fixa prazos mínimos para propostas contados da divulgação, e o art. 183 manda excluir o dia do começo, que é o primeiro dia útil seguinte à disponibilização na internet. O prazo menor que o mínimo reduz o tempo de preparação das propostas e contraria a lei.</w:t>
      </w:r>
    </w:p>
    <w:p>
      <w:pPr>
        <w:spacing w:before="0" w:after="120" w:line="360" w:lineRule="auto"/>
        <w:ind w:firstLine="709"/>
        <w:jc w:val="both"/>
      </w:pPr>
      <w:r>
        <w:rPr>
          <w:b/>
          <w:i w:val="0"/>
          <w:color w:val="B23A48"/>
        </w:rPr>
        <w:t xml:space="preserve">Risco de manutenção. </w:t>
      </w:r>
      <w:r>
        <w:rPr>
          <w:b w:val="0"/>
          <w:i w:val="0"/>
        </w:rPr>
        <w:t>Anulação ou republicação do certame, impugnação ou representação ao tribunal de contas e eventual responsabilização, sobretudo porque a data da análise (29/10/2026) é posterior à data da sessão (09/10/2026) e o estágio do certame é desconhecido.</w:t>
      </w:r>
    </w:p>
    <w:p>
      <w:pPr>
        <w:spacing w:before="0" w:after="120" w:line="360" w:lineRule="auto"/>
        <w:ind w:firstLine="709"/>
        <w:jc w:val="both"/>
      </w:pPr>
      <w:r>
        <w:rPr>
          <w:b/>
          <w:i w:val="0"/>
          <w:color w:val="12324A"/>
        </w:rPr>
        <w:t xml:space="preserve">Providência recomendada. </w:t>
      </w:r>
      <w:r>
        <w:rPr>
          <w:b w:val="0"/>
          <w:i w:val="0"/>
        </w:rPr>
        <w:t>Verificar nos autos se a sessão ocorreu e em que estágio está o certame. Se não houve homologação ou contratação, republicar o edital com prazo mínimo de 8 dias úteis contados na forma do art. 183, ou convalidar de forma motivada, demonstrando a competição efetiva e a ausência de prejuízo. Se já houve contratação, registrar o vício e a motivação da decisão. Nos próximos editais, conferir o prazo com calendário de dias úteis (inclusive feriados locais).</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2E8B57" w:space="0"/>
              <w:bottom w:val="nil"/>
              <w:right w:val="nil"/>
            </w:tcBorders>
            <w:shd w:val="clear" w:color="auto" w:fill="E3F2EA"/>
            <w:tcMar>
              <w:top w:w="141" w:type="dxa"/>
              <w:left w:w="141" w:type="dxa"/>
              <w:bottom w:w="141" w:type="dxa"/>
              <w:right w:w="141" w:type="dxa"/>
            </w:tcMar>
          </w:tcPr>
          <w:p>
            <w:pPr>
              <w:spacing w:before="0" w:after="0" w:line="276" w:lineRule="auto"/>
              <w:ind w:firstLine="0"/>
              <w:jc w:val="both"/>
            </w:pPr>
            <w:r>
              <w:rPr>
                <w:b/>
                <w:i w:val="0"/>
                <w:color w:val="2E8B57"/>
                <w:sz w:val="16"/>
              </w:rPr>
              <w:t xml:space="preserve">REDAÇÃO SUGERIDA  </w:t>
            </w:r>
            <w:r>
              <w:rPr>
                <w:b w:val="0"/>
                <w:i w:val="0"/>
                <w:sz w:val="20"/>
              </w:rPr>
              <w:t>3.1 – A sessão pública será iniciada no dia __/__/____, às 10:00h, data que respeita o prazo mínimo de 8 (oito) dias úteis para apresentação de propostas, contados a partir do primeiro dia útil seguinte à divulgação deste edital no PNCP, na forma dos arts. 55, I, 'a', e 183 da Lei nº 14.133/2021.</w:t>
            </w:r>
          </w:p>
        </w:tc>
      </w:tr>
    </w:tbl>
    <w:p>
      <w:pPr>
        <w:spacing w:before="0" w:after="80" w:line="240" w:lineRule="auto"/>
        <w:ind w:firstLine="0"/>
        <w:jc w:val="both"/>
      </w:pPr>
    </w:p>
    <w:p>
      <w:pPr>
        <w:spacing w:before="0" w:after="80" w:line="360" w:lineRule="auto"/>
        <w:ind w:firstLine="709"/>
        <w:jc w:val="both"/>
      </w:pPr>
      <w:r>
        <w:rPr>
          <w:b/>
          <w:i w:val="0"/>
          <w:color w:val="12324A"/>
        </w:rPr>
        <w:t xml:space="preserve">Precedentes. </w:t>
      </w:r>
      <w:r>
        <w:rPr>
          <w:b w:val="0"/>
          <w:i w:val="0"/>
        </w:rPr>
        <w:t>Na Biblioteca Licitacon foram localizados os seguintes entendimentos:</w:t>
      </w:r>
    </w:p>
    <w:p>
      <w:pPr>
        <w:spacing w:before="80" w:after="200" w:line="240" w:lineRule="auto"/>
        <w:ind w:firstLine="0" w:left="2268"/>
        <w:jc w:val="both"/>
      </w:pPr>
      <w:r>
        <w:rPr>
          <w:b w:val="0"/>
          <w:i w:val="0"/>
          <w:sz w:val="20"/>
        </w:rPr>
        <w:t>Denúncia sobre pregão eletrônico para coletes balísticos (eleições 2026; estimado R$ 3,2 milhões). O prazo mínimo para apresentação de propostas é contado a partir do primeiro dia útil seguinte à divulgação do edital no PNCP (art. 183, caput e § 1º, I, da Lei 14.133/2021). O recebimento foi encerrado antes do fim desse prazo, mas houve competição efetiva e não se demonstrou prejuízo: parcialmente procedente, com ciência e arquivamento. Ata 41/2026; conferido na base oficial do TCU.</w:t>
      </w:r>
      <w:r>
        <w:rPr>
          <w:b w:val="0"/>
          <w:i w:val="0"/>
          <w:sz w:val="20"/>
        </w:rPr>
        <w:t xml:space="preserve"> (TCU, Acórdão 2921/2026-Plenário – TC 021.316/2026-0)</w:t>
      </w:r>
      <w:r>
        <w:rPr>
          <w:b w:val="0"/>
          <w:i w:val="0"/>
          <w:sz w:val="20"/>
        </w:rPr>
        <w:t xml:space="preserve"> </w:t>
      </w:r>
      <w:hyperlink r:id="rId12">
        <w:r>
          <w:rPr>
            <w:color w:val="1F7A8C"/>
            <w:u w:val="single"/>
            <w:sz w:val="18"/>
          </w:rPr>
          <w:t xml:space="preserve">[fonte oficial]</w:t>
        </w:r>
      </w:hyperlink>
    </w:p>
    <w:p>
      <w:pPr>
        <w:pStyle w:val="Heading2"/>
        <w:keepNext/>
        <w:spacing w:before="240" w:after="160" w:line="360" w:lineRule="auto"/>
        <w:ind w:firstLine="0"/>
        <w:jc w:val="left"/>
      </w:pPr>
      <w:r>
        <w:rPr>
          <w:rFonts w:ascii="Arial" w:hAnsi="Arial"/>
          <w:b/>
          <w:i w:val="0"/>
          <w:color w:val="12324A"/>
          <w:sz w:val="24"/>
        </w:rPr>
        <w:t>3.2 Qualificação técnica proporcional</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C9781E" w:space="0"/>
              <w:bottom w:val="nil"/>
              <w:right w:val="nil"/>
            </w:tcBorders>
            <w:shd w:val="clear" w:color="auto" w:fill="FBEEDD"/>
            <w:tcMar>
              <w:top w:w="85" w:type="dxa"/>
              <w:left w:w="85" w:type="dxa"/>
              <w:bottom w:w="85" w:type="dxa"/>
              <w:right w:w="85" w:type="dxa"/>
            </w:tcMar>
          </w:tcPr>
          <w:p>
            <w:pPr>
              <w:spacing w:before="0" w:after="0" w:line="240" w:lineRule="auto"/>
              <w:ind w:firstLine="0"/>
              <w:jc w:val="left"/>
            </w:pPr>
            <w:r>
              <w:rPr>
                <w:b/>
                <w:i w:val="0"/>
                <w:color w:val="C9781E"/>
                <w:sz w:val="16"/>
              </w:rPr>
              <w:t>GRAVIDADE MÉDIA</w:t>
            </w:r>
            <w:r>
              <w:rPr>
                <w:b w:val="0"/>
                <w:i w:val="0"/>
                <w:color w:val="1E2A32"/>
                <w:sz w:val="16"/>
              </w:rPr>
              <w:t xml:space="preserve">   ·   Parcialmente conforme   ·   Edital e minutas (ata e contrato), Item 13, (E.1) a (E.3), [página 29]</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edital exige atestado de fornecimento de equipamentos 'no quantitativo mínimo de 30%', abaixo do teto de 50% do art. 67, § 2º. Porém: (i) as parcelas de maior relevância não são identificadas nem justificadas (os dois itens superam 4% do total: item 1 ≈ 86,9% e item 2 ≈ 13,1%, mas o edital não aponta a relevância nem esclarece se o percentual vale por item ou para o conjunto); (ii) os termos 'características, quantidades, qualidade e prazos compatíveis' e 'características similares' não delimitam de forma objetiva o que será aceito, e 'prazos compatíveis' pode ser lido como limitação de tempo, vedada pelo § 2º; (iii) a redação traz resíduo de colagem ('9.27.') e refere-se a 'este Termo de Referência' no corpo do edital; (iv) o item E.3 exige compatibilidade com a atividade econômica da empresa sem explicar o critério.</w:t>
      </w:r>
    </w:p>
    <w:p>
      <w:pPr>
        <w:spacing w:before="0" w:after="120" w:line="360" w:lineRule="auto"/>
        <w:ind w:firstLine="709"/>
        <w:jc w:val="both"/>
      </w:pPr>
      <w:r>
        <w:rPr>
          <w:b w:val="0"/>
          <w:i w:val="0"/>
        </w:rPr>
        <w:t>O documento dispõe: “licitante fornecido, no quantitativo mínimo de 30% (trinta por cento), equipamentos com” (Item 13, (E.1) a (E.3), [página 29]).</w:t>
      </w:r>
    </w:p>
    <w:p>
      <w:pPr>
        <w:spacing w:before="0" w:after="80" w:line="360" w:lineRule="auto"/>
        <w:ind w:firstLine="709"/>
        <w:jc w:val="both"/>
      </w:pPr>
      <w:r>
        <w:rPr>
          <w:b/>
          <w:i w:val="0"/>
          <w:color w:val="12324A"/>
        </w:rPr>
        <w:t xml:space="preserve">Dispositivo aplicável. </w:t>
      </w:r>
      <w:r>
        <w:rPr>
          <w:b w:val="0"/>
          <w:i w:val="0"/>
        </w:rPr>
        <w:t>A matéria é disciplinada pelo art. 67, § 1º e pelo art. 67, § 2º, da Lei 14.133/2021, que assim dispõem:</w:t>
      </w:r>
    </w:p>
    <w:p>
      <w:pPr>
        <w:spacing w:before="80" w:after="200" w:line="240" w:lineRule="auto"/>
        <w:ind w:firstLine="0" w:left="2268"/>
        <w:jc w:val="both"/>
      </w:pPr>
      <w:r>
        <w:rPr>
          <w:b w:val="0"/>
          <w:i w:val="0"/>
          <w:sz w:val="20"/>
        </w:rPr>
        <w:t>A exigência de atestados será restrita às parcelas de maior relevância ou valor significativo do objeto da licitação, assim consideradas as que tenham valor individual igual ou superior a 4% (quatro por cento) do valor total estimado da contratação.</w:t>
      </w:r>
      <w:r>
        <w:rPr>
          <w:b w:val="0"/>
          <w:i w:val="0"/>
          <w:sz w:val="20"/>
        </w:rPr>
        <w:t xml:space="preserve"> (BRASIL, 2021, art. 67, § 1º)</w:t>
      </w:r>
    </w:p>
    <w:p>
      <w:pPr>
        <w:spacing w:before="80" w:after="200" w:line="240" w:lineRule="auto"/>
        <w:ind w:firstLine="0" w:left="2268"/>
        <w:jc w:val="both"/>
      </w:pPr>
      <w:r>
        <w:rPr>
          <w:b w:val="0"/>
          <w:i w:val="0"/>
          <w:sz w:val="20"/>
        </w:rPr>
        <w:t>Observado o disposto no caput e no § 1º deste artigo, será admitida a exigência de atestados com quantidades mínimas de até 50% (cinquenta por cento) das parcelas de que trata o referido parágrafo, vedadas limitações de tempo e de locais específicos relativas aos atestados.</w:t>
      </w:r>
      <w:r>
        <w:rPr>
          <w:b w:val="0"/>
          <w:i w:val="0"/>
          <w:sz w:val="20"/>
        </w:rPr>
        <w:t xml:space="preserve"> (BRASIL, 2021, art. 67, § 2º)</w:t>
      </w:r>
    </w:p>
    <w:p>
      <w:pPr>
        <w:spacing w:before="0" w:after="120" w:line="360" w:lineRule="auto"/>
        <w:ind w:firstLine="709"/>
        <w:jc w:val="both"/>
      </w:pPr>
      <w:r>
        <w:rPr>
          <w:b/>
          <w:i w:val="0"/>
          <w:color w:val="12324A"/>
        </w:rPr>
        <w:t xml:space="preserve">Análise. </w:t>
      </w:r>
      <w:r>
        <w:rPr>
          <w:b w:val="0"/>
          <w:i w:val="0"/>
        </w:rPr>
        <w:t>O art. 67, § 1º, restringe a exigência de atestados às parcelas de maior relevância ou valor significativo (≥ 4%), e o § 2º veda limitações de tempo e de locais específicos. A exigência deve ser objetiva e verificável, e o art. 18, IX, exige motivação das condições de qualificação técnica, com indicação das parcelas relevantes.</w:t>
      </w:r>
    </w:p>
    <w:p>
      <w:pPr>
        <w:spacing w:before="0" w:after="120" w:line="360" w:lineRule="auto"/>
        <w:ind w:firstLine="709"/>
        <w:jc w:val="both"/>
      </w:pPr>
      <w:r>
        <w:rPr>
          <w:b/>
          <w:i w:val="0"/>
          <w:color w:val="C9781E"/>
        </w:rPr>
        <w:t xml:space="preserve">Risco de manutenção. </w:t>
      </w:r>
      <w:r>
        <w:rPr>
          <w:b w:val="0"/>
          <w:i w:val="0"/>
        </w:rPr>
        <w:t>Impugnação por restrição à competitividade, subjetividade na análise de atestados pelo pregoeiro e inabilitação contestável.</w:t>
      </w:r>
    </w:p>
    <w:p>
      <w:pPr>
        <w:spacing w:before="0" w:after="120" w:line="360" w:lineRule="auto"/>
        <w:ind w:firstLine="709"/>
        <w:jc w:val="both"/>
      </w:pPr>
      <w:r>
        <w:rPr>
          <w:b/>
          <w:i w:val="0"/>
          <w:color w:val="12324A"/>
        </w:rPr>
        <w:t xml:space="preserve">Providência recomendada. </w:t>
      </w:r>
      <w:r>
        <w:rPr>
          <w:b w:val="0"/>
          <w:i w:val="0"/>
        </w:rPr>
        <w:t>Indicar no ETP/TR as parcelas de maior relevância e seus percentuais. Esclarecer a que item cada quantitativo se aplica (por exemplo, ao menos 1 aparelho de ultrassom e 2 mesas, que correspondem a 50% ou menos). Definir as características mínimas do equipamento que servirão de parâmetro de similaridade. Retirar 'prazos compatíveis' ou reescrevê-lo sem limite de tempo. Corrigir a redação (resíduo '9.27.' e remissão ao TR).</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2E8B57" w:space="0"/>
              <w:bottom w:val="nil"/>
              <w:right w:val="nil"/>
            </w:tcBorders>
            <w:shd w:val="clear" w:color="auto" w:fill="E3F2EA"/>
            <w:tcMar>
              <w:top w:w="141" w:type="dxa"/>
              <w:left w:w="141" w:type="dxa"/>
              <w:bottom w:w="141" w:type="dxa"/>
              <w:right w:w="141" w:type="dxa"/>
            </w:tcMar>
          </w:tcPr>
          <w:p>
            <w:pPr>
              <w:spacing w:before="0" w:after="0" w:line="276" w:lineRule="auto"/>
              <w:ind w:firstLine="0"/>
              <w:jc w:val="both"/>
            </w:pPr>
            <w:r>
              <w:rPr>
                <w:b/>
                <w:i w:val="0"/>
                <w:color w:val="2E8B57"/>
                <w:sz w:val="16"/>
              </w:rPr>
              <w:t xml:space="preserve">REDAÇÃO SUGERIDA  </w:t>
            </w:r>
            <w:r>
              <w:rPr>
                <w:b w:val="0"/>
                <w:i w:val="0"/>
                <w:sz w:val="20"/>
              </w:rPr>
              <w:t>(E.1) Atestado(s) de capacidade técnica, emitido(s) por pessoa jurídica de direito público ou privado, que comprove(m) o fornecimento prévio de equipamento(s) similar(es) ao do item cotado, assim entendidos aqueles que possuam, no mínimo, [características essenciais definidas no ETP], em quantidade igual ou superior a [até 50% do quantitativo do item], admitida a soma de atestados, sem limitação de tempo ou de local de execução.</w:t>
            </w:r>
          </w:p>
        </w:tc>
      </w:tr>
    </w:tbl>
    <w:p>
      <w:pPr>
        <w:spacing w:before="0" w:after="80" w:line="240" w:lineRule="auto"/>
        <w:ind w:firstLine="0"/>
        <w:jc w:val="both"/>
      </w:pPr>
    </w:p>
    <w:p>
      <w:pPr>
        <w:spacing w:before="0" w:after="80" w:line="360" w:lineRule="auto"/>
        <w:ind w:firstLine="709"/>
        <w:jc w:val="both"/>
      </w:pPr>
      <w:r>
        <w:rPr>
          <w:b/>
          <w:i w:val="0"/>
          <w:color w:val="12324A"/>
        </w:rPr>
        <w:t xml:space="preserve">Precedentes. </w:t>
      </w:r>
      <w:r>
        <w:rPr>
          <w:b w:val="0"/>
          <w:i w:val="0"/>
        </w:rPr>
        <w:t>Na Biblioteca Licitacon foram localizados os seguintes entendimentos:</w:t>
      </w:r>
    </w:p>
    <w:p>
      <w:pPr>
        <w:spacing w:before="80" w:after="200" w:line="240" w:lineRule="auto"/>
        <w:ind w:firstLine="0" w:left="2268"/>
        <w:jc w:val="both"/>
      </w:pPr>
      <w:r>
        <w:rPr>
          <w:b w:val="0"/>
          <w:i w:val="0"/>
          <w:sz w:val="20"/>
        </w:rPr>
        <w:t>É irregular a exigência, para fins de qualificação técnico-operacional, de comprovação de aptidão para execução de serviços similares ou de complexidade equivalente à do objeto licitado (art. 67, inciso II, da Lei 14.133/2021) sem delimitação, de modo claro e verificável, das características mínimas e suficientes para o atendimento da exigência, por facultar avaliações discricionárias incompatíveis com os princípios da motivação e do julgamento objetivo (art. 5º da mencionada lei).</w:t>
      </w:r>
      <w:r>
        <w:rPr>
          <w:b w:val="0"/>
          <w:i w:val="0"/>
          <w:sz w:val="20"/>
        </w:rPr>
        <w:t xml:space="preserve"> (TCU, Acórdão 1742/2026-Plenário)</w:t>
      </w:r>
      <w:r>
        <w:rPr>
          <w:b w:val="0"/>
          <w:i w:val="0"/>
          <w:sz w:val="20"/>
        </w:rPr>
        <w:t xml:space="preserve"> </w:t>
      </w:r>
      <w:hyperlink r:id="rId13">
        <w:r>
          <w:rPr>
            <w:color w:val="1F7A8C"/>
            <w:u w:val="single"/>
            <w:sz w:val="18"/>
          </w:rPr>
          <w:t xml:space="preserve">[fonte oficial]</w:t>
        </w:r>
      </w:hyperlink>
    </w:p>
    <w:p>
      <w:pPr>
        <w:pStyle w:val="Heading2"/>
        <w:keepNext/>
        <w:spacing w:before="240" w:after="160" w:line="360" w:lineRule="auto"/>
        <w:ind w:firstLine="0"/>
        <w:jc w:val="left"/>
      </w:pPr>
      <w:r>
        <w:rPr>
          <w:rFonts w:ascii="Arial" w:hAnsi="Arial"/>
          <w:b/>
          <w:i w:val="0"/>
          <w:color w:val="12324A"/>
          <w:sz w:val="24"/>
        </w:rPr>
        <w:t>3.3 Minuta de contrato como anexo e cláusulas necessárias</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C9781E" w:space="0"/>
              <w:bottom w:val="nil"/>
              <w:right w:val="nil"/>
            </w:tcBorders>
            <w:shd w:val="clear" w:color="auto" w:fill="FBEEDD"/>
            <w:tcMar>
              <w:top w:w="85" w:type="dxa"/>
              <w:left w:w="85" w:type="dxa"/>
              <w:bottom w:w="85" w:type="dxa"/>
              <w:right w:w="85" w:type="dxa"/>
            </w:tcMar>
          </w:tcPr>
          <w:p>
            <w:pPr>
              <w:spacing w:before="0" w:after="0" w:line="240" w:lineRule="auto"/>
              <w:ind w:firstLine="0"/>
              <w:jc w:val="left"/>
            </w:pPr>
            <w:r>
              <w:rPr>
                <w:b/>
                <w:i w:val="0"/>
                <w:color w:val="C9781E"/>
                <w:sz w:val="16"/>
              </w:rPr>
              <w:t>GRAVIDADE MÉDIA</w:t>
            </w:r>
            <w:r>
              <w:rPr>
                <w:b w:val="0"/>
                <w:i w:val="0"/>
                <w:color w:val="1E2A32"/>
                <w:sz w:val="16"/>
              </w:rPr>
              <w:t xml:space="preserve">   ·   Parcialmente conforme   ·   Edital e minutas (ata e contrato), Anexo XIII – Cláusulas Quinta, Nona e Décima, [página 95], [página 97] e [página 101]</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A minuta de contrato é o Anexo XIII e integra o edital (item 17.2). Contém cláusulas de legislação, objeto, valor, pagamento, reajuste, reequilíbrio, fornecimento, fiscalização, garantia, prazo, obrigações, recebimento, sanções, recursos, extinção, subcontratação, dotação e foro. Contudo é um modelo genérico, com campos em branco e instruções internas (por exemplo, a Cláusula Nona manda 'INSERIR APENAS SE FOR O CASO' e fixa garantia de 2%, e a Cláusula Quinta deixa o índice em branco). Mantém a opção de garantia, embora o edital (16.1) e o TR (5.22) afastem a garantia. Não traz prazos de entrega e instalação, vigência nem garantia convencional definidos, e remete a eles com campos vazios. A numeração da Cláusula Décima salta ('Parágrafo Terceiro' sem 'Segundo'), e a Cláusula Vigésima está grafada 'VISÉGIMA'.</w:t>
      </w:r>
    </w:p>
    <w:p>
      <w:pPr>
        <w:spacing w:before="0" w:after="120" w:line="360" w:lineRule="auto"/>
        <w:ind w:firstLine="709"/>
        <w:jc w:val="both"/>
      </w:pPr>
      <w:r>
        <w:rPr>
          <w:b w:val="0"/>
          <w:i w:val="0"/>
        </w:rPr>
        <w:t>O documento dispõe: “CLÁUSULA NONA – GARANTIA (INSERIR APENAS SE FOR O CASO DE” (Anexo XIII – Cláusulas Quinta, Nona e Décima, [página 95], [página 97] e [página 101]).</w:t>
      </w:r>
    </w:p>
    <w:p>
      <w:pPr>
        <w:spacing w:before="0" w:after="80" w:line="360" w:lineRule="auto"/>
        <w:ind w:firstLine="709"/>
        <w:jc w:val="both"/>
      </w:pPr>
      <w:r>
        <w:rPr>
          <w:b/>
          <w:i w:val="0"/>
          <w:color w:val="12324A"/>
        </w:rPr>
        <w:t xml:space="preserve">Dispositivo aplicável. </w:t>
      </w:r>
      <w:r>
        <w:rPr>
          <w:b w:val="0"/>
          <w:i w:val="0"/>
        </w:rPr>
        <w:t>A matéria é disciplinada pelo art. 18, inciso VI e pelo art. 92, da Lei 14.133/2021, que assim dispõem:</w:t>
      </w:r>
    </w:p>
    <w:p>
      <w:pPr>
        <w:spacing w:before="80" w:after="200" w:line="240" w:lineRule="auto"/>
        <w:ind w:firstLine="0" w:left="2268"/>
        <w:jc w:val="both"/>
      </w:pPr>
      <w:r>
        <w:rPr>
          <w:b w:val="0"/>
          <w:i w:val="0"/>
          <w:sz w:val="20"/>
        </w:rPr>
        <w:t>A fase preparatória do processo licitatório é caracterizada pelo planejamento e deve compatibilizar-se com o plano de contratações anual de que trata o inciso VII do caput do art. 12 desta Lei, sempre que elaborado, e com as leis orçamentárias, bem como abordar todas as considerações técnicas, mercadológicas e de gestão que podem interferir na contratação, compreendidos: […] a elaboração de minuta de contrato, quando necessária, que constará obrigatoriamente como anexo do edital de licitação;</w:t>
      </w:r>
      <w:r>
        <w:rPr>
          <w:b w:val="0"/>
          <w:i w:val="0"/>
          <w:sz w:val="20"/>
        </w:rPr>
        <w:t xml:space="preserve"> (BRASIL, 2021, art. 18, inciso VI)</w:t>
      </w:r>
    </w:p>
    <w:p>
      <w:pPr>
        <w:spacing w:before="80" w:after="200" w:line="240" w:lineRule="auto"/>
        <w:ind w:firstLine="0" w:left="2268"/>
        <w:jc w:val="both"/>
      </w:pPr>
      <w:r>
        <w:rPr>
          <w:b w:val="0"/>
          <w:i w:val="0"/>
          <w:sz w:val="20"/>
        </w:rPr>
        <w:t>São necessárias em todo contrato cláusulas que estabeleçam: […]</w:t>
      </w:r>
      <w:r>
        <w:rPr>
          <w:b w:val="0"/>
          <w:i w:val="0"/>
          <w:sz w:val="20"/>
        </w:rPr>
        <w:t xml:space="preserve"> (BRASIL, 2021, art. 92)</w:t>
      </w:r>
    </w:p>
    <w:p>
      <w:pPr>
        <w:spacing w:before="0" w:after="120" w:line="360" w:lineRule="auto"/>
        <w:ind w:firstLine="709"/>
        <w:jc w:val="both"/>
      </w:pPr>
      <w:r>
        <w:rPr>
          <w:b/>
          <w:i w:val="0"/>
          <w:color w:val="12324A"/>
        </w:rPr>
        <w:t xml:space="preserve">Análise. </w:t>
      </w:r>
      <w:r>
        <w:rPr>
          <w:b w:val="0"/>
          <w:i w:val="0"/>
        </w:rPr>
        <w:t>O art. 18, VI, manda a minuta constar como anexo do edital, e o art. 92 exige cláusulas que definam objeto, preço, reajuste com data-base, prazos de entrega e recebimento, crédito orçamentário, garantias, responsabilidades, sanções e extinção. Uma minuta com lacunas e instruções de preenchimento enfraquece a execução e a aplicação de sanções.</w:t>
      </w:r>
    </w:p>
    <w:p>
      <w:pPr>
        <w:spacing w:before="0" w:after="120" w:line="360" w:lineRule="auto"/>
        <w:ind w:firstLine="709"/>
        <w:jc w:val="both"/>
      </w:pPr>
      <w:r>
        <w:rPr>
          <w:b/>
          <w:i w:val="0"/>
          <w:color w:val="C9781E"/>
        </w:rPr>
        <w:t xml:space="preserve">Risco de manutenção. </w:t>
      </w:r>
      <w:r>
        <w:rPr>
          <w:b w:val="0"/>
          <w:i w:val="0"/>
        </w:rPr>
        <w:t>Lacunas na execução, divergência entre edital e contrato, discussão sobre garantia não exigida e dificuldade de sancionar com base em cláusulas indefinidas.</w:t>
      </w:r>
    </w:p>
    <w:p>
      <w:pPr>
        <w:spacing w:before="0" w:after="120" w:line="360" w:lineRule="auto"/>
        <w:ind w:firstLine="709"/>
        <w:jc w:val="both"/>
      </w:pPr>
      <w:r>
        <w:rPr>
          <w:b/>
          <w:i w:val="0"/>
          <w:color w:val="12324A"/>
        </w:rPr>
        <w:t xml:space="preserve">Providência recomendada. </w:t>
      </w:r>
      <w:r>
        <w:rPr>
          <w:b w:val="0"/>
          <w:i w:val="0"/>
        </w:rPr>
        <w:t>Antes da assinatura, adaptar a minuta ao caso: retirar a cláusula de garantia ou alinhá-la ao edital, preencher índice (IPCA), data-base, vigência (12 meses a partir da ordem de início), prazos de entrega (30 dias úteis), instalação (15 dias) e recebimento, garantia convencional (24 meses para os aparelhos e prazo definido para as mesas), dotação e valores. Corrigir a numeração e os erros de grafia. Se o edital já foi divulgado, tratar a retificação do Anexo XIII como alteração do edital, observando o art. 55, § 1º.</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3.4 Coerência interna do edital e dos anexos</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C9781E" w:space="0"/>
              <w:bottom w:val="nil"/>
              <w:right w:val="nil"/>
            </w:tcBorders>
            <w:shd w:val="clear" w:color="auto" w:fill="FBEEDD"/>
            <w:tcMar>
              <w:top w:w="85" w:type="dxa"/>
              <w:left w:w="85" w:type="dxa"/>
              <w:bottom w:w="85" w:type="dxa"/>
              <w:right w:w="85" w:type="dxa"/>
            </w:tcMar>
          </w:tcPr>
          <w:p>
            <w:pPr>
              <w:spacing w:before="0" w:after="0" w:line="240" w:lineRule="auto"/>
              <w:ind w:firstLine="0"/>
              <w:jc w:val="left"/>
            </w:pPr>
            <w:r>
              <w:rPr>
                <w:b/>
                <w:i w:val="0"/>
                <w:color w:val="C9781E"/>
                <w:sz w:val="16"/>
              </w:rPr>
              <w:t>GRAVIDADE MÉDIA</w:t>
            </w:r>
            <w:r>
              <w:rPr>
                <w:b w:val="0"/>
                <w:i w:val="0"/>
                <w:color w:val="1E2A32"/>
                <w:sz w:val="16"/>
              </w:rPr>
              <w:t xml:space="preserve">   ·   Não conforme   ·   Edital e minutas (ata e contrato), Itens 7.1, 12.10, 12.11.2, 12.12, 17.9 e 18 do edital; TR itens 2, 5.21, 8; minuta Cláusulas Nona e Décima</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Foram identificadas divergências internas relevantes: (i) vigência: o edital (7.1) e o TR (2.2) contam 12 meses da ordem de início, e a minuta (Cláusula Décima) fala em assinatura/memorando de início e eficácia a partir da publicação no PNCP; (ii) garantia: o edital e o TR dispensam garantia, e a minuta mantém cláusula de garantia de 2% e obrigações de manter garantias; (iii) substituição de bens: o edital (17.9, b) prevê 2 dias, e o TR (5.21 e 8.2) prevê 5 dias; (iv) atendimento: o edital (17.9, a) exige atender solicitações em 24 horas, enquanto o TR fixa entrega em 30 dias úteis; (v) recebimento definitivo: o TR (8.3) conta 15 dias úteis da instalação, e o modelo do Anexo B conta do recebimento provisório; (vi) mora da Administração: o edital (18.4) usa Selic limitada a 12% ao ano a partir do 31º dia, e o TR (8.18) usa IPCA; prazo de pagamento do edital (18.1, 30 dias do adimplemento) difere do TR (8.17, 30 dias da liquidação); (vii) entrega única em 30 dias versus cronograma físico-financeiro de 12 meses em branco (Anexo D) e recebimento 'em tantas parcelas' (minuta); (viii) dotação: edital cita fontes 500, 632, 635 e 704 e só o programa 10.302.0016, e o TR cita a fonte 632 e os programas 10.301.0081 e 10.302.0016, com ações 2157 e 2529; (ix) identificação: edital 'nº 55/2025' com orçamento de 2026 e Anexo XII 'n.º ___/2026'; o cabeçalho cita 'PNCP 451/2026', e o número de controle é 000428/2026; (x) o edital afirma ter 116 folhas, e a numeração vai de 834 a 946 (113 folhas); (xi) o item 12.12 usa o valor total (5.2) como máximo, enquanto 12.1 e o Anexo I fixam valores por item; (xii) os itens 12.10 e 12.11.2 repetem a rotina de habilitação com regras distintas (envio de documentos após convocação versus no curso da sessão).</w:t>
      </w:r>
    </w:p>
    <w:p>
      <w:pPr>
        <w:spacing w:before="0" w:after="120" w:line="360" w:lineRule="auto"/>
        <w:ind w:firstLine="709"/>
        <w:jc w:val="both"/>
      </w:pPr>
      <w:r>
        <w:rPr>
          <w:b w:val="0"/>
          <w:i w:val="0"/>
        </w:rPr>
        <w:t>O documento dispõe: “b) substituir quaisquer materiais defeituosos ou qualitativamente inferiores em, no máximo,” (Itens 7.1, 12.10, 12.11.2, 12.12, 17.9 e 18 do edital; TR itens 2, 5.21, 8; minuta Cláusulas Nona e Décima).</w:t>
      </w:r>
    </w:p>
    <w:p>
      <w:pPr>
        <w:spacing w:before="0" w:after="80" w:line="360" w:lineRule="auto"/>
        <w:ind w:firstLine="709"/>
        <w:jc w:val="both"/>
      </w:pPr>
      <w:r>
        <w:rPr>
          <w:b/>
          <w:i w:val="0"/>
          <w:color w:val="12324A"/>
        </w:rPr>
        <w:t xml:space="preserve">Dispositivo aplicável. </w:t>
      </w:r>
      <w:r>
        <w:rPr>
          <w:b w:val="0"/>
          <w:i w:val="0"/>
        </w:rPr>
        <w:t>A matéria é disciplinada pelo art. 25 e pelo art. 18, inciso IX, da Lei 14.133/2021, que assim dispõem:</w:t>
      </w:r>
    </w:p>
    <w:p>
      <w:pPr>
        <w:spacing w:before="80" w:after="200" w:line="240" w:lineRule="auto"/>
        <w:ind w:firstLine="0" w:left="2268"/>
        <w:jc w:val="both"/>
      </w:pPr>
      <w:r>
        <w:rPr>
          <w:b w:val="0"/>
          <w:i w:val="0"/>
          <w:sz w:val="20"/>
        </w:rPr>
        <w:t>O edital deverá conter o objeto da licitação e as regras relativas à convocação, ao julgamento, à habilitação, aos recursos e às penalidades da licitação, à fiscalização e à gestão do contrato, à entrega do objeto e às condições de pagamento.</w:t>
      </w:r>
      <w:r>
        <w:rPr>
          <w:b w:val="0"/>
          <w:i w:val="0"/>
          <w:sz w:val="20"/>
        </w:rPr>
        <w:t xml:space="preserve"> (BRASIL, 2021, art. 25)</w:t>
      </w:r>
    </w:p>
    <w:p>
      <w:pPr>
        <w:spacing w:before="80" w:after="200" w:line="240" w:lineRule="auto"/>
        <w:ind w:firstLine="0" w:left="2268"/>
        <w:jc w:val="both"/>
      </w:pPr>
      <w:r>
        <w:rPr>
          <w:b w:val="0"/>
          <w:i w:val="0"/>
          <w:sz w:val="20"/>
        </w:rPr>
        <w:t>A fase preparatória do processo licitatório é caracterizada pelo planejamento e deve compatibilizar-se com o plano de contratações anual de que trata o inciso VII do caput do art. 12 desta Lei, sempre que elaborado, e com as leis orçamentárias, bem como abordar todas as considerações técnicas, mercadológicas e de gestão que podem interferir na contratação, compreendidos: […] a motivação circunstanciada das condições do edital, tais como justificativa de exigências de qualificação técnica, mediante indicação das parcelas de maior relevância técnica ou valor significativo do objeto, e de qualificação econômico-financeira, justificativa dos critérios de pontuação e julgamento das propostas técnicas, nas licitações com julgamento por melhor técnica ou técnica e preço, e justificativa das regras pertinentes à participação de empresas em consórcio;</w:t>
      </w:r>
      <w:r>
        <w:rPr>
          <w:b w:val="0"/>
          <w:i w:val="0"/>
          <w:sz w:val="20"/>
        </w:rPr>
        <w:t xml:space="preserve"> (BRASIL, 2021, art. 18, inciso IX)</w:t>
      </w:r>
    </w:p>
    <w:p>
      <w:pPr>
        <w:spacing w:before="0" w:after="120" w:line="360" w:lineRule="auto"/>
        <w:ind w:firstLine="709"/>
        <w:jc w:val="both"/>
      </w:pPr>
      <w:r>
        <w:rPr>
          <w:b/>
          <w:i w:val="0"/>
          <w:color w:val="12324A"/>
        </w:rPr>
        <w:t xml:space="preserve">Análise. </w:t>
      </w:r>
      <w:r>
        <w:rPr>
          <w:b w:val="0"/>
          <w:i w:val="0"/>
        </w:rPr>
        <w:t>O art. 25 exige edital claro quanto a julgamento, entrega e pagamento, e o art. 18, IX, exige motivação circunstanciada das condições do edital. Regras contraditórias impedem o licitante de formular proposta segura e o pregoeiro de julgar de modo objetivo. O item 22.4 (prevalência do edital) atenua, mas não elimina, a insegurança.</w:t>
      </w:r>
    </w:p>
    <w:p>
      <w:pPr>
        <w:spacing w:before="0" w:after="120" w:line="360" w:lineRule="auto"/>
        <w:ind w:firstLine="709"/>
        <w:jc w:val="both"/>
      </w:pPr>
      <w:r>
        <w:rPr>
          <w:b/>
          <w:i w:val="0"/>
          <w:color w:val="C9781E"/>
        </w:rPr>
        <w:t xml:space="preserve">Risco de manutenção. </w:t>
      </w:r>
      <w:r>
        <w:rPr>
          <w:b w:val="0"/>
          <w:i w:val="0"/>
        </w:rPr>
        <w:t>Impugnações, recursos, discussões sobre prazos e sanções na execução e eventual anulação de atos.</w:t>
      </w:r>
    </w:p>
    <w:p>
      <w:pPr>
        <w:spacing w:before="0" w:after="120" w:line="360" w:lineRule="auto"/>
        <w:ind w:firstLine="709"/>
        <w:jc w:val="both"/>
      </w:pPr>
      <w:r>
        <w:rPr>
          <w:b/>
          <w:i w:val="0"/>
          <w:color w:val="12324A"/>
        </w:rPr>
        <w:t xml:space="preserve">Providência recomendada. </w:t>
      </w:r>
      <w:r>
        <w:rPr>
          <w:b w:val="0"/>
          <w:i w:val="0"/>
        </w:rPr>
        <w:t>Unificar em retificação única o edital, o TR e a minuta: prazos de entrega, instalação, substituição e recebimento; vigência; garantia; critério de atualização por mora; prazo de pagamento; dotação; numeração, folhas e identificação do certame; e a rotina de habilitação (suprimir a duplicidade dos itens 12.10/12.11.2). Considerar o impacto na proposta e, se for o caso, reabrir o prazo (art. 55, § 1º). Elaborar tabela única de datas, prazos e critérios.</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3.5 Minuta de contrato com cláusula de garantia incompatível com a decisão de não exigir garantia</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C9781E" w:space="0"/>
              <w:bottom w:val="nil"/>
              <w:right w:val="nil"/>
            </w:tcBorders>
            <w:shd w:val="clear" w:color="auto" w:fill="FBEEDD"/>
            <w:tcMar>
              <w:top w:w="85" w:type="dxa"/>
              <w:left w:w="85" w:type="dxa"/>
              <w:bottom w:w="85" w:type="dxa"/>
              <w:right w:w="85" w:type="dxa"/>
            </w:tcMar>
          </w:tcPr>
          <w:p>
            <w:pPr>
              <w:spacing w:before="0" w:after="0" w:line="240" w:lineRule="auto"/>
              <w:ind w:firstLine="0"/>
              <w:jc w:val="left"/>
            </w:pPr>
            <w:r>
              <w:rPr>
                <w:b/>
                <w:i w:val="0"/>
                <w:color w:val="C9781E"/>
                <w:sz w:val="16"/>
              </w:rPr>
              <w:t>GRAVIDADE MÉDIA</w:t>
            </w:r>
            <w:r>
              <w:rPr>
                <w:b w:val="0"/>
                <w:i w:val="0"/>
                <w:color w:val="1E2A32"/>
                <w:sz w:val="16"/>
              </w:rPr>
              <w:t xml:space="preserve">   ·   Apontamento adicional   ·   Edital e minutas (ata e contrato), Anexo XIII, Cláusula Nona, [página 97]</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edital (16.1) e o TR (5.22) dispensam garantia, mas a minuta mantém a Cláusula Nona com garantia de 2%, cinco modalidades e instruções de preenchimento, além de referências à garantia nas cláusulas de obrigações, sanções e extinção.</w:t>
      </w:r>
    </w:p>
    <w:p>
      <w:pPr>
        <w:spacing w:before="0" w:after="120" w:line="360" w:lineRule="auto"/>
        <w:ind w:firstLine="709"/>
        <w:jc w:val="both"/>
      </w:pPr>
      <w:r>
        <w:rPr>
          <w:b w:val="0"/>
          <w:i w:val="0"/>
        </w:rPr>
        <w:t>O documento dispõe: “CLÁUSULA NONA – GARANTIA (INSERIR APENAS SE FOR O CASO DE” (Anexo XIII, Cláusula Nona, [página 97]).</w:t>
      </w:r>
    </w:p>
    <w:p>
      <w:pPr>
        <w:spacing w:before="0" w:after="80" w:line="360" w:lineRule="auto"/>
        <w:ind w:firstLine="709"/>
        <w:jc w:val="both"/>
      </w:pPr>
      <w:r>
        <w:rPr>
          <w:b/>
          <w:i w:val="0"/>
          <w:color w:val="12324A"/>
        </w:rPr>
        <w:t xml:space="preserve">Dispositivo aplicável. </w:t>
      </w:r>
      <w:r>
        <w:rPr>
          <w:b w:val="0"/>
          <w:i w:val="0"/>
        </w:rPr>
        <w:t>A matéria é disciplinada pelo art. 98 e pelo art. 92, da Lei 14.133/2021, que assim dispõem:</w:t>
      </w:r>
    </w:p>
    <w:p>
      <w:pPr>
        <w:spacing w:before="80" w:after="200" w:line="240" w:lineRule="auto"/>
        <w:ind w:firstLine="0" w:left="2268"/>
        <w:jc w:val="both"/>
      </w:pPr>
      <w:r>
        <w:rPr>
          <w:b w:val="0"/>
          <w:i w:val="0"/>
          <w:sz w:val="20"/>
        </w:rPr>
        <w:t>Nas contratações de obras, serviços e fornecimentos, a garantia poderá ser de até 5% (cinco por cento) do valor inicial do contrato, autorizada a majoração desse percentual para até 10% (dez por cento), desde que justificada mediante análise da complexidade técnica e dos riscos envolvidos.</w:t>
      </w:r>
      <w:r>
        <w:rPr>
          <w:b w:val="0"/>
          <w:i w:val="0"/>
          <w:sz w:val="20"/>
        </w:rPr>
        <w:t xml:space="preserve"> (BRASIL, 2021, art. 98)</w:t>
      </w:r>
    </w:p>
    <w:p>
      <w:pPr>
        <w:spacing w:before="80" w:after="200" w:line="240" w:lineRule="auto"/>
        <w:ind w:firstLine="0" w:left="2268"/>
        <w:jc w:val="both"/>
      </w:pPr>
      <w:r>
        <w:rPr>
          <w:b w:val="0"/>
          <w:i w:val="0"/>
          <w:sz w:val="20"/>
        </w:rPr>
        <w:t>São necessárias em todo contrato cláusulas que estabeleçam: […]</w:t>
      </w:r>
      <w:r>
        <w:rPr>
          <w:b w:val="0"/>
          <w:i w:val="0"/>
          <w:sz w:val="20"/>
        </w:rPr>
        <w:t xml:space="preserve"> (BRASIL, 2021, art. 92)</w:t>
      </w:r>
    </w:p>
    <w:p>
      <w:pPr>
        <w:spacing w:before="0" w:after="120" w:line="360" w:lineRule="auto"/>
        <w:ind w:firstLine="709"/>
        <w:jc w:val="both"/>
      </w:pPr>
      <w:r>
        <w:rPr>
          <w:b/>
          <w:i w:val="0"/>
          <w:color w:val="12324A"/>
        </w:rPr>
        <w:t xml:space="preserve">Análise. </w:t>
      </w:r>
      <w:r>
        <w:rPr>
          <w:b w:val="0"/>
          <w:i w:val="0"/>
        </w:rPr>
        <w:t>O contrato não pode prever garantia que o edital dispensou. A divergência cria dúvida sobre a exigibilidade da garantia e sobre descontos em pagamentos e multas.</w:t>
      </w:r>
    </w:p>
    <w:p>
      <w:pPr>
        <w:spacing w:before="0" w:after="120" w:line="360" w:lineRule="auto"/>
        <w:ind w:firstLine="709"/>
        <w:jc w:val="both"/>
      </w:pPr>
      <w:r>
        <w:rPr>
          <w:b/>
          <w:i w:val="0"/>
          <w:color w:val="C9781E"/>
        </w:rPr>
        <w:t xml:space="preserve">Risco de manutenção. </w:t>
      </w:r>
      <w:r>
        <w:rPr>
          <w:b w:val="0"/>
          <w:i w:val="0"/>
        </w:rPr>
        <w:t>Contestação sobre garantia exigida na assinatura, atraso na contratação e insegurança na aplicação de sanções.</w:t>
      </w:r>
    </w:p>
    <w:p>
      <w:pPr>
        <w:spacing w:before="0" w:after="120" w:line="360" w:lineRule="auto"/>
        <w:ind w:firstLine="709"/>
        <w:jc w:val="both"/>
      </w:pPr>
      <w:r>
        <w:rPr>
          <w:b/>
          <w:i w:val="0"/>
          <w:color w:val="12324A"/>
        </w:rPr>
        <w:t xml:space="preserve">Providência recomendada. </w:t>
      </w:r>
      <w:r>
        <w:rPr>
          <w:b w:val="0"/>
          <w:i w:val="0"/>
        </w:rPr>
        <w:t>Excluir a Cláusula Nona e as remissões à garantia contratual (obrigação X, sanção e extinção), renumerando as cláusulas, ou, se a garantia for adotada, alterar o edital e o TR e observar os limites do art. 98.</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3.6 Qualificação econômico-financeira</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3D8FA6" w:space="0"/>
              <w:bottom w:val="nil"/>
              <w:right w:val="nil"/>
            </w:tcBorders>
            <w:shd w:val="clear" w:color="auto" w:fill="E3F1F5"/>
            <w:tcMar>
              <w:top w:w="85" w:type="dxa"/>
              <w:left w:w="85" w:type="dxa"/>
              <w:bottom w:w="85" w:type="dxa"/>
              <w:right w:w="85" w:type="dxa"/>
            </w:tcMar>
          </w:tcPr>
          <w:p>
            <w:pPr>
              <w:spacing w:before="0" w:after="0" w:line="240" w:lineRule="auto"/>
              <w:ind w:firstLine="0"/>
              <w:jc w:val="left"/>
            </w:pPr>
            <w:r>
              <w:rPr>
                <w:b/>
                <w:i w:val="0"/>
                <w:color w:val="3D8FA6"/>
                <w:sz w:val="16"/>
              </w:rPr>
              <w:t>GRAVIDADE BAIXA</w:t>
            </w:r>
            <w:r>
              <w:rPr>
                <w:b w:val="0"/>
                <w:i w:val="0"/>
                <w:color w:val="1E2A32"/>
                <w:sz w:val="16"/>
              </w:rPr>
              <w:t xml:space="preserve">   ·   Parcialmente conforme   ·   Edital e minutas (ata e contrato), Item 13, (B.1.a) e (B.2), [página 24] e [página 26]</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edital exige balanço dos dois últimos exercícios e Índice de Liquidez Geral ≥ 1, com patrimônio líquido mínimo de 10% do valor estimado para quem não atingir o índice. Não há exigência de faturamento mínimo nem de índices de rentabilidade, e o percentual respeita o teto de 10%. Observa-se, porém, que: (i) a justificativa dos índices no processo não consta dos documentos analisados, e o TR (item 9.22) apenas repete o valor; (ii) o PN de 10% incide sobre o valor total estimado (R$ 777.978,34), embora a licitação seja por item, o que onera quem disputa só o item 2 (R$ 101.978,34); (iii) o TR (item 9.24) prevê declaração de profissional contábil para atestar o índice, que não consta do edital; (iv) a Súmula 275 do TCU trata a exigência de capital ou PL mínimo como alternativa à comprovação de índices, o que o edital observa ao adotá-los em alternativa.</w:t>
      </w:r>
    </w:p>
    <w:p>
      <w:pPr>
        <w:spacing w:before="0" w:after="120" w:line="360" w:lineRule="auto"/>
        <w:ind w:firstLine="709"/>
        <w:jc w:val="both"/>
      </w:pPr>
      <w:r>
        <w:rPr>
          <w:b w:val="0"/>
          <w:i w:val="0"/>
        </w:rPr>
        <w:t>O documento dispõe: “a 10% (dez por cento) do valor estimado para a contratação. A comprovação será” (Item 13, (B.1.a) e (B.2), [página 24] e [página 26]).</w:t>
      </w:r>
    </w:p>
    <w:p>
      <w:pPr>
        <w:spacing w:before="0" w:after="80" w:line="360" w:lineRule="auto"/>
        <w:ind w:firstLine="709"/>
        <w:jc w:val="both"/>
      </w:pPr>
      <w:r>
        <w:rPr>
          <w:b/>
          <w:i w:val="0"/>
          <w:color w:val="12324A"/>
        </w:rPr>
        <w:t xml:space="preserve">Dispositivo aplicável. </w:t>
      </w:r>
      <w:r>
        <w:rPr>
          <w:b w:val="0"/>
          <w:i w:val="0"/>
        </w:rPr>
        <w:t>A matéria é disciplinada pelo art. 69, pelo art. 69, § 2º, pelo art. 69, § 4º e pelo art. 69, § 5º, da Lei 14.133/2021, que assim dispõem:</w:t>
      </w:r>
    </w:p>
    <w:p>
      <w:pPr>
        <w:spacing w:before="80" w:after="200" w:line="240" w:lineRule="auto"/>
        <w:ind w:firstLine="0" w:left="2268"/>
        <w:jc w:val="both"/>
      </w:pPr>
      <w:r>
        <w:rPr>
          <w:b w:val="0"/>
          <w:i w:val="0"/>
          <w:sz w:val="20"/>
        </w:rPr>
        <w:t>A habilitação econômico-financeira visa a demonstrar a aptidão econômica do licitante para cumprir as obrigações decorrentes do futuro contrato, devendo ser comprovada de forma objetiva, por coeficientes e índices econômicos previstos no edital, devidamente justificados no processo licitatório, e será restrita à apresentação da seguinte documentação: […]</w:t>
      </w:r>
      <w:r>
        <w:rPr>
          <w:b w:val="0"/>
          <w:i w:val="0"/>
          <w:sz w:val="20"/>
        </w:rPr>
        <w:t xml:space="preserve"> (BRASIL, 2021, art. 69)</w:t>
      </w:r>
    </w:p>
    <w:p>
      <w:pPr>
        <w:spacing w:before="80" w:after="200" w:line="240" w:lineRule="auto"/>
        <w:ind w:firstLine="0" w:left="2268"/>
        <w:jc w:val="both"/>
      </w:pPr>
      <w:r>
        <w:rPr>
          <w:b w:val="0"/>
          <w:i w:val="0"/>
          <w:sz w:val="20"/>
        </w:rPr>
        <w:t>Para o atendimento do disposto no caput deste artigo, é vedada a exigência de valores mínimos de faturamento anterior e de índices de rentabilidade ou lucratividade.</w:t>
      </w:r>
      <w:r>
        <w:rPr>
          <w:b w:val="0"/>
          <w:i w:val="0"/>
          <w:sz w:val="20"/>
        </w:rPr>
        <w:t xml:space="preserve"> (BRASIL, 2021, art. 69, § 2º)</w:t>
      </w:r>
    </w:p>
    <w:p>
      <w:pPr>
        <w:spacing w:before="80" w:after="200" w:line="240" w:lineRule="auto"/>
        <w:ind w:firstLine="0" w:left="2268"/>
        <w:jc w:val="both"/>
      </w:pPr>
      <w:r>
        <w:rPr>
          <w:b w:val="0"/>
          <w:i w:val="0"/>
          <w:sz w:val="20"/>
        </w:rPr>
        <w:t>A Administração, nas compras para entrega futura e na execução de obras e serviços, poderá estabelecer no edital a exigência de capital mínimo ou de patrimônio líquido mínimo equivalente a até 10% (dez por cento) do valor estimado da contratação.</w:t>
      </w:r>
      <w:r>
        <w:rPr>
          <w:b w:val="0"/>
          <w:i w:val="0"/>
          <w:sz w:val="20"/>
        </w:rPr>
        <w:t xml:space="preserve"> (BRASIL, 2021, art. 69, § 4º)</w:t>
      </w:r>
    </w:p>
    <w:p>
      <w:pPr>
        <w:spacing w:before="80" w:after="200" w:line="240" w:lineRule="auto"/>
        <w:ind w:firstLine="0" w:left="2268"/>
        <w:jc w:val="both"/>
      </w:pPr>
      <w:r>
        <w:rPr>
          <w:b w:val="0"/>
          <w:i w:val="0"/>
          <w:sz w:val="20"/>
        </w:rPr>
        <w:t>É vedada a exigência de índices e valores não usualmente adotados para a avaliação de situação econômico-financeira suficiente para o cumprimento das obrigações decorrentes da licitação.</w:t>
      </w:r>
      <w:r>
        <w:rPr>
          <w:b w:val="0"/>
          <w:i w:val="0"/>
          <w:sz w:val="20"/>
        </w:rPr>
        <w:t xml:space="preserve"> (BRASIL, 2021, art. 69, § 5º)</w:t>
      </w:r>
    </w:p>
    <w:p>
      <w:pPr>
        <w:spacing w:before="0" w:after="120" w:line="360" w:lineRule="auto"/>
        <w:ind w:firstLine="709"/>
        <w:jc w:val="both"/>
      </w:pPr>
      <w:r>
        <w:rPr>
          <w:b/>
          <w:i w:val="0"/>
          <w:color w:val="12324A"/>
        </w:rPr>
        <w:t xml:space="preserve">Análise. </w:t>
      </w:r>
      <w:r>
        <w:rPr>
          <w:b w:val="0"/>
          <w:i w:val="0"/>
        </w:rPr>
        <w:t>O art. 69 exige índices objetivos e devidamente justificados no processo, e veda índices ou valores não usuais (§ 5º). O § 4º limita o patrimônio líquido mínimo a 10% do valor estimado da contratação. Em licitação por item, a proporcionalidade sugere calcular o patrimônio líquido sobre o valor dos itens de interesse do licitante.</w:t>
      </w:r>
    </w:p>
    <w:p>
      <w:pPr>
        <w:spacing w:before="0" w:after="120" w:line="360" w:lineRule="auto"/>
        <w:ind w:firstLine="709"/>
        <w:jc w:val="both"/>
      </w:pPr>
      <w:r>
        <w:rPr>
          <w:b/>
          <w:i w:val="0"/>
          <w:color w:val="3D8FA6"/>
        </w:rPr>
        <w:t xml:space="preserve">Risco de manutenção. </w:t>
      </w:r>
      <w:r>
        <w:rPr>
          <w:b w:val="0"/>
          <w:i w:val="0"/>
        </w:rPr>
        <w:t>Impugnação por desproporção para licitantes de apenas um item e questionamento por falta de justificativa técnica dos índices.</w:t>
      </w:r>
    </w:p>
    <w:p>
      <w:pPr>
        <w:spacing w:before="0" w:after="120" w:line="360" w:lineRule="auto"/>
        <w:ind w:firstLine="709"/>
        <w:jc w:val="both"/>
      </w:pPr>
      <w:r>
        <w:rPr>
          <w:b/>
          <w:i w:val="0"/>
          <w:color w:val="12324A"/>
        </w:rPr>
        <w:t xml:space="preserve">Providência recomendada. </w:t>
      </w:r>
      <w:r>
        <w:rPr>
          <w:b w:val="0"/>
          <w:i w:val="0"/>
        </w:rPr>
        <w:t>Juntar ao ETP a justificativa do ILG ≥ 1 e do patrimônio líquido de 10%. Calcular o patrimônio líquido sobre o valor estimado do(s) item(ns) cotado(s) pelo licitante. Alinhar edital e TR quanto à declaração contábil (item 9.24 do TR).</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2E8B57" w:space="0"/>
              <w:bottom w:val="nil"/>
              <w:right w:val="nil"/>
            </w:tcBorders>
            <w:shd w:val="clear" w:color="auto" w:fill="E3F2EA"/>
            <w:tcMar>
              <w:top w:w="141" w:type="dxa"/>
              <w:left w:w="141" w:type="dxa"/>
              <w:bottom w:w="141" w:type="dxa"/>
              <w:right w:w="141" w:type="dxa"/>
            </w:tcMar>
          </w:tcPr>
          <w:p>
            <w:pPr>
              <w:spacing w:before="0" w:after="0" w:line="276" w:lineRule="auto"/>
              <w:ind w:firstLine="0"/>
              <w:jc w:val="both"/>
            </w:pPr>
            <w:r>
              <w:rPr>
                <w:b/>
                <w:i w:val="0"/>
                <w:color w:val="2E8B57"/>
                <w:sz w:val="16"/>
              </w:rPr>
              <w:t xml:space="preserve">REDAÇÃO SUGERIDA  </w:t>
            </w:r>
            <w:r>
              <w:rPr>
                <w:b w:val="0"/>
                <w:i w:val="0"/>
                <w:sz w:val="20"/>
              </w:rPr>
              <w:t>(B.2) O licitante que não alcançar o ILG ≥ 1 deverá comprovar patrimônio líquido mínimo equivalente a 10% (dez por cento) do valor estimado do(s) item(ns) para o(s) qual(is) apresentar proposta.</w:t>
            </w:r>
          </w:p>
        </w:tc>
      </w:tr>
    </w:tbl>
    <w:p>
      <w:pPr>
        <w:spacing w:before="0" w:after="80" w:line="240" w:lineRule="auto"/>
        <w:ind w:firstLine="0"/>
        <w:jc w:val="both"/>
      </w:pPr>
    </w:p>
    <w:p>
      <w:pPr>
        <w:spacing w:before="0" w:after="80" w:line="360" w:lineRule="auto"/>
        <w:ind w:firstLine="709"/>
        <w:jc w:val="both"/>
      </w:pPr>
      <w:r>
        <w:rPr>
          <w:b/>
          <w:i w:val="0"/>
          <w:color w:val="12324A"/>
        </w:rPr>
        <w:t xml:space="preserve">Precedentes. </w:t>
      </w:r>
      <w:r>
        <w:rPr>
          <w:b w:val="0"/>
          <w:i w:val="0"/>
        </w:rPr>
        <w:t>Na Biblioteca Licitacon foram localizados os seguintes entendimentos:</w:t>
      </w:r>
    </w:p>
    <w:p>
      <w:pPr>
        <w:spacing w:before="80" w:after="200" w:line="240" w:lineRule="auto"/>
        <w:ind w:firstLine="0" w:left="2268"/>
        <w:jc w:val="both"/>
      </w:pPr>
      <w:r>
        <w:rPr>
          <w:b w:val="0"/>
          <w:i w:val="0"/>
          <w:sz w:val="20"/>
        </w:rPr>
        <w:t>A exigência de índices contábeis de capacidade financeira, a exemplo dos de liquidez, deve estar justificada no processo da licitação, conter parâmetros atualizados de mercado e atender às características do objeto licitado, sendo vedado o uso de índice cuja fórmula inclua rentabilidade ou lucratividade. (Súmula vigente, aprovada pelo Acórdão 354/2016-Plenário; data indicada = ano de aprovação.)</w:t>
      </w:r>
      <w:r>
        <w:rPr>
          <w:b w:val="0"/>
          <w:i w:val="0"/>
          <w:sz w:val="20"/>
        </w:rPr>
        <w:t xml:space="preserve"> (TCU, Súmula TCU 289)</w:t>
      </w:r>
      <w:r>
        <w:rPr>
          <w:b w:val="0"/>
          <w:i w:val="0"/>
          <w:sz w:val="20"/>
        </w:rPr>
        <w:t xml:space="preserve"> </w:t>
      </w:r>
      <w:hyperlink r:id="rId14">
        <w:r>
          <w:rPr>
            <w:color w:val="1F7A8C"/>
            <w:u w:val="single"/>
            <w:sz w:val="18"/>
          </w:rPr>
          <w:t xml:space="preserve">[fonte oficial]</w:t>
        </w:r>
      </w:hyperlink>
    </w:p>
    <w:p>
      <w:pPr>
        <w:pStyle w:val="Heading2"/>
        <w:keepNext/>
        <w:spacing w:before="240" w:after="160" w:line="360" w:lineRule="auto"/>
        <w:ind w:firstLine="0"/>
        <w:jc w:val="left"/>
      </w:pPr>
      <w:r>
        <w:rPr>
          <w:rFonts w:ascii="Arial" w:hAnsi="Arial"/>
          <w:b/>
          <w:i w:val="0"/>
          <w:color w:val="12324A"/>
          <w:sz w:val="24"/>
        </w:rPr>
        <w:t>3.7 Tratamento diferenciado a ME e EPP</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3D8FA6" w:space="0"/>
              <w:bottom w:val="nil"/>
              <w:right w:val="nil"/>
            </w:tcBorders>
            <w:shd w:val="clear" w:color="auto" w:fill="E3F1F5"/>
            <w:tcMar>
              <w:top w:w="85" w:type="dxa"/>
              <w:left w:w="85" w:type="dxa"/>
              <w:bottom w:w="85" w:type="dxa"/>
              <w:right w:w="85" w:type="dxa"/>
            </w:tcMar>
          </w:tcPr>
          <w:p>
            <w:pPr>
              <w:spacing w:before="0" w:after="0" w:line="240" w:lineRule="auto"/>
              <w:ind w:firstLine="0"/>
              <w:jc w:val="left"/>
            </w:pPr>
            <w:r>
              <w:rPr>
                <w:b/>
                <w:i w:val="0"/>
                <w:color w:val="3D8FA6"/>
                <w:sz w:val="16"/>
              </w:rPr>
              <w:t>GRAVIDADE BAIXA</w:t>
            </w:r>
            <w:r>
              <w:rPr>
                <w:b w:val="0"/>
                <w:i w:val="0"/>
                <w:color w:val="1E2A32"/>
                <w:sz w:val="16"/>
              </w:rPr>
              <w:t xml:space="preserve">   ·   Parcialmente conforme   ·   Edital e minutas (ata e contrato), TR item 9.4, [página 66]</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edital aplica o tratamento favorecido da LC 123/2006: declaração de enquadramento (10.8), empate ficto de 5% (12.5), regularidade fiscal tardia em 5 dias úteis prorrogáveis (C.6) e declaração do limite de receita (10.8.1). Não há exclusividade para ME/EPP, pois o valor de cada item (R$ 676.000,00 e R$ 101.978,34) supera R$ 80.000,00. O TR (item 9.4) afasta a cota reservada por conta do 'valor dos itens', sem demonstrar o enquadramento em uma das hipóteses do art. 49 da LC 123 (por exemplo, falta de três fornecedores competitivos ou desvantagem para a Administração). A cota de até 25% para bem divisível (item 2, seis unidades) é, em princípio, cabível. A justificativa consta apenas no TR, e o edital não a menciona.</w:t>
      </w:r>
    </w:p>
    <w:p>
      <w:pPr>
        <w:spacing w:before="0" w:after="120" w:line="360" w:lineRule="auto"/>
        <w:ind w:firstLine="709"/>
        <w:jc w:val="both"/>
      </w:pPr>
      <w:r>
        <w:rPr>
          <w:b w:val="0"/>
          <w:i w:val="0"/>
        </w:rPr>
        <w:t>O documento dispõe: “Complementar nº 123/06, tendo em vista o valor dos itens da contratação.” (TR item 9.4, [página 66]).</w:t>
      </w:r>
    </w:p>
    <w:p>
      <w:pPr>
        <w:spacing w:before="0" w:after="80" w:line="360" w:lineRule="auto"/>
        <w:ind w:firstLine="709"/>
        <w:jc w:val="both"/>
      </w:pPr>
      <w:r>
        <w:rPr>
          <w:b/>
          <w:i w:val="0"/>
          <w:color w:val="12324A"/>
        </w:rPr>
        <w:t xml:space="preserve">Dispositivo aplicável. </w:t>
      </w:r>
      <w:r>
        <w:rPr>
          <w:b w:val="0"/>
          <w:i w:val="0"/>
        </w:rPr>
        <w:t>A matéria é disciplinada pelo art. 4 e pelo art. 4, § 1º, da Lei 14.133/2021, que assim dispõem:</w:t>
      </w:r>
    </w:p>
    <w:p>
      <w:pPr>
        <w:spacing w:before="80" w:after="200" w:line="240" w:lineRule="auto"/>
        <w:ind w:firstLine="0" w:left="2268"/>
        <w:jc w:val="both"/>
      </w:pPr>
      <w:r>
        <w:rPr>
          <w:b w:val="0"/>
          <w:i w:val="0"/>
          <w:sz w:val="20"/>
        </w:rPr>
        <w:t>Aplicam-se às licitações e contratos disciplinados por esta Lei as disposições constantes dos arts. 42 a 49 da Lei Complementar nº 123, de 14 de dezembro de 2006.</w:t>
      </w:r>
      <w:r>
        <w:rPr>
          <w:b w:val="0"/>
          <w:i w:val="0"/>
          <w:sz w:val="20"/>
        </w:rPr>
        <w:t xml:space="preserve"> (BRASIL, 2021, art. 4)</w:t>
      </w:r>
    </w:p>
    <w:p>
      <w:pPr>
        <w:spacing w:before="80" w:after="200" w:line="240" w:lineRule="auto"/>
        <w:ind w:firstLine="0" w:left="2268"/>
        <w:jc w:val="both"/>
      </w:pPr>
      <w:r>
        <w:rPr>
          <w:b w:val="0"/>
          <w:i w:val="0"/>
          <w:sz w:val="20"/>
        </w:rPr>
        <w:t>As disposições a que se refere o caput deste artigo não são aplicadas: […]</w:t>
      </w:r>
      <w:r>
        <w:rPr>
          <w:b w:val="0"/>
          <w:i w:val="0"/>
          <w:sz w:val="20"/>
        </w:rPr>
        <w:t xml:space="preserve"> (BRASIL, 2021, art. 4, § 1º)</w:t>
      </w:r>
    </w:p>
    <w:p>
      <w:pPr>
        <w:spacing w:before="0" w:after="120" w:line="360" w:lineRule="auto"/>
        <w:ind w:firstLine="709"/>
        <w:jc w:val="both"/>
      </w:pPr>
      <w:r>
        <w:rPr>
          <w:b/>
          <w:i w:val="0"/>
          <w:color w:val="12324A"/>
        </w:rPr>
        <w:t xml:space="preserve">Análise. </w:t>
      </w:r>
      <w:r>
        <w:rPr>
          <w:b w:val="0"/>
          <w:i w:val="0"/>
        </w:rPr>
        <w:t>O art. 4º da Lei 14.133 manda aplicar os arts. 42 a 49 da LC 123. O afastamento da cota exige motivação nas hipóteses do art. 49 da LC 123, e o valor do item, por si só, não está entre elas para o item 2.</w:t>
      </w:r>
    </w:p>
    <w:p>
      <w:pPr>
        <w:spacing w:before="0" w:after="120" w:line="360" w:lineRule="auto"/>
        <w:ind w:firstLine="709"/>
        <w:jc w:val="both"/>
      </w:pPr>
      <w:r>
        <w:rPr>
          <w:b/>
          <w:i w:val="0"/>
          <w:color w:val="3D8FA6"/>
        </w:rPr>
        <w:t xml:space="preserve">Risco de manutenção. </w:t>
      </w:r>
      <w:r>
        <w:rPr>
          <w:b w:val="0"/>
          <w:i w:val="0"/>
        </w:rPr>
        <w:t>Impugnação por omissão do benefício da cota para o item 2 e questionamento do ato por motivação insuficiente.</w:t>
      </w:r>
    </w:p>
    <w:p>
      <w:pPr>
        <w:spacing w:before="0" w:after="120" w:line="360" w:lineRule="auto"/>
        <w:ind w:firstLine="709"/>
        <w:jc w:val="both"/>
      </w:pPr>
      <w:r>
        <w:rPr>
          <w:b/>
          <w:i w:val="0"/>
          <w:color w:val="12324A"/>
        </w:rPr>
        <w:t xml:space="preserve">Providência recomendada. </w:t>
      </w:r>
      <w:r>
        <w:rPr>
          <w:b w:val="0"/>
          <w:i w:val="0"/>
        </w:rPr>
        <w:t>Reavaliar a cota reservada para o item 2 (até 25% das mesas). Se mantida a decisão, motivar no ETP/TR a hipótese do art. 49 da LC 123 aplicável e fazer constar no edital que não haverá cota, com a razão.</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3.8 Impugnação e esclarecimentos</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3D8FA6" w:space="0"/>
              <w:bottom w:val="nil"/>
              <w:right w:val="nil"/>
            </w:tcBorders>
            <w:shd w:val="clear" w:color="auto" w:fill="E3F1F5"/>
            <w:tcMar>
              <w:top w:w="85" w:type="dxa"/>
              <w:left w:w="85" w:type="dxa"/>
              <w:bottom w:w="85" w:type="dxa"/>
              <w:right w:w="85" w:type="dxa"/>
            </w:tcMar>
          </w:tcPr>
          <w:p>
            <w:pPr>
              <w:spacing w:before="0" w:after="0" w:line="240" w:lineRule="auto"/>
              <w:ind w:firstLine="0"/>
              <w:jc w:val="left"/>
            </w:pPr>
            <w:r>
              <w:rPr>
                <w:b/>
                <w:i w:val="0"/>
                <w:color w:val="3D8FA6"/>
                <w:sz w:val="16"/>
              </w:rPr>
              <w:t>GRAVIDADE BAIXA</w:t>
            </w:r>
            <w:r>
              <w:rPr>
                <w:b w:val="0"/>
                <w:i w:val="0"/>
                <w:color w:val="1E2A32"/>
                <w:sz w:val="16"/>
              </w:rPr>
              <w:t xml:space="preserve">   ·   Parcialmente conforme   ·   Edital e minutas (ata e contrato), Itens 1.7 a 1.9, [página 2] e [página 3]</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Os prazos de esclarecimentos e impugnação (até 3 dias úteis antes da abertura) e de resposta (3 dias úteis) estão previstos. Falhas: (i) o limite 'último dia útil anterior à abertura' consta só para esclarecimentos (1.7.1), não para impugnações (1.8.1); (ii) a divulgação da resposta em sítio oficial é prevista só para esclarecimentos ('pelo sistema'), não para impugnações; (iii) o art. 164 confere legitimidade a 'qualquer pessoa', e o item 1.8 fala em 'interessados'; (iv) o efeito suspensivo da impugnação (1.8.2) não decorre da lei, e o item 1.9 faz a licitação não prosseguir enquanto houver pedidos pendentes, o que pode gerar adiamentos sem prazo definido; (v) o canal é e-mail genérico (gmail).</w:t>
      </w:r>
    </w:p>
    <w:p>
      <w:pPr>
        <w:spacing w:before="0" w:after="120" w:line="360" w:lineRule="auto"/>
        <w:ind w:firstLine="709"/>
        <w:jc w:val="both"/>
      </w:pPr>
      <w:r>
        <w:rPr>
          <w:b w:val="0"/>
          <w:i w:val="0"/>
        </w:rPr>
        <w:t>O documento dispõe: “anexos, decidir sobre a impugnação no prazo de 3 (três) dias úteis, contado da data de” (Itens 1.7 a 1.9, [página 2] e [página 3]).</w:t>
      </w:r>
    </w:p>
    <w:p>
      <w:pPr>
        <w:spacing w:before="0" w:after="80" w:line="360" w:lineRule="auto"/>
        <w:ind w:firstLine="709"/>
        <w:jc w:val="both"/>
      </w:pPr>
      <w:r>
        <w:rPr>
          <w:b/>
          <w:i w:val="0"/>
          <w:color w:val="12324A"/>
        </w:rPr>
        <w:t xml:space="preserve">Dispositivo aplicável. </w:t>
      </w:r>
      <w:r>
        <w:rPr>
          <w:b w:val="0"/>
          <w:i w:val="0"/>
        </w:rPr>
        <w:t>A matéria é disciplinada pelo art. 164 e pelo art. 164, Parágrafo único, da Lei 14.133/2021, que assim dispõem:</w:t>
      </w:r>
    </w:p>
    <w:p>
      <w:pPr>
        <w:spacing w:before="80" w:after="200" w:line="240" w:lineRule="auto"/>
        <w:ind w:firstLine="0" w:left="2268"/>
        <w:jc w:val="both"/>
      </w:pPr>
      <w:r>
        <w:rPr>
          <w:b w:val="0"/>
          <w:i w:val="0"/>
          <w:sz w:val="20"/>
        </w:rPr>
        <w:t>Qualquer pessoa é parte legítima para impugnar edital de licitação por irregularidade na aplicação desta Lei ou para solicitar esclarecimento sobre os seus termos, devendo protocolar o pedido até 3 (três) dias úteis antes da data de abertura do certame.</w:t>
      </w:r>
      <w:r>
        <w:rPr>
          <w:b w:val="0"/>
          <w:i w:val="0"/>
          <w:sz w:val="20"/>
        </w:rPr>
        <w:t xml:space="preserve"> (BRASIL, 2021, art. 164)</w:t>
      </w:r>
    </w:p>
    <w:p>
      <w:pPr>
        <w:spacing w:before="80" w:after="200" w:line="240" w:lineRule="auto"/>
        <w:ind w:firstLine="0" w:left="2268"/>
        <w:jc w:val="both"/>
      </w:pPr>
      <w:r>
        <w:rPr>
          <w:b w:val="0"/>
          <w:i w:val="0"/>
          <w:sz w:val="20"/>
        </w:rPr>
        <w:t>A resposta à impugnação ou ao pedido de esclarecimento será divulgada em sítio eletrônico oficial no prazo de até 3 (três) dias úteis, limitado ao último dia útil anterior à data da abertura do certame.</w:t>
      </w:r>
      <w:r>
        <w:rPr>
          <w:b w:val="0"/>
          <w:i w:val="0"/>
          <w:sz w:val="20"/>
        </w:rPr>
        <w:t xml:space="preserve"> (BRASIL, 2021, art. 164, Parágrafo único)</w:t>
      </w:r>
    </w:p>
    <w:p>
      <w:pPr>
        <w:spacing w:before="0" w:after="120" w:line="360" w:lineRule="auto"/>
        <w:ind w:firstLine="709"/>
        <w:jc w:val="both"/>
      </w:pPr>
      <w:r>
        <w:rPr>
          <w:b/>
          <w:i w:val="0"/>
          <w:color w:val="12324A"/>
        </w:rPr>
        <w:t xml:space="preserve">Análise. </w:t>
      </w:r>
      <w:r>
        <w:rPr>
          <w:b w:val="0"/>
          <w:i w:val="0"/>
        </w:rPr>
        <w:t>O parágrafo único do art. 164 exige que a resposta seja divulgada em sítio eletrônico oficial em até 3 dias úteis, limitado ao último dia útil anterior à abertura, e o caput abre a impugnação a qualquer pessoa.</w:t>
      </w:r>
    </w:p>
    <w:p>
      <w:pPr>
        <w:spacing w:before="0" w:after="120" w:line="360" w:lineRule="auto"/>
        <w:ind w:firstLine="709"/>
        <w:jc w:val="both"/>
      </w:pPr>
      <w:r>
        <w:rPr>
          <w:b/>
          <w:i w:val="0"/>
          <w:color w:val="3D8FA6"/>
        </w:rPr>
        <w:t xml:space="preserve">Risco de manutenção. </w:t>
      </w:r>
      <w:r>
        <w:rPr>
          <w:b w:val="0"/>
          <w:i w:val="0"/>
        </w:rPr>
        <w:t>Cerceamento do direito de impugnar e adiamentos indefinidos da sessão, com questionamento de prazos.</w:t>
      </w:r>
    </w:p>
    <w:p>
      <w:pPr>
        <w:spacing w:before="0" w:after="120" w:line="360" w:lineRule="auto"/>
        <w:ind w:firstLine="709"/>
        <w:jc w:val="both"/>
      </w:pPr>
      <w:r>
        <w:rPr>
          <w:b/>
          <w:i w:val="0"/>
          <w:color w:val="12324A"/>
        </w:rPr>
        <w:t xml:space="preserve">Providência recomendada. </w:t>
      </w:r>
      <w:r>
        <w:rPr>
          <w:b w:val="0"/>
          <w:i w:val="0"/>
        </w:rPr>
        <w:t>Reproduzir no item 1.8.1 o limite do último dia útil anterior à abertura, prever divulgação das respostas a impugnações em sítio oficial, trocar 'interessados' por 'qualquer pessoa' e prever que o efeito suspensivo se limita ao prazo necessário à decisão, indicando o canal oficial do sistema.</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2E8B57" w:space="0"/>
              <w:bottom w:val="nil"/>
              <w:right w:val="nil"/>
            </w:tcBorders>
            <w:shd w:val="clear" w:color="auto" w:fill="E3F2EA"/>
            <w:tcMar>
              <w:top w:w="141" w:type="dxa"/>
              <w:left w:w="141" w:type="dxa"/>
              <w:bottom w:w="141" w:type="dxa"/>
              <w:right w:w="141" w:type="dxa"/>
            </w:tcMar>
          </w:tcPr>
          <w:p>
            <w:pPr>
              <w:spacing w:before="0" w:after="0" w:line="276" w:lineRule="auto"/>
              <w:ind w:firstLine="0"/>
              <w:jc w:val="both"/>
            </w:pPr>
            <w:r>
              <w:rPr>
                <w:b/>
                <w:i w:val="0"/>
                <w:color w:val="2E8B57"/>
                <w:sz w:val="16"/>
              </w:rPr>
              <w:t xml:space="preserve">REDAÇÃO SUGERIDA  </w:t>
            </w:r>
            <w:r>
              <w:rPr>
                <w:b w:val="0"/>
                <w:i w:val="0"/>
                <w:sz w:val="20"/>
              </w:rPr>
              <w:t>1.8.1 – O pregoeiro decidirá sobre a impugnação no prazo de 3 (três) dias úteis, limitado ao último dia útil anterior à data da abertura do certame, e divulgará a resposta no sítio eletrônico oficial (PNCP e sistema), vinculando todos os participantes.</w:t>
            </w:r>
          </w:p>
        </w:tc>
      </w:tr>
    </w:tbl>
    <w:p>
      <w:pPr>
        <w:spacing w:before="0" w:after="80" w:line="240" w:lineRule="auto"/>
        <w:ind w:firstLine="0"/>
        <w:jc w:val="both"/>
      </w:pP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3.9 Recursos administrativos</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3D8FA6" w:space="0"/>
              <w:bottom w:val="nil"/>
              <w:right w:val="nil"/>
            </w:tcBorders>
            <w:shd w:val="clear" w:color="auto" w:fill="E3F1F5"/>
            <w:tcMar>
              <w:top w:w="85" w:type="dxa"/>
              <w:left w:w="85" w:type="dxa"/>
              <w:bottom w:w="85" w:type="dxa"/>
              <w:right w:w="85" w:type="dxa"/>
            </w:tcMar>
          </w:tcPr>
          <w:p>
            <w:pPr>
              <w:spacing w:before="0" w:after="0" w:line="240" w:lineRule="auto"/>
              <w:ind w:firstLine="0"/>
              <w:jc w:val="left"/>
            </w:pPr>
            <w:r>
              <w:rPr>
                <w:b/>
                <w:i w:val="0"/>
                <w:color w:val="3D8FA6"/>
                <w:sz w:val="16"/>
              </w:rPr>
              <w:t>GRAVIDADE BAIXA</w:t>
            </w:r>
            <w:r>
              <w:rPr>
                <w:b w:val="0"/>
                <w:i w:val="0"/>
                <w:color w:val="1E2A32"/>
                <w:sz w:val="16"/>
              </w:rPr>
              <w:t xml:space="preserve">   ·   Parcialmente conforme   ·   Edital e minutas (ata e contrato), Itens 14.5 e 14.6, [página 30]</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item 14 prevê intenção de recurso após a divulgação do vencedor, razões em 3 dias úteis, contrarrazões em 3 dias úteis a partir do fim do prazo do recorrente, reconsideração em 3 dias úteis e efeito suspensivo, o que atende ao núcleo do art. 165. Pontos de atenção: (i) o item 14.6 fixa que a autoridade superior decidirá 'no mesmo prazo' (3 dias úteis), diverso do prazo máximo legal de decisão e pouco exequível; (ii) o item 14.5 prevê análise do recurso pela 'síntese' das razões orais caso não haja razões escritas, regra sem respaldo expresso na lei e que pode gerar disputa.</w:t>
      </w:r>
    </w:p>
    <w:p>
      <w:pPr>
        <w:spacing w:before="0" w:after="120" w:line="360" w:lineRule="auto"/>
        <w:ind w:firstLine="709"/>
        <w:jc w:val="both"/>
      </w:pPr>
      <w:r>
        <w:rPr>
          <w:b w:val="0"/>
          <w:i w:val="0"/>
        </w:rPr>
        <w:t>O documento dispõe: “instruído, à autoridade superior, que proferirá a decisão no mesmo prazo, a contar do” (Itens 14.5 e 14.6, [página 30]).</w:t>
      </w:r>
    </w:p>
    <w:p>
      <w:pPr>
        <w:spacing w:before="0" w:after="80" w:line="360" w:lineRule="auto"/>
        <w:ind w:firstLine="709"/>
        <w:jc w:val="both"/>
      </w:pPr>
      <w:r>
        <w:rPr>
          <w:b/>
          <w:i w:val="0"/>
          <w:color w:val="12324A"/>
        </w:rPr>
        <w:t xml:space="preserve">Dispositivo aplicável. </w:t>
      </w:r>
      <w:r>
        <w:rPr>
          <w:b w:val="0"/>
          <w:i w:val="0"/>
        </w:rPr>
        <w:t>A matéria é disciplinada pelo art. 165, inciso I e pelo art. 165, § 1º, da Lei 14.133/2021, que assim dispõem:</w:t>
      </w:r>
    </w:p>
    <w:p>
      <w:pPr>
        <w:spacing w:before="80" w:after="200" w:line="240" w:lineRule="auto"/>
        <w:ind w:firstLine="0" w:left="2268"/>
        <w:jc w:val="both"/>
      </w:pPr>
      <w:r>
        <w:rPr>
          <w:b w:val="0"/>
          <w:i w:val="0"/>
          <w:sz w:val="20"/>
        </w:rPr>
        <w:t>Dos atos da Administração decorrentes da aplicação desta Lei cabem: […] recurso, no prazo de 3 (três) dias úteis, contado da data de intimação ou de lavratura da ata, em face de: […]</w:t>
      </w:r>
      <w:r>
        <w:rPr>
          <w:b w:val="0"/>
          <w:i w:val="0"/>
          <w:sz w:val="20"/>
        </w:rPr>
        <w:t xml:space="preserve"> (BRASIL, 2021, art. 165, inciso I)</w:t>
      </w:r>
    </w:p>
    <w:p>
      <w:pPr>
        <w:spacing w:before="80" w:after="200" w:line="240" w:lineRule="auto"/>
        <w:ind w:firstLine="0" w:left="2268"/>
        <w:jc w:val="both"/>
      </w:pPr>
      <w:r>
        <w:rPr>
          <w:b w:val="0"/>
          <w:i w:val="0"/>
          <w:sz w:val="20"/>
        </w:rPr>
        <w:t>Quanto ao recurso apresentado em virtude do disposto nas alíneas “b” e “c” do inciso I do caput deste artigo, serão observadas as seguintes disposições: […]</w:t>
      </w:r>
      <w:r>
        <w:rPr>
          <w:b w:val="0"/>
          <w:i w:val="0"/>
          <w:sz w:val="20"/>
        </w:rPr>
        <w:t xml:space="preserve"> (BRASIL, 2021, art. 165, § 1º)</w:t>
      </w:r>
    </w:p>
    <w:p>
      <w:pPr>
        <w:spacing w:before="0" w:after="120" w:line="360" w:lineRule="auto"/>
        <w:ind w:firstLine="709"/>
        <w:jc w:val="both"/>
      </w:pPr>
      <w:r>
        <w:rPr>
          <w:b/>
          <w:i w:val="0"/>
          <w:color w:val="12324A"/>
        </w:rPr>
        <w:t xml:space="preserve">Análise. </w:t>
      </w:r>
      <w:r>
        <w:rPr>
          <w:b w:val="0"/>
          <w:i w:val="0"/>
        </w:rPr>
        <w:t>O art. 165 fixa o prazo de 3 dias úteis para o recurso e disciplina a manifestação de intenção e as razões e contrarrazões. O edital deve reproduzir o rito legal sem criar consequências próprias.</w:t>
      </w:r>
    </w:p>
    <w:p>
      <w:pPr>
        <w:spacing w:before="0" w:after="120" w:line="360" w:lineRule="auto"/>
        <w:ind w:firstLine="709"/>
        <w:jc w:val="both"/>
      </w:pPr>
      <w:r>
        <w:rPr>
          <w:b/>
          <w:i w:val="0"/>
          <w:color w:val="3D8FA6"/>
        </w:rPr>
        <w:t xml:space="preserve">Risco de manutenção. </w:t>
      </w:r>
      <w:r>
        <w:rPr>
          <w:b w:val="0"/>
          <w:i w:val="0"/>
        </w:rPr>
        <w:t>Questionamento do rito recursal e nulidade de decisão tomada em prazo ou forma diversos da lei.</w:t>
      </w:r>
    </w:p>
    <w:p>
      <w:pPr>
        <w:spacing w:before="0" w:after="120" w:line="360" w:lineRule="auto"/>
        <w:ind w:firstLine="709"/>
        <w:jc w:val="both"/>
      </w:pPr>
      <w:r>
        <w:rPr>
          <w:b/>
          <w:i w:val="0"/>
          <w:color w:val="12324A"/>
        </w:rPr>
        <w:t xml:space="preserve">Providência recomendada. </w:t>
      </w:r>
      <w:r>
        <w:rPr>
          <w:b w:val="0"/>
          <w:i w:val="0"/>
        </w:rPr>
        <w:t>Ajustar o item 14.6 para o prazo de decisão da autoridade superior previsto no art. 165 e reavaliar o item 14.5, preferindo a consequência de preclusão da fase de razões ou a análise com base na manifestação registrada, desde que motivada.</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3.10 Garantia das mesas ginecológicas sem prazo definido</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3D8FA6" w:space="0"/>
              <w:bottom w:val="nil"/>
              <w:right w:val="nil"/>
            </w:tcBorders>
            <w:shd w:val="clear" w:color="auto" w:fill="E3F1F5"/>
            <w:tcMar>
              <w:top w:w="85" w:type="dxa"/>
              <w:left w:w="85" w:type="dxa"/>
              <w:bottom w:w="85" w:type="dxa"/>
              <w:right w:w="85" w:type="dxa"/>
            </w:tcMar>
          </w:tcPr>
          <w:p>
            <w:pPr>
              <w:spacing w:before="0" w:after="0" w:line="240" w:lineRule="auto"/>
              <w:ind w:firstLine="0"/>
              <w:jc w:val="left"/>
            </w:pPr>
            <w:r>
              <w:rPr>
                <w:b/>
                <w:i w:val="0"/>
                <w:color w:val="3D8FA6"/>
                <w:sz w:val="16"/>
              </w:rPr>
              <w:t>GRAVIDADE BAIXA</w:t>
            </w:r>
            <w:r>
              <w:rPr>
                <w:b w:val="0"/>
                <w:i w:val="0"/>
                <w:color w:val="1E2A32"/>
                <w:sz w:val="16"/>
              </w:rPr>
              <w:t xml:space="preserve">   ·   Apontamento adicional   ·   Edital e minutas (ata e contrato), Item 7.4.1, [página 5]; TR item 5.17, [página 57]</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Para os aparelhos de ultrassom há garantia de 24 meses, enquanto para as mesas exige-se apenas 'garantia de fábrica', sem prazo mínimo. O TR ainda informa que a manutenção posterior será contratada pela Administração.</w:t>
      </w:r>
    </w:p>
    <w:p>
      <w:pPr>
        <w:spacing w:before="0" w:after="120" w:line="360" w:lineRule="auto"/>
        <w:ind w:firstLine="709"/>
        <w:jc w:val="both"/>
      </w:pPr>
      <w:r>
        <w:rPr>
          <w:b w:val="0"/>
          <w:i w:val="0"/>
        </w:rPr>
        <w:t>O documento dispõe: “de 24 (vinte e quatro) meses, e as mesas ginecológicas deverão possuir garantia de” (Item 7.4.1, [página 5]; TR item 5.17, [página 57]).</w:t>
      </w:r>
    </w:p>
    <w:p>
      <w:pPr>
        <w:spacing w:before="0" w:after="80" w:line="360" w:lineRule="auto"/>
        <w:ind w:firstLine="709"/>
        <w:jc w:val="both"/>
      </w:pPr>
      <w:r>
        <w:rPr>
          <w:b/>
          <w:i w:val="0"/>
          <w:color w:val="12324A"/>
        </w:rPr>
        <w:t xml:space="preserve">Dispositivo aplicável. </w:t>
      </w:r>
      <w:r>
        <w:rPr>
          <w:b w:val="0"/>
          <w:i w:val="0"/>
        </w:rPr>
        <w:t>Não há dispositivo legal específico; o apontamento decorre da coerência e da boa instrução do processo.</w:t>
      </w:r>
    </w:p>
    <w:p>
      <w:pPr>
        <w:spacing w:before="0" w:after="120" w:line="360" w:lineRule="auto"/>
        <w:ind w:firstLine="709"/>
        <w:jc w:val="both"/>
      </w:pPr>
      <w:r>
        <w:rPr>
          <w:b/>
          <w:i w:val="0"/>
          <w:color w:val="12324A"/>
        </w:rPr>
        <w:t xml:space="preserve">Análise. </w:t>
      </w:r>
      <w:r>
        <w:rPr>
          <w:b w:val="0"/>
          <w:i w:val="0"/>
        </w:rPr>
        <w:t>A ausência de prazo mínimo impede a comparação objetiva das propostas e dificulta cobrar a garantia, já que o prazo variará conforme o fabricante.</w:t>
      </w:r>
    </w:p>
    <w:p>
      <w:pPr>
        <w:spacing w:before="0" w:after="120" w:line="360" w:lineRule="auto"/>
        <w:ind w:firstLine="709"/>
        <w:jc w:val="both"/>
      </w:pPr>
      <w:r>
        <w:rPr>
          <w:b/>
          <w:i w:val="0"/>
          <w:color w:val="3D8FA6"/>
        </w:rPr>
        <w:t xml:space="preserve">Risco de manutenção. </w:t>
      </w:r>
      <w:r>
        <w:rPr>
          <w:b w:val="0"/>
          <w:i w:val="0"/>
        </w:rPr>
        <w:t>Propostas com garantias desiguais, disputa sobre o prazo na execução e custo de manutenção para o Município.</w:t>
      </w:r>
    </w:p>
    <w:p>
      <w:pPr>
        <w:spacing w:before="0" w:after="120" w:line="360" w:lineRule="auto"/>
        <w:ind w:firstLine="709"/>
        <w:jc w:val="both"/>
      </w:pPr>
      <w:r>
        <w:rPr>
          <w:b/>
          <w:i w:val="0"/>
          <w:color w:val="12324A"/>
        </w:rPr>
        <w:t xml:space="preserve">Providência recomendada. </w:t>
      </w:r>
      <w:r>
        <w:rPr>
          <w:b w:val="0"/>
          <w:i w:val="0"/>
        </w:rPr>
        <w:t>Fixar prazo mínimo de garantia para as mesas, com cobertura e suporte técnico, e alinhar a cláusula da minuta (Cláusula Décima, Parágrafo Terceiro).</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3.11 Vedação ampla de participação de licitantes com sócios ou técnicos servidores do Município</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3D8FA6" w:space="0"/>
              <w:bottom w:val="nil"/>
              <w:right w:val="nil"/>
            </w:tcBorders>
            <w:shd w:val="clear" w:color="auto" w:fill="E3F1F5"/>
            <w:tcMar>
              <w:top w:w="85" w:type="dxa"/>
              <w:left w:w="85" w:type="dxa"/>
              <w:bottom w:w="85" w:type="dxa"/>
              <w:right w:w="85" w:type="dxa"/>
            </w:tcMar>
          </w:tcPr>
          <w:p>
            <w:pPr>
              <w:spacing w:before="0" w:after="0" w:line="240" w:lineRule="auto"/>
              <w:ind w:firstLine="0"/>
              <w:jc w:val="left"/>
            </w:pPr>
            <w:r>
              <w:rPr>
                <w:b/>
                <w:i w:val="0"/>
                <w:color w:val="3D8FA6"/>
                <w:sz w:val="16"/>
              </w:rPr>
              <w:t>GRAVIDADE BAIXA</w:t>
            </w:r>
            <w:r>
              <w:rPr>
                <w:b w:val="0"/>
                <w:i w:val="0"/>
                <w:color w:val="1E2A32"/>
                <w:sz w:val="16"/>
              </w:rPr>
              <w:t xml:space="preserve">   ·   Apontamento adicional   ·   Edital e minutas (ata e contrato), Item 8.11, [página 8]</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item 8.11 veda licitantes com dirigentes, gerentes, sócios ou técnicos servidores de toda a Administração municipal (nos últimos 180 dias) e com profissionais que ocuparam cargos de 1º e 2º escalões (12 meses), sem relação com o órgão contratante ou com a fase de planejamento e julgamento deste certame.</w:t>
      </w:r>
    </w:p>
    <w:p>
      <w:pPr>
        <w:spacing w:before="0" w:after="120" w:line="360" w:lineRule="auto"/>
        <w:ind w:firstLine="709"/>
        <w:jc w:val="both"/>
      </w:pPr>
      <w:r>
        <w:rPr>
          <w:b w:val="0"/>
          <w:i w:val="0"/>
        </w:rPr>
        <w:t>O documento dispõe: “8.11 – Não será permitida a participação de licitantes cujos dirigentes, gerentes, sócios ou” (Item 8.11, [página 8]).</w:t>
      </w:r>
    </w:p>
    <w:p>
      <w:pPr>
        <w:spacing w:before="0" w:after="80" w:line="360" w:lineRule="auto"/>
        <w:ind w:firstLine="709"/>
        <w:jc w:val="both"/>
      </w:pPr>
      <w:r>
        <w:rPr>
          <w:b/>
          <w:i w:val="0"/>
          <w:color w:val="12324A"/>
        </w:rPr>
        <w:t xml:space="preserve">Dispositivo aplicável. </w:t>
      </w:r>
      <w:r>
        <w:rPr>
          <w:b w:val="0"/>
          <w:i w:val="0"/>
        </w:rPr>
        <w:t>A matéria é disciplinada pelo art. 14, inciso IV e pelo art. 9, da Lei 14.133/2021, que assim dispõem:</w:t>
      </w:r>
    </w:p>
    <w:p>
      <w:pPr>
        <w:spacing w:before="80" w:after="200" w:line="240" w:lineRule="auto"/>
        <w:ind w:firstLine="0" w:left="2268"/>
        <w:jc w:val="both"/>
      </w:pPr>
      <w:r>
        <w:rPr>
          <w:b w:val="0"/>
          <w:i w:val="0"/>
          <w:sz w:val="20"/>
        </w:rPr>
        <w:t>Não poderão disputar licitação ou participar da execução de contrato, direta ou indiretamente: […] aquele que mantenha vínculo de natureza técnica, comercial, econômica, financeira, trabalhista ou civil com dirigente do órgão ou entidade contratante ou com agente público que desempenhe função na licitação ou atue na fiscalização ou na gestão do contrato, ou que deles seja cônjuge, companheiro ou parente em linha reta, colateral ou por afinidade, até o terceiro grau, devendo essa proibição constar expressamente do edital de licitação;</w:t>
      </w:r>
      <w:r>
        <w:rPr>
          <w:b w:val="0"/>
          <w:i w:val="0"/>
          <w:sz w:val="20"/>
        </w:rPr>
        <w:t xml:space="preserve"> (BRASIL, 2021, art. 14, inciso IV)</w:t>
      </w:r>
    </w:p>
    <w:p>
      <w:pPr>
        <w:spacing w:before="80" w:after="200" w:line="240" w:lineRule="auto"/>
        <w:ind w:firstLine="0" w:left="2268"/>
        <w:jc w:val="both"/>
      </w:pPr>
      <w:r>
        <w:rPr>
          <w:b w:val="0"/>
          <w:i w:val="0"/>
          <w:sz w:val="20"/>
        </w:rPr>
        <w:t>É vedado ao agente público designado para atuar na área de licitações e contratos, ressalvados os casos previstos em lei: […]</w:t>
      </w:r>
      <w:r>
        <w:rPr>
          <w:b w:val="0"/>
          <w:i w:val="0"/>
          <w:sz w:val="20"/>
        </w:rPr>
        <w:t xml:space="preserve"> (BRASIL, 2021, art. 9)</w:t>
      </w:r>
    </w:p>
    <w:p>
      <w:pPr>
        <w:spacing w:before="0" w:after="120" w:line="360" w:lineRule="auto"/>
        <w:ind w:firstLine="709"/>
        <w:jc w:val="both"/>
      </w:pPr>
      <w:r>
        <w:rPr>
          <w:b/>
          <w:i w:val="0"/>
          <w:color w:val="12324A"/>
        </w:rPr>
        <w:t xml:space="preserve">Análise. </w:t>
      </w:r>
      <w:r>
        <w:rPr>
          <w:b w:val="0"/>
          <w:i w:val="0"/>
        </w:rPr>
        <w:t>A lei veda a participação de agentes e empregados do órgão contratante ou responsável pela licitação e regula conflito de interesses. Vedações mais amplas devem decorrer de lei ou de justificativa concreta, sob pena de restrição indevida à competição.</w:t>
      </w:r>
    </w:p>
    <w:p>
      <w:pPr>
        <w:spacing w:before="0" w:after="120" w:line="360" w:lineRule="auto"/>
        <w:ind w:firstLine="709"/>
        <w:jc w:val="both"/>
      </w:pPr>
      <w:r>
        <w:rPr>
          <w:b/>
          <w:i w:val="0"/>
          <w:color w:val="3D8FA6"/>
        </w:rPr>
        <w:t xml:space="preserve">Risco de manutenção. </w:t>
      </w:r>
      <w:r>
        <w:rPr>
          <w:b w:val="0"/>
          <w:i w:val="0"/>
        </w:rPr>
        <w:t>Impugnação e restrição à competitividade, especialmente em município de porte médio.</w:t>
      </w:r>
    </w:p>
    <w:p>
      <w:pPr>
        <w:spacing w:before="0" w:after="120" w:line="360" w:lineRule="auto"/>
        <w:ind w:firstLine="709"/>
        <w:jc w:val="both"/>
      </w:pPr>
      <w:r>
        <w:rPr>
          <w:b/>
          <w:i w:val="0"/>
          <w:color w:val="12324A"/>
        </w:rPr>
        <w:t xml:space="preserve">Providência recomendada. </w:t>
      </w:r>
      <w:r>
        <w:rPr>
          <w:b w:val="0"/>
          <w:i w:val="0"/>
        </w:rPr>
        <w:t>Delimitar a vedação ao órgão contratante e aos agentes que atuam na licitação e na fiscalização, nos termos do art. 14, ou fundamentá-la expressamente no processo.</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3.12 Exigência de via física original ou autenticada após a sessão</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3D8FA6" w:space="0"/>
              <w:bottom w:val="nil"/>
              <w:right w:val="nil"/>
            </w:tcBorders>
            <w:shd w:val="clear" w:color="auto" w:fill="E3F1F5"/>
            <w:tcMar>
              <w:top w:w="85" w:type="dxa"/>
              <w:left w:w="85" w:type="dxa"/>
              <w:bottom w:w="85" w:type="dxa"/>
              <w:right w:w="85" w:type="dxa"/>
            </w:tcMar>
          </w:tcPr>
          <w:p>
            <w:pPr>
              <w:spacing w:before="0" w:after="0" w:line="240" w:lineRule="auto"/>
              <w:ind w:firstLine="0"/>
              <w:jc w:val="left"/>
            </w:pPr>
            <w:r>
              <w:rPr>
                <w:b/>
                <w:i w:val="0"/>
                <w:color w:val="3D8FA6"/>
                <w:sz w:val="16"/>
              </w:rPr>
              <w:t>GRAVIDADE BAIXA</w:t>
            </w:r>
            <w:r>
              <w:rPr>
                <w:b w:val="0"/>
                <w:i w:val="0"/>
                <w:color w:val="1E2A32"/>
                <w:sz w:val="16"/>
              </w:rPr>
              <w:t xml:space="preserve">   ·   Apontamento adicional   ·   Edital e minutas (ata e contrato), Item 12.14, [página 21]</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item 12.14 exige que o vencedor entregue a via física original ou autenticada da documentação apresentada em cópia simples, em 2 dias úteis, apesar de o processo ser totalmente eletrônico.</w:t>
      </w:r>
    </w:p>
    <w:p>
      <w:pPr>
        <w:spacing w:before="0" w:after="120" w:line="360" w:lineRule="auto"/>
        <w:ind w:firstLine="709"/>
        <w:jc w:val="both"/>
      </w:pPr>
      <w:r>
        <w:rPr>
          <w:b w:val="0"/>
          <w:i w:val="0"/>
        </w:rPr>
        <w:t>O documento dispõe: “12.14 – Encerrada a sessão pública, a licitante declarada vencedora deverá apresentar, ao” (Item 12.14, [página 21]).</w:t>
      </w:r>
    </w:p>
    <w:p>
      <w:pPr>
        <w:spacing w:before="0" w:after="80" w:line="360" w:lineRule="auto"/>
        <w:ind w:firstLine="709"/>
        <w:jc w:val="both"/>
      </w:pPr>
      <w:r>
        <w:rPr>
          <w:b/>
          <w:i w:val="0"/>
          <w:color w:val="12324A"/>
        </w:rPr>
        <w:t xml:space="preserve">Dispositivo aplicável. </w:t>
      </w:r>
      <w:r>
        <w:rPr>
          <w:b w:val="0"/>
          <w:i w:val="0"/>
        </w:rPr>
        <w:t>A matéria é disciplinada pelo art. 70, inciso I, da Lei 14.133/2021, que assim dispõe:</w:t>
      </w:r>
    </w:p>
    <w:p>
      <w:pPr>
        <w:spacing w:before="80" w:after="200" w:line="240" w:lineRule="auto"/>
        <w:ind w:firstLine="0" w:left="2268"/>
        <w:jc w:val="both"/>
      </w:pPr>
      <w:r>
        <w:rPr>
          <w:b w:val="0"/>
          <w:i w:val="0"/>
          <w:sz w:val="20"/>
        </w:rPr>
        <w:t>A documentação referida neste Capítulo poderá ser: […] apresentada em original, por cópia ou por qualquer outro meio expressamente admitido pela Administração;</w:t>
      </w:r>
      <w:r>
        <w:rPr>
          <w:b w:val="0"/>
          <w:i w:val="0"/>
          <w:sz w:val="20"/>
        </w:rPr>
        <w:t xml:space="preserve"> (BRASIL, 2021, art. 70, inciso I)</w:t>
      </w:r>
    </w:p>
    <w:p>
      <w:pPr>
        <w:spacing w:before="0" w:after="120" w:line="360" w:lineRule="auto"/>
        <w:ind w:firstLine="709"/>
        <w:jc w:val="both"/>
      </w:pPr>
      <w:r>
        <w:rPr>
          <w:b/>
          <w:i w:val="0"/>
          <w:color w:val="12324A"/>
        </w:rPr>
        <w:t xml:space="preserve">Análise. </w:t>
      </w:r>
      <w:r>
        <w:rPr>
          <w:b w:val="0"/>
          <w:i w:val="0"/>
        </w:rPr>
        <w:t>A lei admite a apresentação de documentos em original, por cópia ou por qualquer processo eletrônico de autenticação. Exigir papel após a sessão cria formalismo e custo sem necessidade quando a autenticidade pode ser verificada eletronicamente.</w:t>
      </w:r>
    </w:p>
    <w:p>
      <w:pPr>
        <w:spacing w:before="0" w:after="120" w:line="360" w:lineRule="auto"/>
        <w:ind w:firstLine="709"/>
        <w:jc w:val="both"/>
      </w:pPr>
      <w:r>
        <w:rPr>
          <w:b/>
          <w:i w:val="0"/>
          <w:color w:val="3D8FA6"/>
        </w:rPr>
        <w:t xml:space="preserve">Risco de manutenção. </w:t>
      </w:r>
      <w:r>
        <w:rPr>
          <w:b w:val="0"/>
          <w:i w:val="0"/>
        </w:rPr>
        <w:t>Inabilitação por formalismo e impugnação por exigência excessiva.</w:t>
      </w:r>
    </w:p>
    <w:p>
      <w:pPr>
        <w:spacing w:before="0" w:after="120" w:line="360" w:lineRule="auto"/>
        <w:ind w:firstLine="709"/>
        <w:jc w:val="both"/>
      </w:pPr>
      <w:r>
        <w:rPr>
          <w:b/>
          <w:i w:val="0"/>
          <w:color w:val="12324A"/>
        </w:rPr>
        <w:t xml:space="preserve">Providência recomendada. </w:t>
      </w:r>
      <w:r>
        <w:rPr>
          <w:b w:val="0"/>
          <w:i w:val="0"/>
        </w:rPr>
        <w:t>Prever a verificação eletrônica da autenticidade e exigir o original ou a cópia autenticada apenas quando houver dúvida fundamentada.</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3.13 Tabela de infrações da multa copiada de modelo de serviços</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3D8FA6" w:space="0"/>
              <w:bottom w:val="nil"/>
              <w:right w:val="nil"/>
            </w:tcBorders>
            <w:shd w:val="clear" w:color="auto" w:fill="E3F1F5"/>
            <w:tcMar>
              <w:top w:w="85" w:type="dxa"/>
              <w:left w:w="85" w:type="dxa"/>
              <w:bottom w:w="85" w:type="dxa"/>
              <w:right w:w="85" w:type="dxa"/>
            </w:tcMar>
          </w:tcPr>
          <w:p>
            <w:pPr>
              <w:spacing w:before="0" w:after="0" w:line="240" w:lineRule="auto"/>
              <w:ind w:firstLine="0"/>
              <w:jc w:val="left"/>
            </w:pPr>
            <w:r>
              <w:rPr>
                <w:b/>
                <w:i w:val="0"/>
                <w:color w:val="3D8FA6"/>
                <w:sz w:val="16"/>
              </w:rPr>
              <w:t>GRAVIDADE BAIXA</w:t>
            </w:r>
            <w:r>
              <w:rPr>
                <w:b w:val="0"/>
                <w:i w:val="0"/>
                <w:color w:val="1E2A32"/>
                <w:sz w:val="16"/>
              </w:rPr>
              <w:t xml:space="preserve">   ·   Apontamento adicional   ·   Edital e minutas (ata e contrato), Item 20.3.4 e tabela, [página 36] e [página 37]</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A matriz de multas inclui condutas típicas de serviços continuados com mão de obra (por exemplo, retirar equipamentos das dependências da Secretaria, comportamento de colaboradores, atendimento de acidentados, planejamento do trabalho), pouco aplicáveis a um fornecimento de bens com entrega única. Falta infração específica para a instalação, o prazo de garantia e a substituição de bens.</w:t>
      </w:r>
    </w:p>
    <w:p>
      <w:pPr>
        <w:spacing w:before="0" w:after="120" w:line="360" w:lineRule="auto"/>
        <w:ind w:firstLine="709"/>
        <w:jc w:val="both"/>
      </w:pPr>
      <w:r>
        <w:rPr>
          <w:b w:val="0"/>
          <w:i w:val="0"/>
        </w:rPr>
        <w:t>O documento dispõe: “Retirar das dependências da Secretaria quaisquer” (Item 20.3.4 e tabela, [página 36] e [página 37]).</w:t>
      </w:r>
    </w:p>
    <w:p>
      <w:pPr>
        <w:spacing w:before="0" w:after="80" w:line="360" w:lineRule="auto"/>
        <w:ind w:firstLine="709"/>
        <w:jc w:val="both"/>
      </w:pPr>
      <w:r>
        <w:rPr>
          <w:b/>
          <w:i w:val="0"/>
          <w:color w:val="12324A"/>
        </w:rPr>
        <w:t xml:space="preserve">Dispositivo aplicável. </w:t>
      </w:r>
      <w:r>
        <w:rPr>
          <w:b w:val="0"/>
          <w:i w:val="0"/>
        </w:rPr>
        <w:t>A matéria é disciplinada pelo art. 156, da Lei 14.133/2021, que assim dispõe:</w:t>
      </w:r>
    </w:p>
    <w:p>
      <w:pPr>
        <w:spacing w:before="80" w:after="200" w:line="240" w:lineRule="auto"/>
        <w:ind w:firstLine="0" w:left="2268"/>
        <w:jc w:val="both"/>
      </w:pPr>
      <w:r>
        <w:rPr>
          <w:b w:val="0"/>
          <w:i w:val="0"/>
          <w:sz w:val="20"/>
        </w:rPr>
        <w:t>Serão aplicadas ao responsável pelas infrações administrativas previstas nesta Lei as seguintes sanções: […]</w:t>
      </w:r>
      <w:r>
        <w:rPr>
          <w:b w:val="0"/>
          <w:i w:val="0"/>
          <w:sz w:val="20"/>
        </w:rPr>
        <w:t xml:space="preserve"> (BRASIL, 2021, art. 156)</w:t>
      </w:r>
    </w:p>
    <w:p>
      <w:pPr>
        <w:spacing w:before="0" w:after="120" w:line="360" w:lineRule="auto"/>
        <w:ind w:firstLine="709"/>
        <w:jc w:val="both"/>
      </w:pPr>
      <w:r>
        <w:rPr>
          <w:b/>
          <w:i w:val="0"/>
          <w:color w:val="12324A"/>
        </w:rPr>
        <w:t xml:space="preserve">Análise. </w:t>
      </w:r>
      <w:r>
        <w:rPr>
          <w:b w:val="0"/>
          <w:i w:val="0"/>
        </w:rPr>
        <w:t>A sanção deve guardar proporção com a infração e ser calculada na forma do edital ou do contrato. Infrações incompatíveis com o objeto reduzem a segurança de aplicação das multas.</w:t>
      </w:r>
    </w:p>
    <w:p>
      <w:pPr>
        <w:spacing w:before="0" w:after="120" w:line="360" w:lineRule="auto"/>
        <w:ind w:firstLine="709"/>
        <w:jc w:val="both"/>
      </w:pPr>
      <w:r>
        <w:rPr>
          <w:b/>
          <w:i w:val="0"/>
          <w:color w:val="3D8FA6"/>
        </w:rPr>
        <w:t xml:space="preserve">Risco de manutenção. </w:t>
      </w:r>
      <w:r>
        <w:rPr>
          <w:b w:val="0"/>
          <w:i w:val="0"/>
        </w:rPr>
        <w:t>Multas inaplicáveis ou contestáveis na execução e dificuldade de sancionar descumprimentos reais (atraso na instalação, descumprimento da garantia).</w:t>
      </w:r>
    </w:p>
    <w:p>
      <w:pPr>
        <w:spacing w:before="0" w:after="120" w:line="360" w:lineRule="auto"/>
        <w:ind w:firstLine="709"/>
        <w:jc w:val="both"/>
      </w:pPr>
      <w:r>
        <w:rPr>
          <w:b/>
          <w:i w:val="0"/>
          <w:color w:val="12324A"/>
        </w:rPr>
        <w:t xml:space="preserve">Providência recomendada. </w:t>
      </w:r>
      <w:r>
        <w:rPr>
          <w:b w:val="0"/>
          <w:i w:val="0"/>
        </w:rPr>
        <w:t>Adaptar a tabela ao fornecimento de bens, incluindo as infrações de atraso na entrega e na instalação, não substituição em prazo, descumprimento de garantia e descumprimento de documentos fiscais.</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3.14 Edital sem data e assinatura; orçamento defasado em relação à divulgação</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3D8FA6" w:space="0"/>
              <w:bottom w:val="nil"/>
              <w:right w:val="nil"/>
            </w:tcBorders>
            <w:shd w:val="clear" w:color="auto" w:fill="E3F1F5"/>
            <w:tcMar>
              <w:top w:w="85" w:type="dxa"/>
              <w:left w:w="85" w:type="dxa"/>
              <w:bottom w:w="85" w:type="dxa"/>
              <w:right w:w="85" w:type="dxa"/>
            </w:tcMar>
          </w:tcPr>
          <w:p>
            <w:pPr>
              <w:spacing w:before="0" w:after="0" w:line="240" w:lineRule="auto"/>
              <w:ind w:firstLine="0"/>
              <w:jc w:val="left"/>
            </w:pPr>
            <w:r>
              <w:rPr>
                <w:b/>
                <w:i w:val="0"/>
                <w:color w:val="3D8FA6"/>
                <w:sz w:val="16"/>
              </w:rPr>
              <w:t>GRAVIDADE BAIXA</w:t>
            </w:r>
            <w:r>
              <w:rPr>
                <w:b w:val="0"/>
                <w:i w:val="0"/>
                <w:color w:val="1E2A32"/>
                <w:sz w:val="16"/>
              </w:rPr>
              <w:t xml:space="preserve">   ·   Apontamento adicional   ·   Edital e minutas (ata e contrato), Item 22.6, [página 41]; fecho do edital, [página 42]; Anexo I, [página 43]</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fecho do edital está em branco quanto a data, e o orçamento estimado é de 19/02/2026, enquanto o edital foi divulgado em 29/09/2026, cerca de sete meses depois. A memória de cálculo e o TR são datados de 14/09/2026, sem indicação de atualização dos valores.</w:t>
      </w:r>
    </w:p>
    <w:p>
      <w:pPr>
        <w:spacing w:before="0" w:after="120" w:line="360" w:lineRule="auto"/>
        <w:ind w:firstLine="709"/>
        <w:jc w:val="both"/>
      </w:pPr>
      <w:r>
        <w:rPr>
          <w:b w:val="0"/>
          <w:i w:val="0"/>
        </w:rPr>
        <w:t>O documento dispõe: “22.6 – Este Edital contém 116 (cento e dezesseis) folhas rubricadas e numericamente” (Item 22.6, [página 41]; fecho do edital, [página 42]; Anexo I, [página 43]).</w:t>
      </w:r>
    </w:p>
    <w:p>
      <w:pPr>
        <w:spacing w:before="0" w:after="80" w:line="360" w:lineRule="auto"/>
        <w:ind w:firstLine="709"/>
        <w:jc w:val="both"/>
      </w:pPr>
      <w:r>
        <w:rPr>
          <w:b/>
          <w:i w:val="0"/>
          <w:color w:val="12324A"/>
        </w:rPr>
        <w:t xml:space="preserve">Dispositivo aplicável. </w:t>
      </w:r>
      <w:r>
        <w:rPr>
          <w:b w:val="0"/>
          <w:i w:val="0"/>
        </w:rPr>
        <w:t>Não há dispositivo legal específico; o apontamento decorre da coerência e da boa instrução do processo.</w:t>
      </w:r>
    </w:p>
    <w:p>
      <w:pPr>
        <w:spacing w:before="0" w:after="120" w:line="360" w:lineRule="auto"/>
        <w:ind w:firstLine="709"/>
        <w:jc w:val="both"/>
      </w:pPr>
      <w:r>
        <w:rPr>
          <w:b/>
          <w:i w:val="0"/>
          <w:color w:val="12324A"/>
        </w:rPr>
        <w:t xml:space="preserve">Análise. </w:t>
      </w:r>
      <w:r>
        <w:rPr>
          <w:b w:val="0"/>
          <w:i w:val="0"/>
        </w:rPr>
        <w:t>A data e a autenticação do edital documentam o ato de convocação, e um orçamento antigo pode não refletir o mercado, afetando o valor máximo aceitável por item e a data-base do reajuste.</w:t>
      </w:r>
    </w:p>
    <w:p>
      <w:pPr>
        <w:spacing w:before="0" w:after="120" w:line="360" w:lineRule="auto"/>
        <w:ind w:firstLine="709"/>
        <w:jc w:val="both"/>
      </w:pPr>
      <w:r>
        <w:rPr>
          <w:b/>
          <w:i w:val="0"/>
          <w:color w:val="3D8FA6"/>
        </w:rPr>
        <w:t xml:space="preserve">Risco de manutenção. </w:t>
      </w:r>
      <w:r>
        <w:rPr>
          <w:b w:val="0"/>
          <w:i w:val="0"/>
        </w:rPr>
        <w:t>Questionamento sobre a validade do edital publicado e propostas desertas ou inexequíveis por preço de referência defasado.</w:t>
      </w:r>
    </w:p>
    <w:p>
      <w:pPr>
        <w:spacing w:before="0" w:after="120" w:line="360" w:lineRule="auto"/>
        <w:ind w:firstLine="709"/>
        <w:jc w:val="both"/>
      </w:pPr>
      <w:r>
        <w:rPr>
          <w:b/>
          <w:i w:val="0"/>
          <w:color w:val="12324A"/>
        </w:rPr>
        <w:t xml:space="preserve">Providência recomendada. </w:t>
      </w:r>
      <w:r>
        <w:rPr>
          <w:b w:val="0"/>
          <w:i w:val="0"/>
        </w:rPr>
        <w:t>Juntar ao processo a via assinada e datada do edital, e confirmar que a pesquisa de preços de fevereiro/2026 permanece válida ou atualizá-la, registrando a decisão no processo.</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1"/>
        <w:keepNext/>
        <w:spacing w:before="360" w:after="160" w:line="360" w:lineRule="auto"/>
        <w:ind w:firstLine="0"/>
        <w:jc w:val="left"/>
      </w:pPr>
      <w:r>
        <w:rPr>
          <w:rFonts w:ascii="Arial" w:hAnsi="Arial"/>
          <w:b/>
          <w:i w:val="0"/>
          <w:color w:val="12324A"/>
          <w:sz w:val="24"/>
        </w:rPr>
        <w:t>4 RECOMENDAÇÕES DE MELHORIA</w:t>
      </w:r>
    </w:p>
    <w:p>
      <w:pPr>
        <w:spacing w:before="0" w:after="120" w:line="360" w:lineRule="auto"/>
        <w:ind w:firstLine="709"/>
        <w:jc w:val="both"/>
      </w:pPr>
      <w:r>
        <w:rPr>
          <w:b w:val="0"/>
          <w:i w:val="0"/>
        </w:rPr>
        <w:t>Os pontos a seguir não configuram irregularidade, mas podem ser aperfeiçoados para dar mais segurança ao processo:</w:t>
      </w:r>
    </w:p>
    <w:p>
      <w:pPr>
        <w:spacing w:before="0" w:after="120" w:line="360" w:lineRule="auto"/>
        <w:ind w:left="425" w:hanging="425"/>
        <w:jc w:val="both"/>
      </w:pPr>
      <w:r>
        <w:rPr>
          <w:b/>
          <w:i w:val="0"/>
          <w:color w:val="1F7A8C"/>
        </w:rPr>
        <w:t xml:space="preserve">a) </w:t>
      </w:r>
      <w:r>
        <w:rPr>
          <w:b/>
          <w:i w:val="0"/>
        </w:rPr>
        <w:t xml:space="preserve">Conteúdo mínimo do edital: </w:t>
      </w:r>
      <w:r>
        <w:rPr>
          <w:b w:val="0"/>
          <w:i w:val="0"/>
        </w:rPr>
        <w:t>A fiscalização no corpo do edital é remissiva e genérica; convém remeter expressamente ao item 7 do TR (gestor, fiscais técnico e administrativo) para evitar dúvida sobre o modelo de gestão. (art. 25, da Lei 14.133/2021).</w:t>
      </w:r>
    </w:p>
    <w:p>
      <w:pPr>
        <w:spacing w:before="0" w:after="120" w:line="360" w:lineRule="auto"/>
        <w:ind w:left="425" w:hanging="425"/>
        <w:jc w:val="both"/>
      </w:pPr>
      <w:r>
        <w:rPr>
          <w:b/>
          <w:i w:val="0"/>
          <w:color w:val="1F7A8C"/>
        </w:rPr>
        <w:t xml:space="preserve">b) </w:t>
      </w:r>
      <w:r>
        <w:rPr>
          <w:b/>
          <w:i w:val="0"/>
        </w:rPr>
        <w:t xml:space="preserve">Índice de reajuste com data-base no orçamento: </w:t>
      </w:r>
      <w:r>
        <w:rPr>
          <w:b w:val="0"/>
          <w:i w:val="0"/>
        </w:rPr>
        <w:t>Preencher a Cláusula Quinta da minuta com o IPCA e a data-base expressa (fevereiro/2026), para que contrato e edital não divirjam. Como a vigência é de 12 meses e a entrega é única, o reajuste terá pouca aplicação prática, mas a cláusula é obrigatória. (art. 25, § 7º, da Lei 14.133/2021; art. 92, § 3º, da Lei 14.133/2021).</w:t>
      </w:r>
    </w:p>
    <w:p>
      <w:pPr>
        <w:spacing w:before="0" w:after="120" w:line="360" w:lineRule="auto"/>
        <w:ind w:left="425" w:hanging="425"/>
        <w:jc w:val="both"/>
      </w:pPr>
      <w:r>
        <w:rPr>
          <w:b/>
          <w:i w:val="0"/>
          <w:color w:val="1F7A8C"/>
        </w:rPr>
        <w:t xml:space="preserve">c) </w:t>
      </w:r>
      <w:r>
        <w:rPr>
          <w:b/>
          <w:i w:val="0"/>
        </w:rPr>
        <w:t xml:space="preserve">Sanções e multas: </w:t>
      </w:r>
      <w:r>
        <w:rPr>
          <w:b w:val="0"/>
          <w:i w:val="0"/>
        </w:rPr>
        <w:t>Algumas multas incidem sobre 'o valor da parcela em atraso' (20.3.1 e 20.3.2). Para evitar resultado abaixo de 0,5% do contrato, convém prever que o valor mínimo observe o piso do art. 156, § 3º. A tabela de infrações é modelo de serviços e deve ser adaptada ao fornecimento de bens (ver outros apontamentos). (art. 156, da Lei 14.133/2021; art. 156, § 3º, da Lei 14.133/2021).</w:t>
      </w:r>
    </w:p>
    <w:p>
      <w:pPr>
        <w:pStyle w:val="Heading1"/>
        <w:keepNext/>
        <w:spacing w:before="360" w:after="160" w:line="360" w:lineRule="auto"/>
        <w:ind w:firstLine="0"/>
        <w:jc w:val="left"/>
      </w:pPr>
      <w:r>
        <w:rPr>
          <w:rFonts w:ascii="Arial" w:hAnsi="Arial"/>
          <w:b/>
          <w:i w:val="0"/>
          <w:color w:val="12324A"/>
          <w:sz w:val="24"/>
        </w:rPr>
        <w:t>5 CONCLUSÃO</w:t>
      </w:r>
    </w:p>
    <w:p>
      <w:pPr>
        <w:spacing w:before="0" w:after="120" w:line="360" w:lineRule="auto"/>
        <w:ind w:firstLine="709"/>
        <w:jc w:val="both"/>
      </w:pPr>
      <w:r>
        <w:rPr>
          <w:b w:val="0"/>
          <w:i w:val="0"/>
        </w:rPr>
        <w:t>O instrumento convocatório é, em linhas gerais, estruturado e aderente à Lei 14.133/2021, mas apresenta um vício relevante: o prazo mínimo para apresentação de propostas não foi respeitado (7 dias úteis contra 8 para aquisição de bens). Recomenda-se verificar de imediato o estágio do certame, já que a data da sessão (09/10/2026) é anterior à data desta análise. Se não houve homologação ou contratação, convém avaliar a anulação do certame e a republicação com prazo correto, ou, alternativamente, a convalidação motivada, ponderando a competitividade efetivamente obtida e a ausência de prejuízo. Se já houve contratação, o vício deve ser registrado e a decisão fundamentada no processo. Independentemente disso, devem ser sanadas as incoerências entre edital, TR e minuta de contrato; a minuta deve ser adaptada ao objeto (fornecimento de bens, sem garantia contratual) e completada; a qualificação técnica, a habilitação econômico-financeira por item e a justificativa de não aplicação da cota reservada devem ser revistas e motivadas no ETP. A juntada do parecer jurídico e a confirmação da divulgação integral dos anexos no PNCP não puderam ser verificadas e precisam constar dos autos. O parecer é opinativo, e a decisão sobre as providências cabe à autoridade competente.</w:t>
      </w:r>
    </w:p>
    <w:p>
      <w:pPr>
        <w:spacing w:before="0" w:after="80" w:line="360" w:lineRule="auto"/>
        <w:ind w:firstLine="709"/>
        <w:jc w:val="both"/>
      </w:pPr>
      <w:r>
        <w:rPr>
          <w:b w:val="0"/>
          <w:i w:val="0"/>
        </w:rPr>
        <w:t>Recomendam-se, por ordem de prioridade, as seguintes providências:</w:t>
      </w:r>
    </w:p>
    <w:p>
      <w:pPr>
        <w:spacing w:before="0" w:after="80" w:line="360" w:lineRule="auto"/>
        <w:ind w:left="425" w:hanging="425"/>
        <w:jc w:val="both"/>
      </w:pPr>
      <w:r>
        <w:rPr>
          <w:b/>
          <w:i w:val="0"/>
          <w:color w:val="B23A48"/>
        </w:rPr>
        <w:t xml:space="preserve">1. </w:t>
      </w:r>
      <w:r>
        <w:rPr>
          <w:b/>
          <w:i w:val="0"/>
        </w:rPr>
        <w:t xml:space="preserve">Prazo mínimo para apresentação de propostas </w:t>
      </w:r>
      <w:r>
        <w:rPr>
          <w:b w:val="0"/>
          <w:i w:val="0"/>
          <w:color w:val="B23A48"/>
        </w:rPr>
        <w:t xml:space="preserve">(gravidade alta, item 3.1): </w:t>
      </w:r>
      <w:r>
        <w:rPr>
          <w:b w:val="0"/>
          <w:i w:val="0"/>
        </w:rPr>
        <w:t>Verificar nos autos se a sessão ocorreu e em que estágio está o certame. Se não houve homologação ou contratação, republicar o edital com prazo mínimo de 8 dias úteis contados na forma do art. 183, ou convalidar de forma motivada, demonstrando a competição efetiva e a ausência de prejuízo. Se já houve contratação, registrar o vício e a motivação da decisão. Nos próximos editais, conferir o prazo com calendário de dias úteis (inclusive feriados locais).</w:t>
      </w:r>
    </w:p>
    <w:p>
      <w:pPr>
        <w:spacing w:before="0" w:after="80" w:line="360" w:lineRule="auto"/>
        <w:ind w:left="425" w:hanging="425"/>
        <w:jc w:val="both"/>
      </w:pPr>
      <w:r>
        <w:rPr>
          <w:b/>
          <w:i w:val="0"/>
          <w:color w:val="C9781E"/>
        </w:rPr>
        <w:t xml:space="preserve">2. </w:t>
      </w:r>
      <w:r>
        <w:rPr>
          <w:b/>
          <w:i w:val="0"/>
        </w:rPr>
        <w:t xml:space="preserve">Qualificação técnica proporcional </w:t>
      </w:r>
      <w:r>
        <w:rPr>
          <w:b w:val="0"/>
          <w:i w:val="0"/>
          <w:color w:val="C9781E"/>
        </w:rPr>
        <w:t xml:space="preserve">(gravidade média, item 3.2): </w:t>
      </w:r>
      <w:r>
        <w:rPr>
          <w:b w:val="0"/>
          <w:i w:val="0"/>
        </w:rPr>
        <w:t>Indicar no ETP/TR as parcelas de maior relevância e seus percentuais. Esclarecer a que item cada quantitativo se aplica (por exemplo, ao menos 1 aparelho de ultrassom e 2 mesas, que correspondem a 50% ou menos). Definir as características mínimas do equipamento que servirão de parâmetro de similaridade. Retirar 'prazos compatíveis' ou reescrevê-lo sem limite de tempo. Corrigir a redação (resíduo '9.27.' e remissão ao TR).</w:t>
      </w:r>
    </w:p>
    <w:p>
      <w:pPr>
        <w:spacing w:before="0" w:after="80" w:line="360" w:lineRule="auto"/>
        <w:ind w:left="425" w:hanging="425"/>
        <w:jc w:val="both"/>
      </w:pPr>
      <w:r>
        <w:rPr>
          <w:b/>
          <w:i w:val="0"/>
          <w:color w:val="C9781E"/>
        </w:rPr>
        <w:t xml:space="preserve">3. </w:t>
      </w:r>
      <w:r>
        <w:rPr>
          <w:b/>
          <w:i w:val="0"/>
        </w:rPr>
        <w:t xml:space="preserve">Minuta de contrato como anexo e cláusulas necessárias </w:t>
      </w:r>
      <w:r>
        <w:rPr>
          <w:b w:val="0"/>
          <w:i w:val="0"/>
          <w:color w:val="C9781E"/>
        </w:rPr>
        <w:t xml:space="preserve">(gravidade média, item 3.3): </w:t>
      </w:r>
      <w:r>
        <w:rPr>
          <w:b w:val="0"/>
          <w:i w:val="0"/>
        </w:rPr>
        <w:t>Antes da assinatura, adaptar a minuta ao caso: retirar a cláusula de garantia ou alinhá-la ao edital, preencher índice (IPCA), data-base, vigência (12 meses a partir da ordem de início), prazos de entrega (30 dias úteis), instalação (15 dias) e recebimento, garantia convencional (24 meses para os aparelhos e prazo definido para as mesas), dotação e valores. Corrigir a numeração e os erros de grafia. Se o edital já foi divulgado, tratar a retificação do Anexo XIII como alteração do edital, observando o art. 55, § 1º.</w:t>
      </w:r>
    </w:p>
    <w:p>
      <w:pPr>
        <w:spacing w:before="0" w:after="80" w:line="360" w:lineRule="auto"/>
        <w:ind w:left="425" w:hanging="425"/>
        <w:jc w:val="both"/>
      </w:pPr>
      <w:r>
        <w:rPr>
          <w:b/>
          <w:i w:val="0"/>
          <w:color w:val="C9781E"/>
        </w:rPr>
        <w:t xml:space="preserve">4. </w:t>
      </w:r>
      <w:r>
        <w:rPr>
          <w:b/>
          <w:i w:val="0"/>
        </w:rPr>
        <w:t xml:space="preserve">Coerência interna do edital e dos anexos </w:t>
      </w:r>
      <w:r>
        <w:rPr>
          <w:b w:val="0"/>
          <w:i w:val="0"/>
          <w:color w:val="C9781E"/>
        </w:rPr>
        <w:t xml:space="preserve">(gravidade média, item 3.4): </w:t>
      </w:r>
      <w:r>
        <w:rPr>
          <w:b w:val="0"/>
          <w:i w:val="0"/>
        </w:rPr>
        <w:t>Unificar em retificação única o edital, o TR e a minuta: prazos de entrega, instalação, substituição e recebimento; vigência; garantia; critério de atualização por mora; prazo de pagamento; dotação; numeração, folhas e identificação do certame; e a rotina de habilitação (suprimir a duplicidade dos itens 12.10/12.11.2). Considerar o impacto na proposta e, se for o caso, reabrir o prazo (art. 55, § 1º). Elaborar tabela única de datas, prazos e critérios.</w:t>
      </w:r>
    </w:p>
    <w:p>
      <w:pPr>
        <w:spacing w:before="0" w:after="80" w:line="360" w:lineRule="auto"/>
        <w:ind w:left="425" w:hanging="425"/>
        <w:jc w:val="both"/>
      </w:pPr>
      <w:r>
        <w:rPr>
          <w:b/>
          <w:i w:val="0"/>
          <w:color w:val="C9781E"/>
        </w:rPr>
        <w:t xml:space="preserve">5. </w:t>
      </w:r>
      <w:r>
        <w:rPr>
          <w:b/>
          <w:i w:val="0"/>
        </w:rPr>
        <w:t xml:space="preserve">Minuta de contrato com cláusula de garantia incompatível com a decisão de não exigir garantia </w:t>
      </w:r>
      <w:r>
        <w:rPr>
          <w:b w:val="0"/>
          <w:i w:val="0"/>
          <w:color w:val="C9781E"/>
        </w:rPr>
        <w:t xml:space="preserve">(gravidade média, item 3.5): </w:t>
      </w:r>
      <w:r>
        <w:rPr>
          <w:b w:val="0"/>
          <w:i w:val="0"/>
        </w:rPr>
        <w:t>Excluir a Cláusula Nona e as remissões à garantia contratual (obrigação X, sanção e extinção), renumerando as cláusulas, ou, se a garantia for adotada, alterar o edital e o TR e observar os limites do art. 98.</w:t>
      </w:r>
    </w:p>
    <w:p>
      <w:pPr>
        <w:spacing w:before="0" w:after="80" w:line="360" w:lineRule="auto"/>
        <w:ind w:left="425" w:hanging="425"/>
        <w:jc w:val="both"/>
      </w:pPr>
      <w:r>
        <w:rPr>
          <w:b/>
          <w:i w:val="0"/>
          <w:color w:val="3D8FA6"/>
        </w:rPr>
        <w:t xml:space="preserve">6. </w:t>
      </w:r>
      <w:r>
        <w:rPr>
          <w:b/>
          <w:i w:val="0"/>
        </w:rPr>
        <w:t xml:space="preserve">Qualificação econômico-financeira </w:t>
      </w:r>
      <w:r>
        <w:rPr>
          <w:b w:val="0"/>
          <w:i w:val="0"/>
          <w:color w:val="3D8FA6"/>
        </w:rPr>
        <w:t xml:space="preserve">(gravidade baixa, item 3.6): </w:t>
      </w:r>
      <w:r>
        <w:rPr>
          <w:b w:val="0"/>
          <w:i w:val="0"/>
        </w:rPr>
        <w:t>Juntar ao ETP a justificativa do ILG ≥ 1 e do patrimônio líquido de 10%. Calcular o patrimônio líquido sobre o valor estimado do(s) item(ns) cotado(s) pelo licitante. Alinhar edital e TR quanto à declaração contábil (item 9.24 do TR).</w:t>
      </w:r>
    </w:p>
    <w:p>
      <w:pPr>
        <w:spacing w:before="0" w:after="80" w:line="360" w:lineRule="auto"/>
        <w:ind w:left="425" w:hanging="425"/>
        <w:jc w:val="both"/>
      </w:pPr>
      <w:r>
        <w:rPr>
          <w:b/>
          <w:i w:val="0"/>
          <w:color w:val="3D8FA6"/>
        </w:rPr>
        <w:t xml:space="preserve">7. </w:t>
      </w:r>
      <w:r>
        <w:rPr>
          <w:b/>
          <w:i w:val="0"/>
        </w:rPr>
        <w:t xml:space="preserve">Tratamento diferenciado a ME e EPP </w:t>
      </w:r>
      <w:r>
        <w:rPr>
          <w:b w:val="0"/>
          <w:i w:val="0"/>
          <w:color w:val="3D8FA6"/>
        </w:rPr>
        <w:t xml:space="preserve">(gravidade baixa, item 3.7): </w:t>
      </w:r>
      <w:r>
        <w:rPr>
          <w:b w:val="0"/>
          <w:i w:val="0"/>
        </w:rPr>
        <w:t>Reavaliar a cota reservada para o item 2 (até 25% das mesas). Se mantida a decisão, motivar no ETP/TR a hipótese do art. 49 da LC 123 aplicável e fazer constar no edital que não haverá cota, com a razão.</w:t>
      </w:r>
    </w:p>
    <w:p>
      <w:pPr>
        <w:spacing w:before="0" w:after="80" w:line="360" w:lineRule="auto"/>
        <w:ind w:left="425" w:hanging="425"/>
        <w:jc w:val="both"/>
      </w:pPr>
      <w:r>
        <w:rPr>
          <w:b/>
          <w:i w:val="0"/>
          <w:color w:val="3D8FA6"/>
        </w:rPr>
        <w:t xml:space="preserve">8. </w:t>
      </w:r>
      <w:r>
        <w:rPr>
          <w:b/>
          <w:i w:val="0"/>
        </w:rPr>
        <w:t xml:space="preserve">Impugnação e esclarecimentos </w:t>
      </w:r>
      <w:r>
        <w:rPr>
          <w:b w:val="0"/>
          <w:i w:val="0"/>
          <w:color w:val="3D8FA6"/>
        </w:rPr>
        <w:t xml:space="preserve">(gravidade baixa, item 3.8): </w:t>
      </w:r>
      <w:r>
        <w:rPr>
          <w:b w:val="0"/>
          <w:i w:val="0"/>
        </w:rPr>
        <w:t>Reproduzir no item 1.8.1 o limite do último dia útil anterior à abertura, prever divulgação das respostas a impugnações em sítio oficial, trocar 'interessados' por 'qualquer pessoa' e prever que o efeito suspensivo se limita ao prazo necessário à decisão, indicando o canal oficial do sistema.</w:t>
      </w:r>
    </w:p>
    <w:p>
      <w:pPr>
        <w:spacing w:before="0" w:after="80" w:line="360" w:lineRule="auto"/>
        <w:ind w:left="425" w:hanging="425"/>
        <w:jc w:val="both"/>
      </w:pPr>
      <w:r>
        <w:rPr>
          <w:b/>
          <w:i w:val="0"/>
          <w:color w:val="3D8FA6"/>
        </w:rPr>
        <w:t xml:space="preserve">9. </w:t>
      </w:r>
      <w:r>
        <w:rPr>
          <w:b/>
          <w:i w:val="0"/>
        </w:rPr>
        <w:t xml:space="preserve">Recursos administrativos </w:t>
      </w:r>
      <w:r>
        <w:rPr>
          <w:b w:val="0"/>
          <w:i w:val="0"/>
          <w:color w:val="3D8FA6"/>
        </w:rPr>
        <w:t xml:space="preserve">(gravidade baixa, item 3.9): </w:t>
      </w:r>
      <w:r>
        <w:rPr>
          <w:b w:val="0"/>
          <w:i w:val="0"/>
        </w:rPr>
        <w:t>Ajustar o item 14.6 para o prazo de decisão da autoridade superior previsto no art. 165 e reavaliar o item 14.5, preferindo a consequência de preclusão da fase de razões ou a análise com base na manifestação registrada, desde que motivada.</w:t>
      </w:r>
    </w:p>
    <w:p>
      <w:pPr>
        <w:spacing w:before="0" w:after="80" w:line="360" w:lineRule="auto"/>
        <w:ind w:left="425" w:hanging="425"/>
        <w:jc w:val="both"/>
      </w:pPr>
      <w:r>
        <w:rPr>
          <w:b/>
          <w:i w:val="0"/>
          <w:color w:val="3D8FA6"/>
        </w:rPr>
        <w:t xml:space="preserve">10. </w:t>
      </w:r>
      <w:r>
        <w:rPr>
          <w:b/>
          <w:i w:val="0"/>
        </w:rPr>
        <w:t xml:space="preserve">Garantia das mesas ginecológicas sem prazo definido </w:t>
      </w:r>
      <w:r>
        <w:rPr>
          <w:b w:val="0"/>
          <w:i w:val="0"/>
          <w:color w:val="3D8FA6"/>
        </w:rPr>
        <w:t xml:space="preserve">(gravidade baixa, item 3.10): </w:t>
      </w:r>
      <w:r>
        <w:rPr>
          <w:b w:val="0"/>
          <w:i w:val="0"/>
        </w:rPr>
        <w:t>Fixar prazo mínimo de garantia para as mesas, com cobertura e suporte técnico, e alinhar a cláusula da minuta (Cláusula Décima, Parágrafo Terceiro).</w:t>
      </w:r>
    </w:p>
    <w:p>
      <w:pPr>
        <w:spacing w:before="0" w:after="80" w:line="360" w:lineRule="auto"/>
        <w:ind w:left="425" w:hanging="425"/>
        <w:jc w:val="both"/>
      </w:pPr>
      <w:r>
        <w:rPr>
          <w:b/>
          <w:i w:val="0"/>
          <w:color w:val="3D8FA6"/>
        </w:rPr>
        <w:t xml:space="preserve">11. </w:t>
      </w:r>
      <w:r>
        <w:rPr>
          <w:b/>
          <w:i w:val="0"/>
        </w:rPr>
        <w:t xml:space="preserve">Vedação ampla de participação de licitantes com sócios ou técnicos servidores do Município </w:t>
      </w:r>
      <w:r>
        <w:rPr>
          <w:b w:val="0"/>
          <w:i w:val="0"/>
          <w:color w:val="3D8FA6"/>
        </w:rPr>
        <w:t xml:space="preserve">(gravidade baixa, item 3.11): </w:t>
      </w:r>
      <w:r>
        <w:rPr>
          <w:b w:val="0"/>
          <w:i w:val="0"/>
        </w:rPr>
        <w:t>Delimitar a vedação ao órgão contratante e aos agentes que atuam na licitação e na fiscalização, nos termos do art. 14, ou fundamentá-la expressamente no processo.</w:t>
      </w:r>
    </w:p>
    <w:p>
      <w:pPr>
        <w:spacing w:before="0" w:after="80" w:line="360" w:lineRule="auto"/>
        <w:ind w:left="425" w:hanging="425"/>
        <w:jc w:val="both"/>
      </w:pPr>
      <w:r>
        <w:rPr>
          <w:b/>
          <w:i w:val="0"/>
          <w:color w:val="3D8FA6"/>
        </w:rPr>
        <w:t xml:space="preserve">12. </w:t>
      </w:r>
      <w:r>
        <w:rPr>
          <w:b/>
          <w:i w:val="0"/>
        </w:rPr>
        <w:t xml:space="preserve">Exigência de via física original ou autenticada após a sessão </w:t>
      </w:r>
      <w:r>
        <w:rPr>
          <w:b w:val="0"/>
          <w:i w:val="0"/>
          <w:color w:val="3D8FA6"/>
        </w:rPr>
        <w:t xml:space="preserve">(gravidade baixa, item 3.12): </w:t>
      </w:r>
      <w:r>
        <w:rPr>
          <w:b w:val="0"/>
          <w:i w:val="0"/>
        </w:rPr>
        <w:t>Prever a verificação eletrônica da autenticidade e exigir o original ou a cópia autenticada apenas quando houver dúvida fundamentada.</w:t>
      </w:r>
    </w:p>
    <w:p>
      <w:pPr>
        <w:spacing w:before="0" w:after="80" w:line="360" w:lineRule="auto"/>
        <w:ind w:left="425" w:hanging="425"/>
        <w:jc w:val="both"/>
      </w:pPr>
      <w:r>
        <w:rPr>
          <w:b/>
          <w:i w:val="0"/>
          <w:color w:val="3D8FA6"/>
        </w:rPr>
        <w:t xml:space="preserve">13. </w:t>
      </w:r>
      <w:r>
        <w:rPr>
          <w:b/>
          <w:i w:val="0"/>
        </w:rPr>
        <w:t xml:space="preserve">Tabela de infrações da multa copiada de modelo de serviços </w:t>
      </w:r>
      <w:r>
        <w:rPr>
          <w:b w:val="0"/>
          <w:i w:val="0"/>
          <w:color w:val="3D8FA6"/>
        </w:rPr>
        <w:t xml:space="preserve">(gravidade baixa, item 3.13): </w:t>
      </w:r>
      <w:r>
        <w:rPr>
          <w:b w:val="0"/>
          <w:i w:val="0"/>
        </w:rPr>
        <w:t>Adaptar a tabela ao fornecimento de bens, incluindo as infrações de atraso na entrega e na instalação, não substituição em prazo, descumprimento de garantia e descumprimento de documentos fiscais.</w:t>
      </w:r>
    </w:p>
    <w:p>
      <w:pPr>
        <w:spacing w:before="0" w:after="80" w:line="360" w:lineRule="auto"/>
        <w:ind w:left="425" w:hanging="425"/>
        <w:jc w:val="both"/>
      </w:pPr>
      <w:r>
        <w:rPr>
          <w:b/>
          <w:i w:val="0"/>
          <w:color w:val="3D8FA6"/>
        </w:rPr>
        <w:t xml:space="preserve">14. </w:t>
      </w:r>
      <w:r>
        <w:rPr>
          <w:b/>
          <w:i w:val="0"/>
        </w:rPr>
        <w:t xml:space="preserve">Edital sem data e assinatura; orçamento defasado em relação à divulgação </w:t>
      </w:r>
      <w:r>
        <w:rPr>
          <w:b w:val="0"/>
          <w:i w:val="0"/>
          <w:color w:val="3D8FA6"/>
        </w:rPr>
        <w:t xml:space="preserve">(gravidade baixa, item 3.14): </w:t>
      </w:r>
      <w:r>
        <w:rPr>
          <w:b w:val="0"/>
          <w:i w:val="0"/>
        </w:rPr>
        <w:t>Juntar ao processo a via assinada e datada do edital, e confirmar que a pesquisa de preços de fevereiro/2026 permanece válida ou atualizá-la, registrando a decisão no processo.</w:t>
      </w:r>
    </w:p>
    <w:p>
      <w:pPr>
        <w:spacing w:before="120" w:after="120" w:line="360" w:lineRule="auto"/>
        <w:ind w:firstLine="709"/>
        <w:jc w:val="both"/>
      </w:pPr>
      <w:r>
        <w:rPr>
          <w:b w:val="0"/>
          <w:i w:val="0"/>
        </w:rPr>
        <w:t>Todos os aspectos identificados foram informados, inclusive os de baixa vulnerabilidade, para que o destinatário disponha de visão completa do processo. Trata-se de parecer técnico de natureza opinativa: as recomendações não o vinculam, e a decisão de promover os ajustes ou manter os documentos como estão compete exclusivamente a quem recebe este parecer, sob sua responsabilidade (STF, MS 24.631/DF; art. 28 do Decreto-Lei nº 4.657/1942). Este parecer não substitui o parecer jurídico de controle prévio de legalidade (art. 53 da Lei nº 14.133/2021).</w:t>
      </w:r>
    </w:p>
    <w:p>
      <w:pPr>
        <w:spacing w:before="0" w:after="360" w:line="360" w:lineRule="auto"/>
        <w:ind w:firstLine="709"/>
        <w:jc w:val="both"/>
      </w:pPr>
      <w:r>
        <w:rPr>
          <w:b w:val="0"/>
          <w:i w:val="0"/>
        </w:rPr>
        <w:t>É o parecer técnico, de caráter opinativo, salvo melhor juízo.</w:t>
      </w:r>
    </w:p>
    <w:p>
      <w:pPr>
        <w:spacing w:before="0" w:after="720" w:line="360" w:lineRule="auto"/>
        <w:ind w:firstLine="0"/>
        <w:jc w:val="right"/>
      </w:pPr>
      <w:r>
        <w:rPr>
          <w:b w:val="0"/>
          <w:i w:val="0"/>
        </w:rPr>
        <w:t>Maricá (RJ), 29 de outubro de 2026.</w:t>
      </w:r>
    </w:p>
    <w:p>
      <w:pPr>
        <w:spacing w:before="0" w:after="0" w:line="240" w:lineRule="auto"/>
        <w:ind w:firstLine="0"/>
        <w:jc w:val="center"/>
      </w:pPr>
      <w:r>
        <w:rPr>
          <w:b w:val="0"/>
          <w:i w:val="0"/>
          <w:color w:val="D9DEE2"/>
        </w:rPr>
        <w:t>__________________________________________</w:t>
      </w:r>
    </w:p>
    <w:p>
      <w:pPr>
        <w:spacing w:before="0" w:after="0" w:line="276" w:lineRule="auto"/>
        <w:ind w:firstLine="0"/>
        <w:jc w:val="center"/>
      </w:pPr>
      <w:r>
        <w:rPr>
          <w:b/>
          <w:i w:val="0"/>
          <w:sz w:val="22"/>
        </w:rPr>
        <w:t>Agente Licitacon</w:t>
      </w:r>
    </w:p>
    <w:p>
      <w:pPr>
        <w:spacing w:before="0" w:after="0" w:line="276" w:lineRule="auto"/>
        <w:ind w:firstLine="0"/>
        <w:jc w:val="center"/>
      </w:pPr>
      <w:r>
        <w:rPr>
          <w:b w:val="0"/>
          <w:i w:val="0"/>
          <w:color w:val="66757F"/>
          <w:sz w:val="19"/>
        </w:rPr>
        <w:t>Análise técnica automatizada em licitações e contratos</w:t>
      </w:r>
    </w:p>
    <w:p>
      <w:r>
        <w:br w:type="page"/>
      </w:r>
    </w:p>
    <w:p>
      <w:pPr>
        <w:pStyle w:val="Heading1"/>
        <w:keepNext/>
        <w:spacing w:before="360" w:after="160" w:line="360" w:lineRule="auto"/>
        <w:ind w:firstLine="0"/>
        <w:jc w:val="center"/>
      </w:pPr>
      <w:r>
        <w:rPr>
          <w:rFonts w:ascii="Arial" w:hAnsi="Arial"/>
          <w:b/>
          <w:i w:val="0"/>
          <w:color w:val="12324A"/>
          <w:sz w:val="24"/>
        </w:rPr>
        <w:t>REFERÊNCIAS</w:t>
      </w:r>
    </w:p>
    <w:p>
      <w:pPr>
        <w:spacing w:before="0" w:after="240" w:line="240" w:lineRule="auto"/>
        <w:ind w:firstLine="0"/>
        <w:jc w:val="left"/>
      </w:pPr>
      <w:r>
        <w:rPr>
          <w:b w:val="0"/>
          <w:i w:val="0"/>
          <w:sz w:val="22"/>
        </w:rPr>
        <w:t>BRASIL. Decreto-Lei nº 4.657, de 4 de setembro de 1942. Lei de Introdução às Normas do Direito Brasileiro. Redação dada pela Lei nº 13.655, de 25 de abril de 2018. Disponível em: https://www.planalto.gov.br/ccivil_03/decreto-lei/del4657compilado.htm. Acesso em: 29 out. 2026.</w:t>
      </w:r>
    </w:p>
    <w:p>
      <w:pPr>
        <w:spacing w:before="0" w:after="240" w:line="240" w:lineRule="auto"/>
        <w:ind w:firstLine="0"/>
        <w:jc w:val="left"/>
      </w:pPr>
      <w:r>
        <w:rPr>
          <w:b w:val="0"/>
          <w:i w:val="0"/>
          <w:sz w:val="22"/>
        </w:rPr>
        <w:t>BRASIL. Lei nº 14.133, de 1º de abril de 2021. Lei de Licitações e Contratos Administrativos. Diário Oficial da União: seção 1, Brasília, DF, 1 abr. 2021. Disponível em: https://www.planalto.gov.br/ccivil_03/_ato2019-2022/2021/lei/l14133.htm. Acesso em: 29 out. 2026.</w:t>
      </w:r>
    </w:p>
    <w:p>
      <w:pPr>
        <w:spacing w:before="0" w:after="240" w:line="240" w:lineRule="auto"/>
        <w:ind w:firstLine="0"/>
        <w:jc w:val="left"/>
      </w:pPr>
      <w:r>
        <w:rPr>
          <w:b w:val="0"/>
          <w:i w:val="0"/>
          <w:sz w:val="22"/>
        </w:rPr>
        <w:t>BRASIL. Lei nº 9.784, de 29 de janeiro de 1999. Regula o processo administrativo no âmbito da Administração Pública Federal. Disponível em: https://www.planalto.gov.br/ccivil_03/leis/l9784.htm. Acesso em: 29 out. 2026.</w:t>
      </w:r>
    </w:p>
    <w:p>
      <w:pPr>
        <w:spacing w:before="0" w:after="240" w:line="240" w:lineRule="auto"/>
        <w:ind w:firstLine="0"/>
        <w:jc w:val="left"/>
      </w:pPr>
      <w:r>
        <w:rPr>
          <w:b w:val="0"/>
          <w:i w:val="0"/>
          <w:sz w:val="22"/>
        </w:rPr>
        <w:t>BRASIL. Supremo Tribunal Federal (Plenário). Mandado de Segurança nº 24.631/DF. Relator: Min. Joaquim Barbosa. Julgado em 9 ago. 2007. Diário da Justiça, Brasília, DF, 1 fev. 2008.</w:t>
      </w:r>
    </w:p>
    <w:p>
      <w:pPr>
        <w:spacing w:before="0" w:after="240" w:line="240" w:lineRule="auto"/>
        <w:ind w:firstLine="0"/>
        <w:jc w:val="left"/>
      </w:pPr>
      <w:r>
        <w:rPr>
          <w:b w:val="0"/>
          <w:i w:val="0"/>
          <w:sz w:val="22"/>
        </w:rPr>
        <w:t>BRASIL. Tribunal de Contas da União (Plenário). Acórdão 1742/2026-Plenário. Relator: Ministro(a) Benjamin Zymler. Julgado em 1 jul. 2026. TCU – Jurisprudência Selecionada (BJ nº 592 de 20/07/2026). Disponível em: https://pesquisa.apps.tcu.gov.br/documento/jurisprudencia-selecionada/*/KEY%253AJURISPRUDENCIA-SELECIONADA-205696/score%2520desc/0. Acesso em: 29 out. 2026.</w:t>
      </w:r>
    </w:p>
    <w:p>
      <w:pPr>
        <w:spacing w:before="0" w:after="240" w:line="240" w:lineRule="auto"/>
        <w:ind w:firstLine="0"/>
        <w:jc w:val="left"/>
      </w:pPr>
      <w:r>
        <w:rPr>
          <w:b w:val="0"/>
          <w:i w:val="0"/>
          <w:sz w:val="22"/>
        </w:rPr>
        <w:t>BRASIL. Tribunal de Contas da União (Plenário). Acórdão 2921/2026-Plenário – TC 021.316/2026-0. Relator: Ministro(a) Jhonatan de Jesus. Julgado em 21 out. 2026. TCU – Pesquisa de acórdãos. Disponível em: https://pesquisa.apps.tcu.gov.br/documento/acordao-completo/*/KEY%253AACORDAO-COMPLETO-2783491/score%2520desc/0. Acesso em: 29 out. 2026.</w:t>
      </w:r>
    </w:p>
    <w:p>
      <w:pPr>
        <w:spacing w:before="0" w:after="240" w:line="240" w:lineRule="auto"/>
        <w:ind w:firstLine="0"/>
        <w:jc w:val="left"/>
      </w:pPr>
      <w:r>
        <w:rPr>
          <w:b w:val="0"/>
          <w:i w:val="0"/>
          <w:sz w:val="22"/>
        </w:rPr>
        <w:t>BRASIL. Tribunal de Contas da União (Plenário). Súmula TCU 289. Relator: Ministro(a) José Mucio Monteiro. Julgado em 1 jan. 2016. TCU – Súmulas. Disponível em: https://pesquisa.apps.tcu.gov.br/documento/sumula/*/KEY%253ASUMULA-EJURIS-1689/score%2520desc/0. Acesso em: 29 out. 2026.</w:t>
      </w:r>
    </w:p>
    <w:p>
      <w:pPr>
        <w:spacing w:before="0" w:after="240" w:line="240" w:lineRule="auto"/>
        <w:ind w:firstLine="0"/>
        <w:jc w:val="left"/>
      </w:pPr>
      <w:r>
        <w:rPr>
          <w:b w:val="0"/>
          <w:i w:val="0"/>
          <w:sz w:val="22"/>
        </w:rPr>
        <w:t>PREFEITURA MUNICIPAL DE MARICÁ – SECRETARIA DE SAÚDE. Edital e minutas (ata e contrato) — Pregão Eletrônico nº 55/2025 – Processo Administrativo nº 11566/2025 (PNCP 29131075000193-1-000428/2026). Disponível em: https://pncp.gov.br/app/editais/29131075000193/2026/428. Acesso em: 29 out. 2026.</w:t>
      </w:r>
    </w:p>
    <w:p>
      <w:r>
        <w:br w:type="page"/>
      </w:r>
    </w:p>
    <w:p>
      <w:pPr>
        <w:pStyle w:val="Heading1"/>
        <w:keepNext/>
        <w:spacing w:before="360" w:after="160" w:line="360" w:lineRule="auto"/>
        <w:ind w:firstLine="0"/>
        <w:jc w:val="center"/>
      </w:pPr>
      <w:r>
        <w:rPr>
          <w:rFonts w:ascii="Arial" w:hAnsi="Arial"/>
          <w:b/>
          <w:i w:val="0"/>
          <w:color w:val="12324A"/>
          <w:sz w:val="24"/>
        </w:rPr>
        <w:t>APÊNDICE A – LISTA DE VERIFICAÇÃO</w:t>
      </w:r>
    </w:p>
    <w:p>
      <w:pPr>
        <w:spacing w:before="0" w:after="120" w:line="360" w:lineRule="auto"/>
        <w:ind w:firstLine="0"/>
        <w:jc w:val="both"/>
      </w:pPr>
      <w:r>
        <w:rPr>
          <w:b w:val="0"/>
          <w:i/>
          <w:color w:val="66757F"/>
          <w:sz w:val="20"/>
        </w:rPr>
        <w:t>Todos os itens do roteiro aplicados a este processo.</w:t>
      </w:r>
    </w:p>
    <w:tbl>
      <w:tblPr>
        <w:tblW w:type="auto" w:w="0"/>
        <w:jc w:val="center"/>
        <w:tblLook w:firstColumn="1" w:firstRow="1" w:lastColumn="0" w:lastRow="0" w:noHBand="0" w:noVBand="1" w:val="04A0"/>
      </w:tblPr>
      <w:tblGrid>
        <w:gridCol w:w="3515"/>
        <w:gridCol w:w="1701"/>
        <w:gridCol w:w="1587"/>
        <w:gridCol w:w="2268"/>
      </w:tblGrid>
      <w:tr>
        <w:tc>
          <w:tcPr>
            <w:tcW w:type="dxa" w:w="3515"/>
            <w:shd w:val="clear" w:color="auto" w:fill="12324A"/>
            <w:tcMar>
              <w:top w:w="56" w:type="dxa"/>
              <w:left w:w="56" w:type="dxa"/>
              <w:bottom w:w="56" w:type="dxa"/>
              <w:right w:w="56" w:type="dxa"/>
            </w:tcMar>
            <w:tcBorders>
              <w:top w:val="nil"/>
              <w:left w:val="nil"/>
              <w:bottom w:val="nil"/>
              <w:right w:val="nil"/>
            </w:tcBorders>
          </w:tcPr>
          <w:p>
            <w:pPr>
              <w:spacing w:before="0" w:after="0" w:line="240" w:lineRule="auto"/>
              <w:ind w:firstLine="0"/>
              <w:jc w:val="left"/>
            </w:pPr>
            <w:r>
              <w:rPr>
                <w:b/>
                <w:i w:val="0"/>
                <w:color w:val="FFFFFF"/>
                <w:sz w:val="16"/>
              </w:rPr>
              <w:t>ITEM</w:t>
            </w:r>
          </w:p>
        </w:tc>
        <w:tc>
          <w:tcPr>
            <w:tcW w:type="dxa" w:w="1701"/>
            <w:shd w:val="clear" w:color="auto" w:fill="12324A"/>
            <w:tcMar>
              <w:top w:w="56" w:type="dxa"/>
              <w:left w:w="56" w:type="dxa"/>
              <w:bottom w:w="56" w:type="dxa"/>
              <w:right w:w="56" w:type="dxa"/>
            </w:tcMar>
            <w:tcBorders>
              <w:top w:val="nil"/>
              <w:left w:val="nil"/>
              <w:bottom w:val="nil"/>
              <w:right w:val="nil"/>
            </w:tcBorders>
          </w:tcPr>
          <w:p>
            <w:pPr>
              <w:spacing w:before="0" w:after="0" w:line="240" w:lineRule="auto"/>
              <w:ind w:firstLine="0"/>
              <w:jc w:val="left"/>
            </w:pPr>
            <w:r>
              <w:rPr>
                <w:b/>
                <w:i w:val="0"/>
                <w:color w:val="FFFFFF"/>
                <w:sz w:val="16"/>
              </w:rPr>
              <w:t>DOCUMENTO</w:t>
            </w:r>
          </w:p>
        </w:tc>
        <w:tc>
          <w:tcPr>
            <w:tcW w:type="dxa" w:w="1587"/>
            <w:shd w:val="clear" w:color="auto" w:fill="12324A"/>
            <w:tcMar>
              <w:top w:w="56" w:type="dxa"/>
              <w:left w:w="56" w:type="dxa"/>
              <w:bottom w:w="56" w:type="dxa"/>
              <w:right w:w="56" w:type="dxa"/>
            </w:tcMar>
            <w:tcBorders>
              <w:top w:val="nil"/>
              <w:left w:val="nil"/>
              <w:bottom w:val="nil"/>
              <w:right w:val="nil"/>
            </w:tcBorders>
          </w:tcPr>
          <w:p>
            <w:pPr>
              <w:spacing w:before="0" w:after="0" w:line="240" w:lineRule="auto"/>
              <w:ind w:firstLine="0"/>
              <w:jc w:val="left"/>
            </w:pPr>
            <w:r>
              <w:rPr>
                <w:b/>
                <w:i w:val="0"/>
                <w:color w:val="FFFFFF"/>
                <w:sz w:val="16"/>
              </w:rPr>
              <w:t>RESULTADO</w:t>
            </w:r>
          </w:p>
        </w:tc>
        <w:tc>
          <w:tcPr>
            <w:tcW w:type="dxa" w:w="2268"/>
            <w:shd w:val="clear" w:color="auto" w:fill="12324A"/>
            <w:tcMar>
              <w:top w:w="56" w:type="dxa"/>
              <w:left w:w="56" w:type="dxa"/>
              <w:bottom w:w="56" w:type="dxa"/>
              <w:right w:w="56" w:type="dxa"/>
            </w:tcMar>
            <w:tcBorders>
              <w:top w:val="nil"/>
              <w:left w:val="nil"/>
              <w:bottom w:val="nil"/>
              <w:right w:val="nil"/>
            </w:tcBorders>
          </w:tcPr>
          <w:p>
            <w:pPr>
              <w:spacing w:before="0" w:after="0" w:line="240" w:lineRule="auto"/>
              <w:ind w:firstLine="0"/>
              <w:jc w:val="left"/>
            </w:pPr>
            <w:r>
              <w:rPr>
                <w:b/>
                <w:i w:val="0"/>
                <w:color w:val="FFFFFF"/>
                <w:sz w:val="16"/>
              </w:rPr>
              <w:t>FUNDAMENTO</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Prazo mínimo para apresentação de propostas</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B23A48"/>
                <w:sz w:val="16"/>
              </w:rPr>
              <w:t xml:space="preserve">● </w:t>
            </w:r>
            <w:r>
              <w:rPr>
                <w:b/>
                <w:i w:val="0"/>
                <w:color w:val="B23A48"/>
                <w:sz w:val="16"/>
              </w:rPr>
              <w:t>Não conforme</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55; art. 183; art. 183, § 1º, inciso I</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Coerência interna do edital e dos anexos</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B23A48"/>
                <w:sz w:val="16"/>
              </w:rPr>
              <w:t xml:space="preserve">● </w:t>
            </w:r>
            <w:r>
              <w:rPr>
                <w:b/>
                <w:i w:val="0"/>
                <w:color w:val="B23A48"/>
                <w:sz w:val="16"/>
              </w:rPr>
              <w:t>Não conforme</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25; art. 18, inciso IX</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Qualificação técnica proporcional</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C9781E"/>
                <w:sz w:val="16"/>
              </w:rPr>
              <w:t xml:space="preserve">● </w:t>
            </w:r>
            <w:r>
              <w:rPr>
                <w:b/>
                <w:i w:val="0"/>
                <w:color w:val="C9781E"/>
                <w:sz w:val="16"/>
              </w:rPr>
              <w:t>Parcialmente conforme</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67, § 1º; art. 67, § 2º</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Qualificação econômico-financeira</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C9781E"/>
                <w:sz w:val="16"/>
              </w:rPr>
              <w:t xml:space="preserve">● </w:t>
            </w:r>
            <w:r>
              <w:rPr>
                <w:b/>
                <w:i w:val="0"/>
                <w:color w:val="C9781E"/>
                <w:sz w:val="16"/>
              </w:rPr>
              <w:t>Parcialmente conforme</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69; art. 69, § 2º; art. 69, § 4º; art. 69, § 5º</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Tratamento diferenciado a ME e EPP</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C9781E"/>
                <w:sz w:val="16"/>
              </w:rPr>
              <w:t xml:space="preserve">● </w:t>
            </w:r>
            <w:r>
              <w:rPr>
                <w:b/>
                <w:i w:val="0"/>
                <w:color w:val="C9781E"/>
                <w:sz w:val="16"/>
              </w:rPr>
              <w:t>Parcialmente conforme</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4; art. 4, § 1º</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Impugnação e esclarecimentos</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C9781E"/>
                <w:sz w:val="16"/>
              </w:rPr>
              <w:t xml:space="preserve">● </w:t>
            </w:r>
            <w:r>
              <w:rPr>
                <w:b/>
                <w:i w:val="0"/>
                <w:color w:val="C9781E"/>
                <w:sz w:val="16"/>
              </w:rPr>
              <w:t>Parcialmente conforme</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164; art. 164, Parágrafo único</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Recursos administrativos</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C9781E"/>
                <w:sz w:val="16"/>
              </w:rPr>
              <w:t xml:space="preserve">● </w:t>
            </w:r>
            <w:r>
              <w:rPr>
                <w:b/>
                <w:i w:val="0"/>
                <w:color w:val="C9781E"/>
                <w:sz w:val="16"/>
              </w:rPr>
              <w:t>Parcialmente conforme</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165, inciso I; art. 165, § 1º</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Minuta de contrato como anexo e cláusulas necessárias</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C9781E"/>
                <w:sz w:val="16"/>
              </w:rPr>
              <w:t xml:space="preserve">● </w:t>
            </w:r>
            <w:r>
              <w:rPr>
                <w:b/>
                <w:i w:val="0"/>
                <w:color w:val="C9781E"/>
                <w:sz w:val="16"/>
              </w:rPr>
              <w:t>Parcialmente conforme</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18, inciso VI; art. 92</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Minuta de contrato com cláusula de garantia incompatível com a decisão de não exigir garantia</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3D8FA6"/>
                <w:sz w:val="16"/>
              </w:rPr>
              <w:t xml:space="preserve">● </w:t>
            </w:r>
            <w:r>
              <w:rPr>
                <w:b/>
                <w:i w:val="0"/>
                <w:color w:val="3D8FA6"/>
                <w:sz w:val="16"/>
              </w:rPr>
              <w:t>Apontamento adicional</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98; art. 92</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Garantia das mesas ginecológicas sem prazo definido</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3D8FA6"/>
                <w:sz w:val="16"/>
              </w:rPr>
              <w:t xml:space="preserve">● </w:t>
            </w:r>
            <w:r>
              <w:rPr>
                <w:b/>
                <w:i w:val="0"/>
                <w:color w:val="3D8FA6"/>
                <w:sz w:val="16"/>
              </w:rPr>
              <w:t>Apontamento adicional</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Vedação ampla de participação de licitantes com sócios ou técnicos servidores do Município</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3D8FA6"/>
                <w:sz w:val="16"/>
              </w:rPr>
              <w:t xml:space="preserve">● </w:t>
            </w:r>
            <w:r>
              <w:rPr>
                <w:b/>
                <w:i w:val="0"/>
                <w:color w:val="3D8FA6"/>
                <w:sz w:val="16"/>
              </w:rPr>
              <w:t>Apontamento adicional</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14, inciso IV; art. 9</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Exigência de via física original ou autenticada após a sessão</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3D8FA6"/>
                <w:sz w:val="16"/>
              </w:rPr>
              <w:t xml:space="preserve">● </w:t>
            </w:r>
            <w:r>
              <w:rPr>
                <w:b/>
                <w:i w:val="0"/>
                <w:color w:val="3D8FA6"/>
                <w:sz w:val="16"/>
              </w:rPr>
              <w:t>Apontamento adicional</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70, inciso I</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Tabela de infrações da multa copiada de modelo de serviços</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3D8FA6"/>
                <w:sz w:val="16"/>
              </w:rPr>
              <w:t xml:space="preserve">● </w:t>
            </w:r>
            <w:r>
              <w:rPr>
                <w:b/>
                <w:i w:val="0"/>
                <w:color w:val="3D8FA6"/>
                <w:sz w:val="16"/>
              </w:rPr>
              <w:t>Apontamento adicional</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156</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sem data e assinatura; orçamento defasado em relação à divulgação</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3D8FA6"/>
                <w:sz w:val="16"/>
              </w:rPr>
              <w:t xml:space="preserve">● </w:t>
            </w:r>
            <w:r>
              <w:rPr>
                <w:b/>
                <w:i w:val="0"/>
                <w:color w:val="3D8FA6"/>
                <w:sz w:val="16"/>
              </w:rPr>
              <w:t>Apontamento adicional</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Conteúdo mínimo do edital</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2E8B57"/>
                <w:sz w:val="16"/>
              </w:rPr>
              <w:t xml:space="preserve">● </w:t>
            </w:r>
            <w:r>
              <w:rPr>
                <w:b/>
                <w:i w:val="0"/>
                <w:color w:val="2E8B57"/>
                <w:sz w:val="16"/>
              </w:rPr>
              <w:t>Conforme</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25</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Índice de reajuste com data-base no orçamento</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2E8B57"/>
                <w:sz w:val="16"/>
              </w:rPr>
              <w:t xml:space="preserve">● </w:t>
            </w:r>
            <w:r>
              <w:rPr>
                <w:b/>
                <w:i w:val="0"/>
                <w:color w:val="2E8B57"/>
                <w:sz w:val="16"/>
              </w:rPr>
              <w:t>Conforme</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25, § 7º; art. 92, § 3º</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Sanções e multas</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2E8B57"/>
                <w:sz w:val="16"/>
              </w:rPr>
              <w:t xml:space="preserve">● </w:t>
            </w:r>
            <w:r>
              <w:rPr>
                <w:b/>
                <w:i w:val="0"/>
                <w:color w:val="2E8B57"/>
                <w:sz w:val="16"/>
              </w:rPr>
              <w:t>Conforme</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156; art. 156, § 3º</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Divulgação de todos os anexos</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8C7AA9"/>
                <w:sz w:val="16"/>
              </w:rPr>
              <w:t xml:space="preserve">● </w:t>
            </w:r>
            <w:r>
              <w:rPr>
                <w:b/>
                <w:i w:val="0"/>
                <w:color w:val="8C7AA9"/>
                <w:sz w:val="16"/>
              </w:rPr>
              <w:t>Não verificável</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25, § 3º; art. 54</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Parecer jurídico</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8C7AA9"/>
                <w:sz w:val="16"/>
              </w:rPr>
              <w:t xml:space="preserve">● </w:t>
            </w:r>
            <w:r>
              <w:rPr>
                <w:b/>
                <w:i w:val="0"/>
                <w:color w:val="8C7AA9"/>
                <w:sz w:val="16"/>
              </w:rPr>
              <w:t>Não verificável</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53</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Critério de reajuste em serviços contínuos</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66757F"/>
                <w:sz w:val="16"/>
              </w:rPr>
              <w:t xml:space="preserve">● </w:t>
            </w:r>
            <w:r>
              <w:rPr>
                <w:b/>
                <w:i w:val="0"/>
                <w:color w:val="66757F"/>
                <w:sz w:val="16"/>
              </w:rPr>
              <w:t>Não se aplica</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25, § 8º, inciso I; art. 25, § 8º, inciso II; art. 92, § 4º, inciso II; art. 135</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Garantia de proposta e garantia contratual</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66757F"/>
                <w:sz w:val="16"/>
              </w:rPr>
              <w:t xml:space="preserve">● </w:t>
            </w:r>
            <w:r>
              <w:rPr>
                <w:b/>
                <w:i w:val="0"/>
                <w:color w:val="66757F"/>
                <w:sz w:val="16"/>
              </w:rPr>
              <w:t>Não se aplica</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58, § 1º; art. 98</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Participação em consórcio</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66757F"/>
                <w:sz w:val="16"/>
              </w:rPr>
              <w:t xml:space="preserve">● </w:t>
            </w:r>
            <w:r>
              <w:rPr>
                <w:b/>
                <w:i w:val="0"/>
                <w:color w:val="66757F"/>
                <w:sz w:val="16"/>
              </w:rPr>
              <w:t>Não se aplica</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15</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Orçamento sigiloso motivado</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66757F"/>
                <w:sz w:val="16"/>
              </w:rPr>
              <w:t xml:space="preserve">● </w:t>
            </w:r>
            <w:r>
              <w:rPr>
                <w:b/>
                <w:i w:val="0"/>
                <w:color w:val="66757F"/>
                <w:sz w:val="16"/>
              </w:rPr>
              <w:t>Não se aplica</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24; art. 18, inciso XI</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Vigência e prorrogação de serviços contínuos</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66757F"/>
                <w:sz w:val="16"/>
              </w:rPr>
              <w:t xml:space="preserve">● </w:t>
            </w:r>
            <w:r>
              <w:rPr>
                <w:b/>
                <w:i w:val="0"/>
                <w:color w:val="66757F"/>
                <w:sz w:val="16"/>
              </w:rPr>
              <w:t>Não se aplica</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106; art. 107</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Registro de preços: julgamento por lote (grupo de itens)</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66757F"/>
                <w:sz w:val="16"/>
              </w:rPr>
              <w:t xml:space="preserve">● </w:t>
            </w:r>
            <w:r>
              <w:rPr>
                <w:b/>
                <w:i w:val="0"/>
                <w:color w:val="66757F"/>
                <w:sz w:val="16"/>
              </w:rPr>
              <w:t>Não se aplica</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82, § 1º; art. 82, § 2º</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Registro de preços: quem pode aderir à ata</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66757F"/>
                <w:sz w:val="16"/>
              </w:rPr>
              <w:t xml:space="preserve">● </w:t>
            </w:r>
            <w:r>
              <w:rPr>
                <w:b/>
                <w:i w:val="0"/>
                <w:color w:val="66757F"/>
                <w:sz w:val="16"/>
              </w:rPr>
              <w:t>Não se aplica</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86, § 3º; art. 86, § 3º, inciso II; art. 86, § 8º; art. 86, § 4º; art. 86, § 5º</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Registro de preços: quantidades e vigência da ata</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66757F"/>
                <w:sz w:val="16"/>
              </w:rPr>
              <w:t xml:space="preserve">● </w:t>
            </w:r>
            <w:r>
              <w:rPr>
                <w:b/>
                <w:i w:val="0"/>
                <w:color w:val="66757F"/>
                <w:sz w:val="16"/>
              </w:rPr>
              <w:t>Não se aplica</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82, inciso I; art. 84; art. 18, § 1º, inciso IV</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Registro de preços: regras obrigatórias do edital</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66757F"/>
                <w:sz w:val="16"/>
              </w:rPr>
              <w:t xml:space="preserve">● </w:t>
            </w:r>
            <w:r>
              <w:rPr>
                <w:b/>
                <w:i w:val="0"/>
                <w:color w:val="66757F"/>
                <w:sz w:val="16"/>
              </w:rPr>
              <w:t>Não se aplica</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82, inciso II; art. 82, inciso IV; art. 82, inciso VI; art. 82, inciso VII; art. 82, inciso VIII; art. 82, inciso IX</w:t>
            </w:r>
          </w:p>
        </w:tc>
      </w:tr>
    </w:tbl>
    <w:p>
      <w:pPr>
        <w:spacing w:before="0" w:after="120" w:line="360" w:lineRule="auto"/>
        <w:ind w:firstLine="0"/>
        <w:jc w:val="both"/>
      </w:pPr>
    </w:p>
    <w:p>
      <w:pPr>
        <w:pStyle w:val="Heading1"/>
        <w:keepNext/>
        <w:spacing w:before="360" w:after="160" w:line="360" w:lineRule="auto"/>
        <w:ind w:firstLine="0"/>
        <w:jc w:val="center"/>
      </w:pPr>
      <w:r>
        <w:rPr>
          <w:rFonts w:ascii="Arial" w:hAnsi="Arial"/>
          <w:b/>
          <w:i w:val="0"/>
          <w:color w:val="12324A"/>
          <w:sz w:val="24"/>
        </w:rPr>
        <w:t>APÊNDICE B – METODOLOGIA E LIMITES</w:t>
      </w:r>
    </w:p>
    <w:p>
      <w:pPr>
        <w:spacing w:before="0" w:after="120" w:line="360" w:lineRule="auto"/>
        <w:ind w:left="425" w:hanging="425"/>
        <w:jc w:val="both"/>
      </w:pPr>
      <w:r>
        <w:rPr>
          <w:b/>
          <w:i w:val="0"/>
          <w:color w:val="1F7A8C"/>
        </w:rPr>
        <w:t xml:space="preserve">a) </w:t>
      </w:r>
      <w:r>
        <w:rPr>
          <w:b w:val="0"/>
          <w:i w:val="0"/>
        </w:rPr>
        <w:t>Cada item do roteiro de verificação foi conferido nos documentos enviados; o trecho transcrito indica onde a constatação foi feita.</w:t>
      </w:r>
    </w:p>
    <w:p>
      <w:pPr>
        <w:spacing w:before="0" w:after="120" w:line="360" w:lineRule="auto"/>
        <w:ind w:left="425" w:hanging="425"/>
        <w:jc w:val="both"/>
      </w:pPr>
      <w:r>
        <w:rPr>
          <w:b/>
          <w:i w:val="0"/>
          <w:color w:val="1F7A8C"/>
        </w:rPr>
        <w:t xml:space="preserve">b) </w:t>
      </w:r>
      <w:r>
        <w:rPr>
          <w:b w:val="0"/>
          <w:i w:val="0"/>
        </w:rPr>
        <w:t>Os dispositivos legais reproduzem o texto oficial vigente constante da base normativa do Licitacon na data da análise, conferido automaticamente quanto à existência, revogação e veto.</w:t>
      </w:r>
    </w:p>
    <w:p>
      <w:pPr>
        <w:spacing w:before="0" w:after="120" w:line="360" w:lineRule="auto"/>
        <w:ind w:left="425" w:hanging="425"/>
        <w:jc w:val="both"/>
      </w:pPr>
      <w:r>
        <w:rPr>
          <w:b/>
          <w:i w:val="0"/>
          <w:color w:val="1F7A8C"/>
        </w:rPr>
        <w:t xml:space="preserve">c) </w:t>
      </w:r>
      <w:r>
        <w:rPr>
          <w:b w:val="0"/>
          <w:i w:val="0"/>
        </w:rPr>
        <w:t>Os precedentes provêm exclusivamente da Biblioteca Licitacon, com indicação da fonte oficial; a ausência de precedente listado não significa ausência de jurisprudência.</w:t>
      </w:r>
    </w:p>
    <w:p>
      <w:pPr>
        <w:spacing w:before="0" w:after="120" w:line="360" w:lineRule="auto"/>
        <w:ind w:left="425" w:hanging="425"/>
        <w:jc w:val="both"/>
      </w:pPr>
      <w:r>
        <w:rPr>
          <w:b/>
          <w:i w:val="0"/>
          <w:color w:val="1F7A8C"/>
        </w:rPr>
        <w:t xml:space="preserve">d) </w:t>
      </w:r>
      <w:r>
        <w:rPr>
          <w:b w:val="0"/>
          <w:i w:val="0"/>
        </w:rPr>
        <w:t>Cálculos de planilha são conferidos por programa a partir de arquivo em Excel; planilhas em PDF não permitem conferir fórmulas.</w:t>
      </w:r>
    </w:p>
    <w:p>
      <w:pPr>
        <w:spacing w:before="0" w:after="120" w:line="360" w:lineRule="auto"/>
        <w:ind w:left="425" w:hanging="425"/>
        <w:jc w:val="both"/>
      </w:pPr>
      <w:r>
        <w:rPr>
          <w:b/>
          <w:i w:val="0"/>
          <w:color w:val="1F7A8C"/>
        </w:rPr>
        <w:t xml:space="preserve">e) </w:t>
      </w:r>
      <w:r>
        <w:rPr>
          <w:b w:val="0"/>
          <w:i w:val="0"/>
        </w:rPr>
        <w:t>Normas estaduais e municipais, regulamentos internos e orientações locais somente são considerados quando enviados com os documentos.</w:t>
      </w:r>
    </w:p>
    <w:p>
      <w:pPr>
        <w:spacing w:before="0" w:after="120" w:line="360" w:lineRule="auto"/>
        <w:ind w:left="425" w:hanging="425"/>
        <w:jc w:val="both"/>
      </w:pPr>
      <w:r>
        <w:rPr>
          <w:b/>
          <w:i w:val="0"/>
          <w:color w:val="1F7A8C"/>
        </w:rPr>
        <w:t xml:space="preserve">f) </w:t>
      </w:r>
      <w:r>
        <w:rPr>
          <w:b w:val="0"/>
          <w:i w:val="0"/>
        </w:rPr>
        <w:t>O parecer é opinativo: aponta todos os aspectos identificados, inclusive os de baixa vulnerabilidade, e a decisão sobre cada recomendação cabe ao destinatário.</w:t>
      </w:r>
    </w:p>
    <w:p>
      <w:pPr>
        <w:spacing w:before="0" w:after="120" w:line="360" w:lineRule="auto"/>
        <w:ind w:left="425" w:hanging="425"/>
        <w:jc w:val="both"/>
      </w:pPr>
      <w:r>
        <w:rPr>
          <w:b/>
          <w:i w:val="0"/>
          <w:color w:val="1F7A8C"/>
        </w:rPr>
        <w:t xml:space="preserve">g) </w:t>
      </w:r>
      <w:r>
        <w:rPr>
          <w:b w:val="0"/>
          <w:i w:val="0"/>
        </w:rPr>
        <w:t>Apontamentos adicionais são questões relevantes encontradas no documento que não constam do roteiro padrão; seus fundamentos legais também são conferidos na base oficial.</w:t>
      </w:r>
    </w:p>
    <w:p>
      <w:pPr>
        <w:spacing w:before="0" w:after="120" w:line="360" w:lineRule="auto"/>
        <w:ind w:left="425" w:hanging="425"/>
        <w:jc w:val="both"/>
      </w:pPr>
      <w:r>
        <w:rPr>
          <w:b/>
          <w:i w:val="0"/>
          <w:color w:val="1F7A8C"/>
        </w:rPr>
        <w:t xml:space="preserve">h) </w:t>
      </w:r>
      <w:r>
        <w:rPr>
          <w:b w:val="0"/>
          <w:i w:val="0"/>
        </w:rPr>
        <w:t>O código de verificação A753C856A9 identifica o conteúdo desta análise; qualquer alteração no resultado gera código diferente.</w:t>
      </w:r>
    </w:p>
    <w:sectPr w:rsidR="00FC693F" w:rsidRPr="0006063C" w:rsidSect="00034616">
      <w:headerReference w:type="default" r:id="rId9"/>
      <w:footerReference w:type="default" r:id="rId10"/>
      <w:pgSz w:w="11906" w:h="16838"/>
      <w:pgMar w:top="1701" w:right="1134" w:bottom="1134" w:left="1701" w:header="850"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ind w:firstLine="0"/>
      <w:jc w:val="center"/>
    </w:pPr>
    <w:r>
      <w:rPr>
        <w:b w:val="0"/>
        <w:i w:val="0"/>
        <w:color w:val="66757F"/>
        <w:sz w:val="14"/>
      </w:rPr>
      <w:t>Parecer técnico opinativo · a decisão final cabe exclusivamente ao destinatário · não substitui o parecer jurídico do art. 53 da Lei 14.133/2021 · código A753C856A9</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4535"/>
      <w:gridCol w:w="4535"/>
    </w:tblGrid>
    <w:tr>
      <w:tc>
        <w:tcPr>
          <w:tcW w:type="dxa" w:w="6803"/>
          <w:tcBorders>
            <w:top w:val="nil"/>
            <w:left w:val="nil"/>
            <w:bottom w:val="single" w:sz="6" w:color="D9DEE2" w:space="0"/>
            <w:right w:val="nil"/>
          </w:tcBorders>
        </w:tcPr>
        <w:p>
          <w:pPr>
            <w:spacing w:before="0" w:after="0" w:line="240" w:lineRule="auto"/>
            <w:ind w:firstLine="0"/>
            <w:jc w:val="left"/>
          </w:pPr>
          <w:r>
            <w:rPr>
              <w:b/>
              <w:i w:val="0"/>
              <w:color w:val="1F7A8C"/>
              <w:sz w:val="16"/>
            </w:rPr>
            <w:t>LICITACON</w:t>
          </w:r>
          <w:r>
            <w:rPr>
              <w:b w:val="0"/>
              <w:i w:val="0"/>
              <w:color w:val="66757F"/>
              <w:sz w:val="16"/>
            </w:rPr>
            <w:t xml:space="preserve">  ·  Parecer Técnico nº A753/2026</w:t>
          </w:r>
        </w:p>
      </w:tc>
      <w:tc>
        <w:tcPr>
          <w:tcW w:type="dxa" w:w="2268"/>
          <w:tcBorders>
            <w:top w:val="nil"/>
            <w:left w:val="nil"/>
            <w:bottom w:val="single" w:sz="6" w:color="D9DEE2" w:space="0"/>
            <w:right w:val="nil"/>
          </w:tcBorders>
        </w:tcPr>
        <w:p>
          <w:pPr>
            <w:spacing w:before="0" w:after="0" w:line="240" w:lineRule="auto"/>
            <w:ind w:firstLine="0"/>
            <w:jc w:val="right"/>
          </w:pPr>
          <w:r>
            <w:rPr>
              <w:color w:val="12324A"/>
              <w:sz w:val="20"/>
            </w:rPr>
            <w:fldChar w:fldCharType="begin"/>
            <w:instrText xml:space="preserve">PAGE</w:instrText>
            <w:fldChar w:fldCharType="separate"/>
            <w:t>1</w:t>
            <w:fldChar w:fldCharType="end"/>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Arial" w:hAnsi="Arial" w:eastAsia="Arial"/>
      <w:color w:val="1E2A3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cs="Arial"/>
      <w:b/>
      <w:bCs/>
      <w:color w:val="12324A"/>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cs="Arial"/>
      <w:b/>
      <w:bCs/>
      <w:color w:val="12324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cs="Arial"/>
      <w:b/>
      <w:bCs/>
      <w:color w:val="12324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pesquisa.apps.tcu.gov.br/documento/acordao-completo/*/KEY%253AACORDAO-COMPLETO-2783491/score%2520desc/0" TargetMode="External"/><Relationship Id="rId13" Type="http://schemas.openxmlformats.org/officeDocument/2006/relationships/hyperlink" Target="https://pesquisa.apps.tcu.gov.br/documento/jurisprudencia-selecionada/*/KEY%253AJURISPRUDENCIA-SELECIONADA-205696/score%2520desc/0" TargetMode="External"/><Relationship Id="rId14" Type="http://schemas.openxmlformats.org/officeDocument/2006/relationships/hyperlink" Target="https://pesquisa.apps.tcu.gov.br/documento/sumula/*/KEY%253ASUMULA-EJURIS-1689/score%2520desc/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