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2324A"/>
            <w:tcMar>
              <w:top w:w="340" w:type="dxa"/>
              <w:left w:w="340" w:type="dxa"/>
              <w:bottom w:w="340" w:type="dxa"/>
              <w:right w:w="340" w:type="dxa"/>
            </w:tcMar>
          </w:tcPr>
          <w:p>
            <w:pPr>
              <w:spacing w:before="0" w:after="40" w:line="240" w:lineRule="auto"/>
              <w:ind w:firstLine="0"/>
              <w:jc w:val="left"/>
            </w:pPr>
            <w:r>
              <w:rPr>
                <w:b/>
                <w:i w:val="0"/>
                <w:color w:val="9FD3DC"/>
                <w:sz w:val="22"/>
              </w:rPr>
              <w:t>LICITACON</w:t>
            </w:r>
            <w:r>
              <w:rPr>
                <w:b w:val="0"/>
                <w:i w:val="0"/>
                <w:color w:val="C9D6DE"/>
                <w:sz w:val="16"/>
              </w:rPr>
              <w:t xml:space="preserve">   ANÁLISE TÉCNICA EM LICITAÇÕES E CONTRATOS</w:t>
            </w:r>
          </w:p>
          <w:p>
            <w:pPr>
              <w:spacing w:before="800" w:after="0" w:line="240" w:lineRule="auto"/>
              <w:ind w:firstLine="0"/>
              <w:jc w:val="left"/>
            </w:pPr>
            <w:r>
              <w:rPr>
                <w:b/>
                <w:i w:val="0"/>
                <w:color w:val="FFFFFF"/>
                <w:sz w:val="52"/>
              </w:rPr>
              <w:t>PARECER TÉCNICO</w:t>
            </w:r>
          </w:p>
          <w:p>
            <w:pPr>
              <w:spacing w:before="40" w:after="600" w:line="240" w:lineRule="auto"/>
              <w:ind w:firstLine="0"/>
              <w:jc w:val="left"/>
            </w:pPr>
            <w:r>
              <w:rPr>
                <w:b w:val="0"/>
                <w:i w:val="0"/>
                <w:color w:val="9FD3DC"/>
                <w:sz w:val="26"/>
              </w:rPr>
              <w:t>nº CE1E/2026</w:t>
            </w:r>
          </w:p>
        </w:tc>
      </w:tr>
    </w:tbl>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F7A8C"/>
            <w:tcMar>
              <w:top w:w="198" w:type="dxa"/>
              <w:left w:w="198" w:type="dxa"/>
              <w:bottom w:w="198" w:type="dxa"/>
              <w:right w:w="198" w:type="dxa"/>
            </w:tcMar>
          </w:tcPr>
          <w:p>
            <w:pPr>
              <w:spacing w:before="0" w:after="0" w:line="240" w:lineRule="auto"/>
              <w:ind w:firstLine="0"/>
              <w:jc w:val="left"/>
            </w:pPr>
            <w:r>
              <w:rPr>
                <w:b/>
                <w:i w:val="0"/>
                <w:color w:val="FFFFFF"/>
                <w:sz w:val="21"/>
              </w:rPr>
              <w:t>Conformidade do edital com a Lei 14.133/2021</w:t>
            </w:r>
          </w:p>
        </w:tc>
      </w:tr>
    </w:tbl>
    <w:p>
      <w:pPr>
        <w:spacing w:before="720" w:after="120" w:line="276" w:lineRule="auto"/>
        <w:ind w:firstLine="0"/>
        <w:jc w:val="left"/>
      </w:pPr>
      <w:r>
        <w:rPr>
          <w:b/>
          <w:i w:val="0"/>
          <w:color w:val="1F7A8C"/>
          <w:sz w:val="16"/>
        </w:rPr>
        <w:t>OBJETO</w:t>
      </w:r>
    </w:p>
    <w:p>
      <w:pPr>
        <w:spacing w:before="0" w:after="360" w:line="288" w:lineRule="auto"/>
        <w:ind w:firstLine="0"/>
        <w:jc w:val="left"/>
      </w:pPr>
      <w:r>
        <w:rPr>
          <w:b/>
          <w:i w:val="0"/>
          <w:color w:val="12324A"/>
          <w:sz w:val="30"/>
        </w:rPr>
        <w:t>Registro de preços para contratação de empresa especializada em licenciamento de software com solução integrada (projeto Conexão Cultural e Educacional para Espaços Digitais). Inclui locação de salas modulares, tablets em comodato, internet, access points, servidor e 145.000 licenças.</w:t>
      </w:r>
    </w:p>
    <w:tbl>
      <w:tblPr>
        <w:tblW w:type="auto" w:w="0"/>
        <w:jc w:val="center"/>
        <w:tblLook w:firstColumn="1" w:firstRow="1" w:lastColumn="0" w:lastRow="0" w:noHBand="0" w:noVBand="1" w:val="04A0"/>
        <w:tblLayout w:type="fixed"/>
      </w:tblPr>
      <w:tblGrid>
        <w:gridCol w:w="1871"/>
        <w:gridCol w:w="7200"/>
      </w:tblGrid>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INTERESSADO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Prefeitura Municipal de Maricá – Secretaria de Cultura e das Utopias</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PROCESSO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nº 25/2025-SRP (Processo nº 10987/2025; PNCP 29131075000193-1-000382/2025)</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MODALIDADE</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 Sistema de Registro de Preços – menor preço global – modo de disputa aberto</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BASE LEGAL</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Lei 14.133/2021</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DATA</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29 de outubro de 2026</w:t>
            </w:r>
          </w:p>
        </w:tc>
      </w:tr>
    </w:tbl>
    <w:p>
      <w:pPr>
        <w:spacing w:before="520" w:after="0" w:line="240" w:lineRule="auto"/>
        <w:ind w:firstLine="0"/>
        <w:jc w:val="left"/>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6" w:color="B23A48" w:space="0"/>
              <w:bottom w:val="nil"/>
              <w:right w:val="nil"/>
            </w:tcBorders>
            <w:shd w:val="clear" w:color="auto" w:fill="F8E6E8"/>
            <w:tcMar>
              <w:top w:w="170" w:type="dxa"/>
              <w:left w:w="170" w:type="dxa"/>
              <w:bottom w:w="170" w:type="dxa"/>
              <w:right w:w="170" w:type="dxa"/>
            </w:tcMar>
          </w:tcPr>
          <w:p>
            <w:pPr>
              <w:spacing w:before="0" w:after="0" w:line="264" w:lineRule="auto"/>
              <w:ind w:firstLine="0"/>
              <w:jc w:val="left"/>
            </w:pPr>
            <w:r>
              <w:rPr>
                <w:b/>
                <w:i w:val="0"/>
                <w:color w:val="B23A48"/>
                <w:sz w:val="15"/>
              </w:rPr>
              <w:t xml:space="preserve">SITUAÇÃO GERAL  </w:t>
            </w:r>
            <w:r>
              <w:rPr>
                <w:b/>
                <w:i w:val="0"/>
                <w:color w:val="B23A48"/>
                <w:sz w:val="21"/>
              </w:rPr>
              <w:t>Há falhas graves que recomendam correção.</w:t>
            </w:r>
          </w:p>
        </w:tc>
      </w:tr>
    </w:tbl>
    <w:p>
      <w:pPr>
        <w:spacing w:before="160" w:after="0" w:line="276" w:lineRule="auto"/>
        <w:ind w:firstLine="0"/>
        <w:jc w:val="left"/>
      </w:pPr>
      <w:r>
        <w:rPr>
          <w:b/>
          <w:i w:val="0"/>
          <w:color w:val="1F7A8C"/>
          <w:sz w:val="15"/>
        </w:rPr>
        <w:t xml:space="preserve">PARECER OPINATIVO  </w:t>
      </w:r>
      <w:r>
        <w:rPr>
          <w:b w:val="0"/>
          <w:i w:val="0"/>
          <w:color w:val="1E2A32"/>
          <w:sz w:val="18"/>
        </w:rPr>
        <w:t>As recomendações não vinculam o destinatário; a decisão final é sempre de quem recebe este parecer.</w:t>
      </w:r>
    </w:p>
    <w:p>
      <w:pPr>
        <w:spacing w:before="1200" w:after="0" w:line="276" w:lineRule="auto"/>
        <w:ind w:firstLine="0"/>
        <w:jc w:val="center"/>
      </w:pPr>
      <w:r>
        <w:rPr>
          <w:b/>
          <w:i w:val="0"/>
          <w:sz w:val="22"/>
        </w:rPr>
        <w:t>Maricá – RJ</w:t>
      </w:r>
    </w:p>
    <w:p>
      <w:pPr>
        <w:spacing w:before="0" w:after="0" w:line="276" w:lineRule="auto"/>
        <w:ind w:firstLine="0"/>
        <w:jc w:val="center"/>
      </w:pPr>
      <w:r>
        <w:rPr>
          <w:b/>
          <w:i w:val="0"/>
          <w:sz w:val="22"/>
        </w:rPr>
        <w:t>2026</w:t>
      </w:r>
    </w:p>
    <w:p>
      <w:r>
        <w:br w:type="page"/>
      </w:r>
    </w:p>
    <w:p>
      <w:pPr>
        <w:pStyle w:val="Heading1"/>
        <w:keepNext/>
        <w:spacing w:before="360" w:after="160" w:line="360" w:lineRule="auto"/>
        <w:ind w:firstLine="0"/>
        <w:jc w:val="left"/>
      </w:pPr>
      <w:r>
        <w:rPr>
          <w:rFonts w:ascii="Arial" w:hAnsi="Arial"/>
          <w:b/>
          <w:i w:val="0"/>
          <w:color w:val="12324A"/>
          <w:sz w:val="24"/>
        </w:rPr>
        <w:t>SUMÁRIO</w:t>
      </w:r>
    </w:p>
    <w:p>
      <w:pPr>
        <w:tabs>
          <w:tab w:pos="9071" w:val="right" w:leader="dot"/>
        </w:tabs>
        <w:spacing w:before="0" w:after="0" w:line="360" w:lineRule="auto"/>
        <w:ind w:firstLine="0" w:left="0"/>
        <w:jc w:val="left"/>
      </w:pPr>
      <w:r>
        <w:rPr>
          <w:b/>
          <w:i w:val="0"/>
          <w:sz w:val="22"/>
        </w:rPr>
        <w:t>1 PAINEL EXECUTIVO</w:t>
      </w:r>
      <w:r>
        <w:rPr>
          <w:b/>
          <w:i w:val="0"/>
          <w:sz w:val="22"/>
        </w:rPr>
        <w:tab/>
        <w:t>4</w:t>
      </w:r>
    </w:p>
    <w:p>
      <w:pPr>
        <w:tabs>
          <w:tab w:pos="9071" w:val="right" w:leader="dot"/>
        </w:tabs>
        <w:spacing w:before="0" w:after="0" w:line="360" w:lineRule="auto"/>
        <w:ind w:firstLine="0" w:left="0"/>
        <w:jc w:val="left"/>
      </w:pPr>
      <w:r>
        <w:rPr>
          <w:b/>
          <w:i w:val="0"/>
          <w:sz w:val="22"/>
        </w:rPr>
        <w:t>2 RELATÓRIO</w:t>
      </w:r>
      <w:r>
        <w:rPr>
          <w:b/>
          <w:i w:val="0"/>
          <w:sz w:val="22"/>
        </w:rPr>
        <w:tab/>
        <w:t>7</w:t>
      </w:r>
    </w:p>
    <w:p>
      <w:pPr>
        <w:tabs>
          <w:tab w:pos="9071" w:val="right" w:leader="dot"/>
        </w:tabs>
        <w:spacing w:before="0" w:after="0" w:line="360" w:lineRule="auto"/>
        <w:ind w:firstLine="0" w:left="0"/>
        <w:jc w:val="left"/>
      </w:pPr>
      <w:r>
        <w:rPr>
          <w:b/>
          <w:i w:val="0"/>
          <w:sz w:val="22"/>
        </w:rPr>
        <w:t>3 FUNDAMENTAÇÃO</w:t>
      </w:r>
      <w:r>
        <w:rPr>
          <w:b/>
          <w:i w:val="0"/>
          <w:sz w:val="22"/>
        </w:rPr>
        <w:tab/>
        <w:t>8</w:t>
      </w:r>
    </w:p>
    <w:p>
      <w:pPr>
        <w:tabs>
          <w:tab w:pos="9071" w:val="right" w:leader="dot"/>
        </w:tabs>
        <w:spacing w:before="0" w:after="0" w:line="360" w:lineRule="auto"/>
        <w:ind w:firstLine="0" w:left="340"/>
        <w:jc w:val="left"/>
      </w:pPr>
      <w:r>
        <w:rPr>
          <w:b w:val="0"/>
          <w:i w:val="0"/>
          <w:sz w:val="21"/>
        </w:rPr>
        <w:t>3.1 Prazo mínimo para apresentação de propostas</w:t>
      </w:r>
      <w:r>
        <w:rPr>
          <w:b w:val="0"/>
          <w:i w:val="0"/>
          <w:sz w:val="21"/>
        </w:rPr>
        <w:tab/>
        <w:t>8</w:t>
      </w:r>
    </w:p>
    <w:p>
      <w:pPr>
        <w:tabs>
          <w:tab w:pos="9071" w:val="right" w:leader="dot"/>
        </w:tabs>
        <w:spacing w:before="0" w:after="0" w:line="360" w:lineRule="auto"/>
        <w:ind w:firstLine="0" w:left="340"/>
        <w:jc w:val="left"/>
      </w:pPr>
      <w:r>
        <w:rPr>
          <w:b w:val="0"/>
          <w:i w:val="0"/>
          <w:sz w:val="21"/>
        </w:rPr>
        <w:t>3.2 Qualificação técnica proporcional</w:t>
      </w:r>
      <w:r>
        <w:rPr>
          <w:b w:val="0"/>
          <w:i w:val="0"/>
          <w:sz w:val="21"/>
        </w:rPr>
        <w:tab/>
        <w:t>10</w:t>
      </w:r>
    </w:p>
    <w:p>
      <w:pPr>
        <w:tabs>
          <w:tab w:pos="9071" w:val="right" w:leader="dot"/>
        </w:tabs>
        <w:spacing w:before="0" w:after="0" w:line="360" w:lineRule="auto"/>
        <w:ind w:firstLine="0" w:left="340"/>
        <w:jc w:val="left"/>
      </w:pPr>
      <w:r>
        <w:rPr>
          <w:b w:val="0"/>
          <w:i w:val="0"/>
          <w:sz w:val="21"/>
        </w:rPr>
        <w:t>3.3 Registro de preços: julgamento por lote (grupo de itens)</w:t>
      </w:r>
      <w:r>
        <w:rPr>
          <w:b w:val="0"/>
          <w:i w:val="0"/>
          <w:sz w:val="21"/>
        </w:rPr>
        <w:tab/>
        <w:t>11</w:t>
      </w:r>
    </w:p>
    <w:p>
      <w:pPr>
        <w:tabs>
          <w:tab w:pos="9071" w:val="right" w:leader="dot"/>
        </w:tabs>
        <w:spacing w:before="0" w:after="0" w:line="360" w:lineRule="auto"/>
        <w:ind w:firstLine="0" w:left="340"/>
        <w:jc w:val="left"/>
      </w:pPr>
      <w:r>
        <w:rPr>
          <w:b w:val="0"/>
          <w:i w:val="0"/>
          <w:sz w:val="21"/>
        </w:rPr>
        <w:t>3.4 Prova de conceito inserida na habilitação e com exigência de aplicativo já publicado nas lojas</w:t>
      </w:r>
      <w:r>
        <w:rPr>
          <w:b w:val="0"/>
          <w:i w:val="0"/>
          <w:sz w:val="21"/>
        </w:rPr>
        <w:tab/>
        <w:t>13</w:t>
      </w:r>
    </w:p>
    <w:p>
      <w:pPr>
        <w:tabs>
          <w:tab w:pos="9071" w:val="right" w:leader="dot"/>
        </w:tabs>
        <w:spacing w:before="0" w:after="0" w:line="360" w:lineRule="auto"/>
        <w:ind w:firstLine="0" w:left="340"/>
        <w:jc w:val="left"/>
      </w:pPr>
      <w:r>
        <w:rPr>
          <w:b w:val="0"/>
          <w:i w:val="0"/>
          <w:sz w:val="21"/>
        </w:rPr>
        <w:t>3.5 Conferência aritmética da planilha</w:t>
      </w:r>
      <w:r>
        <w:rPr>
          <w:b w:val="0"/>
          <w:i w:val="0"/>
          <w:sz w:val="21"/>
        </w:rPr>
        <w:tab/>
        <w:t>14</w:t>
      </w:r>
    </w:p>
    <w:p>
      <w:pPr>
        <w:tabs>
          <w:tab w:pos="9071" w:val="right" w:leader="dot"/>
        </w:tabs>
        <w:spacing w:before="0" w:after="0" w:line="360" w:lineRule="auto"/>
        <w:ind w:firstLine="0" w:left="340"/>
        <w:jc w:val="left"/>
      </w:pPr>
      <w:r>
        <w:rPr>
          <w:b w:val="0"/>
          <w:i w:val="0"/>
          <w:sz w:val="21"/>
        </w:rPr>
        <w:t>3.6 Índice de reajuste com data-base no orçamento</w:t>
      </w:r>
      <w:r>
        <w:rPr>
          <w:b w:val="0"/>
          <w:i w:val="0"/>
          <w:sz w:val="21"/>
        </w:rPr>
        <w:tab/>
        <w:t>15</w:t>
      </w:r>
    </w:p>
    <w:p>
      <w:pPr>
        <w:tabs>
          <w:tab w:pos="9071" w:val="right" w:leader="dot"/>
        </w:tabs>
        <w:spacing w:before="0" w:after="0" w:line="360" w:lineRule="auto"/>
        <w:ind w:firstLine="0" w:left="340"/>
        <w:jc w:val="left"/>
      </w:pPr>
      <w:r>
        <w:rPr>
          <w:b w:val="0"/>
          <w:i w:val="0"/>
          <w:sz w:val="21"/>
        </w:rPr>
        <w:t>3.7 Garantia de proposta e garantia contratual</w:t>
      </w:r>
      <w:r>
        <w:rPr>
          <w:b w:val="0"/>
          <w:i w:val="0"/>
          <w:sz w:val="21"/>
        </w:rPr>
        <w:tab/>
        <w:t>16</w:t>
      </w:r>
    </w:p>
    <w:p>
      <w:pPr>
        <w:tabs>
          <w:tab w:pos="9071" w:val="right" w:leader="dot"/>
        </w:tabs>
        <w:spacing w:before="0" w:after="0" w:line="360" w:lineRule="auto"/>
        <w:ind w:firstLine="0" w:left="340"/>
        <w:jc w:val="left"/>
      </w:pPr>
      <w:r>
        <w:rPr>
          <w:b w:val="0"/>
          <w:i w:val="0"/>
          <w:sz w:val="21"/>
        </w:rPr>
        <w:t>3.8 Minuta de contrato como anexo e cláusulas necessárias</w:t>
      </w:r>
      <w:r>
        <w:rPr>
          <w:b w:val="0"/>
          <w:i w:val="0"/>
          <w:sz w:val="21"/>
        </w:rPr>
        <w:tab/>
        <w:t>17</w:t>
      </w:r>
    </w:p>
    <w:p>
      <w:pPr>
        <w:tabs>
          <w:tab w:pos="9071" w:val="right" w:leader="dot"/>
        </w:tabs>
        <w:spacing w:before="0" w:after="0" w:line="360" w:lineRule="auto"/>
        <w:ind w:firstLine="0" w:left="340"/>
        <w:jc w:val="left"/>
      </w:pPr>
      <w:r>
        <w:rPr>
          <w:b w:val="0"/>
          <w:i w:val="0"/>
          <w:sz w:val="21"/>
        </w:rPr>
        <w:t>3.9 Registro de preços: quantidades e vigência da ata</w:t>
      </w:r>
      <w:r>
        <w:rPr>
          <w:b w:val="0"/>
          <w:i w:val="0"/>
          <w:sz w:val="21"/>
        </w:rPr>
        <w:tab/>
        <w:t>19</w:t>
      </w:r>
    </w:p>
    <w:p>
      <w:pPr>
        <w:tabs>
          <w:tab w:pos="9071" w:val="right" w:leader="dot"/>
        </w:tabs>
        <w:spacing w:before="0" w:after="0" w:line="360" w:lineRule="auto"/>
        <w:ind w:firstLine="0" w:left="340"/>
        <w:jc w:val="left"/>
      </w:pPr>
      <w:r>
        <w:rPr>
          <w:b w:val="0"/>
          <w:i w:val="0"/>
          <w:sz w:val="21"/>
        </w:rPr>
        <w:t>3.10 Coerência interna do edital e dos anexos</w:t>
      </w:r>
      <w:r>
        <w:rPr>
          <w:b w:val="0"/>
          <w:i w:val="0"/>
          <w:sz w:val="21"/>
        </w:rPr>
        <w:tab/>
        <w:t>20</w:t>
      </w:r>
    </w:p>
    <w:p>
      <w:pPr>
        <w:tabs>
          <w:tab w:pos="9071" w:val="right" w:leader="dot"/>
        </w:tabs>
        <w:spacing w:before="0" w:after="0" w:line="360" w:lineRule="auto"/>
        <w:ind w:firstLine="0" w:left="340"/>
        <w:jc w:val="left"/>
      </w:pPr>
      <w:r>
        <w:rPr>
          <w:b w:val="0"/>
          <w:i w:val="0"/>
          <w:sz w:val="21"/>
        </w:rPr>
        <w:t>3.11 Orçamento estimado sem pesquisa de preços visível e valores unitários a esclarecer</w:t>
      </w:r>
      <w:r>
        <w:rPr>
          <w:b w:val="0"/>
          <w:i w:val="0"/>
          <w:sz w:val="21"/>
        </w:rPr>
        <w:tab/>
        <w:t>21</w:t>
      </w:r>
    </w:p>
    <w:p>
      <w:pPr>
        <w:tabs>
          <w:tab w:pos="9071" w:val="right" w:leader="dot"/>
        </w:tabs>
        <w:spacing w:before="0" w:after="0" w:line="360" w:lineRule="auto"/>
        <w:ind w:firstLine="0" w:left="340"/>
        <w:jc w:val="left"/>
      </w:pPr>
      <w:r>
        <w:rPr>
          <w:b w:val="0"/>
          <w:i w:val="0"/>
          <w:sz w:val="21"/>
        </w:rPr>
        <w:t>3.12 Quantitativo de 145.000 licenças e pagamento fixo mensal desvinculado da efetiva utilização</w:t>
      </w:r>
      <w:r>
        <w:rPr>
          <w:b w:val="0"/>
          <w:i w:val="0"/>
          <w:sz w:val="21"/>
        </w:rPr>
        <w:tab/>
        <w:t>22</w:t>
      </w:r>
    </w:p>
    <w:p>
      <w:pPr>
        <w:tabs>
          <w:tab w:pos="9071" w:val="right" w:leader="dot"/>
        </w:tabs>
        <w:spacing w:before="0" w:after="0" w:line="360" w:lineRule="auto"/>
        <w:ind w:firstLine="0" w:left="340"/>
        <w:jc w:val="left"/>
      </w:pPr>
      <w:r>
        <w:rPr>
          <w:b w:val="0"/>
          <w:i w:val="0"/>
          <w:sz w:val="21"/>
        </w:rPr>
        <w:t>3.13 Vedação de participação ampla demais de servidores do Município (item 8.11)</w:t>
      </w:r>
      <w:r>
        <w:rPr>
          <w:b w:val="0"/>
          <w:i w:val="0"/>
          <w:sz w:val="21"/>
        </w:rPr>
        <w:tab/>
        <w:t>23</w:t>
      </w:r>
    </w:p>
    <w:p>
      <w:pPr>
        <w:tabs>
          <w:tab w:pos="9071" w:val="right" w:leader="dot"/>
        </w:tabs>
        <w:spacing w:before="0" w:after="0" w:line="360" w:lineRule="auto"/>
        <w:ind w:firstLine="0" w:left="340"/>
        <w:jc w:val="left"/>
      </w:pPr>
      <w:r>
        <w:rPr>
          <w:b w:val="0"/>
          <w:i w:val="0"/>
          <w:sz w:val="21"/>
        </w:rPr>
        <w:t>3.14 Inabilitação do licitante por indisponibilidade dos meios de consulta da Administração</w:t>
      </w:r>
      <w:r>
        <w:rPr>
          <w:b w:val="0"/>
          <w:i w:val="0"/>
          <w:sz w:val="21"/>
        </w:rPr>
        <w:tab/>
        <w:t>24</w:t>
      </w:r>
    </w:p>
    <w:p>
      <w:pPr>
        <w:tabs>
          <w:tab w:pos="9071" w:val="right" w:leader="dot"/>
        </w:tabs>
        <w:spacing w:before="0" w:after="0" w:line="360" w:lineRule="auto"/>
        <w:ind w:firstLine="0" w:left="340"/>
        <w:jc w:val="left"/>
      </w:pPr>
      <w:r>
        <w:rPr>
          <w:b w:val="0"/>
          <w:i w:val="0"/>
          <w:sz w:val="21"/>
        </w:rPr>
        <w:t>3.15 Critério de reajuste em serviços contínuos</w:t>
      </w:r>
      <w:r>
        <w:rPr>
          <w:b w:val="0"/>
          <w:i w:val="0"/>
          <w:sz w:val="21"/>
        </w:rPr>
        <w:tab/>
        <w:t>25</w:t>
      </w:r>
    </w:p>
    <w:p>
      <w:pPr>
        <w:tabs>
          <w:tab w:pos="9071" w:val="right" w:leader="dot"/>
        </w:tabs>
        <w:spacing w:before="0" w:after="0" w:line="360" w:lineRule="auto"/>
        <w:ind w:firstLine="0" w:left="340"/>
        <w:jc w:val="left"/>
      </w:pPr>
      <w:r>
        <w:rPr>
          <w:b w:val="0"/>
          <w:i w:val="0"/>
          <w:sz w:val="21"/>
        </w:rPr>
        <w:t>3.16 Qualificação econômico-financeira</w:t>
      </w:r>
      <w:r>
        <w:rPr>
          <w:b w:val="0"/>
          <w:i w:val="0"/>
          <w:sz w:val="21"/>
        </w:rPr>
        <w:tab/>
        <w:t>27</w:t>
      </w:r>
    </w:p>
    <w:p>
      <w:pPr>
        <w:tabs>
          <w:tab w:pos="9071" w:val="right" w:leader="dot"/>
        </w:tabs>
        <w:spacing w:before="0" w:after="0" w:line="360" w:lineRule="auto"/>
        <w:ind w:firstLine="0" w:left="340"/>
        <w:jc w:val="left"/>
      </w:pPr>
      <w:r>
        <w:rPr>
          <w:b w:val="0"/>
          <w:i w:val="0"/>
          <w:sz w:val="21"/>
        </w:rPr>
        <w:t>3.17 Tratamento diferenciado a ME e EPP</w:t>
      </w:r>
      <w:r>
        <w:rPr>
          <w:b w:val="0"/>
          <w:i w:val="0"/>
          <w:sz w:val="21"/>
        </w:rPr>
        <w:tab/>
        <w:t>28</w:t>
      </w:r>
    </w:p>
    <w:p>
      <w:pPr>
        <w:tabs>
          <w:tab w:pos="9071" w:val="right" w:leader="dot"/>
        </w:tabs>
        <w:spacing w:before="0" w:after="0" w:line="360" w:lineRule="auto"/>
        <w:ind w:firstLine="0" w:left="340"/>
        <w:jc w:val="left"/>
      </w:pPr>
      <w:r>
        <w:rPr>
          <w:b w:val="0"/>
          <w:i w:val="0"/>
          <w:sz w:val="21"/>
        </w:rPr>
        <w:t>3.18 Impugnação e esclarecimentos</w:t>
      </w:r>
      <w:r>
        <w:rPr>
          <w:b w:val="0"/>
          <w:i w:val="0"/>
          <w:sz w:val="21"/>
        </w:rPr>
        <w:tab/>
        <w:t>29</w:t>
      </w:r>
    </w:p>
    <w:p>
      <w:pPr>
        <w:tabs>
          <w:tab w:pos="9071" w:val="right" w:leader="dot"/>
        </w:tabs>
        <w:spacing w:before="0" w:after="0" w:line="360" w:lineRule="auto"/>
        <w:ind w:firstLine="0" w:left="340"/>
        <w:jc w:val="left"/>
      </w:pPr>
      <w:r>
        <w:rPr>
          <w:b w:val="0"/>
          <w:i w:val="0"/>
          <w:sz w:val="21"/>
        </w:rPr>
        <w:t>3.19 Vigência e prorrogação de serviços contínuos</w:t>
      </w:r>
      <w:r>
        <w:rPr>
          <w:b w:val="0"/>
          <w:i w:val="0"/>
          <w:sz w:val="21"/>
        </w:rPr>
        <w:tab/>
        <w:t>30</w:t>
      </w:r>
    </w:p>
    <w:p>
      <w:pPr>
        <w:tabs>
          <w:tab w:pos="9071" w:val="right" w:leader="dot"/>
        </w:tabs>
        <w:spacing w:before="0" w:after="0" w:line="360" w:lineRule="auto"/>
        <w:ind w:firstLine="0" w:left="340"/>
        <w:jc w:val="left"/>
      </w:pPr>
      <w:r>
        <w:rPr>
          <w:b w:val="0"/>
          <w:i w:val="0"/>
          <w:sz w:val="21"/>
        </w:rPr>
        <w:t>3.20 Registro de preços: quem pode aderir à ata</w:t>
      </w:r>
      <w:r>
        <w:rPr>
          <w:b w:val="0"/>
          <w:i w:val="0"/>
          <w:sz w:val="21"/>
        </w:rPr>
        <w:tab/>
        <w:t>31</w:t>
      </w:r>
    </w:p>
    <w:p>
      <w:pPr>
        <w:tabs>
          <w:tab w:pos="9071" w:val="right" w:leader="dot"/>
        </w:tabs>
        <w:spacing w:before="0" w:after="0" w:line="360" w:lineRule="auto"/>
        <w:ind w:firstLine="0" w:left="340"/>
        <w:jc w:val="left"/>
      </w:pPr>
      <w:r>
        <w:rPr>
          <w:b w:val="0"/>
          <w:i w:val="0"/>
          <w:sz w:val="21"/>
        </w:rPr>
        <w:t>3.21 Registro de preços: regras obrigatórias do edital</w:t>
      </w:r>
      <w:r>
        <w:rPr>
          <w:b w:val="0"/>
          <w:i w:val="0"/>
          <w:sz w:val="21"/>
        </w:rPr>
        <w:tab/>
        <w:t>32</w:t>
      </w:r>
    </w:p>
    <w:p>
      <w:pPr>
        <w:tabs>
          <w:tab w:pos="9071" w:val="right" w:leader="dot"/>
        </w:tabs>
        <w:spacing w:before="0" w:after="0" w:line="360" w:lineRule="auto"/>
        <w:ind w:firstLine="0" w:left="340"/>
        <w:jc w:val="left"/>
      </w:pPr>
      <w:r>
        <w:rPr>
          <w:b w:val="0"/>
          <w:i w:val="0"/>
          <w:sz w:val="21"/>
        </w:rPr>
        <w:t>3.22 Publicação do contrato no PNCP às expensas da contratada</w:t>
      </w:r>
      <w:r>
        <w:rPr>
          <w:b w:val="0"/>
          <w:i w:val="0"/>
          <w:sz w:val="21"/>
        </w:rPr>
        <w:tab/>
        <w:t>34</w:t>
      </w:r>
    </w:p>
    <w:p>
      <w:pPr>
        <w:tabs>
          <w:tab w:pos="9071" w:val="right" w:leader="dot"/>
        </w:tabs>
        <w:spacing w:before="0" w:after="0" w:line="360" w:lineRule="auto"/>
        <w:ind w:firstLine="0" w:left="340"/>
        <w:jc w:val="left"/>
      </w:pPr>
      <w:r>
        <w:rPr>
          <w:b w:val="0"/>
          <w:i w:val="0"/>
          <w:sz w:val="21"/>
        </w:rPr>
        <w:t>3.23 Resíduos de modelo padrão sem pertinência com o objeto</w:t>
      </w:r>
      <w:r>
        <w:rPr>
          <w:b w:val="0"/>
          <w:i w:val="0"/>
          <w:sz w:val="21"/>
        </w:rPr>
        <w:tab/>
        <w:t>35</w:t>
      </w:r>
    </w:p>
    <w:p>
      <w:pPr>
        <w:tabs>
          <w:tab w:pos="9071" w:val="right" w:leader="dot"/>
        </w:tabs>
        <w:spacing w:before="0" w:after="0" w:line="360" w:lineRule="auto"/>
        <w:ind w:firstLine="0" w:left="340"/>
        <w:jc w:val="left"/>
      </w:pPr>
      <w:r>
        <w:rPr>
          <w:b w:val="0"/>
          <w:i w:val="0"/>
          <w:sz w:val="21"/>
        </w:rPr>
        <w:t>3.24 Exigência de via física original ou autenticada, firma reconhecida e cópia autenticada (trilha t-autenticacao)</w:t>
      </w:r>
      <w:r>
        <w:rPr>
          <w:b w:val="0"/>
          <w:i w:val="0"/>
          <w:sz w:val="21"/>
        </w:rPr>
        <w:tab/>
        <w:t>35</w:t>
      </w:r>
    </w:p>
    <w:p>
      <w:pPr>
        <w:tabs>
          <w:tab w:pos="9071" w:val="right" w:leader="dot"/>
        </w:tabs>
        <w:spacing w:before="0" w:after="0" w:line="360" w:lineRule="auto"/>
        <w:ind w:firstLine="0" w:left="0"/>
        <w:jc w:val="left"/>
      </w:pPr>
      <w:r>
        <w:rPr>
          <w:b/>
          <w:i w:val="0"/>
          <w:sz w:val="22"/>
        </w:rPr>
        <w:t>4 ANÁLISE DE PREÇOS</w:t>
      </w:r>
      <w:r>
        <w:rPr>
          <w:b/>
          <w:i w:val="0"/>
          <w:sz w:val="22"/>
        </w:rPr>
        <w:tab/>
        <w:t>36</w:t>
      </w:r>
    </w:p>
    <w:p>
      <w:pPr>
        <w:tabs>
          <w:tab w:pos="9071" w:val="right" w:leader="dot"/>
        </w:tabs>
        <w:spacing w:before="0" w:after="0" w:line="360" w:lineRule="auto"/>
        <w:ind w:firstLine="0" w:left="0"/>
        <w:jc w:val="left"/>
      </w:pPr>
      <w:r>
        <w:rPr>
          <w:b/>
          <w:i w:val="0"/>
          <w:sz w:val="22"/>
        </w:rPr>
        <w:t>5 RECOMENDAÇÕES DE MELHORIA</w:t>
      </w:r>
      <w:r>
        <w:rPr>
          <w:b/>
          <w:i w:val="0"/>
          <w:sz w:val="22"/>
        </w:rPr>
        <w:tab/>
        <w:t>37</w:t>
      </w:r>
    </w:p>
    <w:p>
      <w:pPr>
        <w:tabs>
          <w:tab w:pos="9071" w:val="right" w:leader="dot"/>
        </w:tabs>
        <w:spacing w:before="0" w:after="0" w:line="360" w:lineRule="auto"/>
        <w:ind w:firstLine="0" w:left="0"/>
        <w:jc w:val="left"/>
      </w:pPr>
      <w:r>
        <w:rPr>
          <w:b/>
          <w:i w:val="0"/>
          <w:sz w:val="22"/>
        </w:rPr>
        <w:t>6 CONCLUSÃO</w:t>
      </w:r>
      <w:r>
        <w:rPr>
          <w:b/>
          <w:i w:val="0"/>
          <w:sz w:val="22"/>
        </w:rPr>
        <w:tab/>
        <w:t>38</w:t>
      </w:r>
    </w:p>
    <w:p>
      <w:pPr>
        <w:tabs>
          <w:tab w:pos="9071" w:val="right" w:leader="dot"/>
        </w:tabs>
        <w:spacing w:before="0" w:after="0" w:line="360" w:lineRule="auto"/>
        <w:ind w:firstLine="0" w:left="0"/>
        <w:jc w:val="left"/>
      </w:pPr>
      <w:r>
        <w:rPr>
          <w:b/>
          <w:i w:val="0"/>
          <w:sz w:val="22"/>
        </w:rPr>
        <w:t>REFERÊNCIAS</w:t>
      </w:r>
      <w:r>
        <w:rPr>
          <w:b/>
          <w:i w:val="0"/>
          <w:sz w:val="22"/>
        </w:rPr>
        <w:tab/>
        <w:t>44</w:t>
      </w:r>
    </w:p>
    <w:p>
      <w:pPr>
        <w:tabs>
          <w:tab w:pos="9071" w:val="right" w:leader="dot"/>
        </w:tabs>
        <w:spacing w:before="0" w:after="0" w:line="360" w:lineRule="auto"/>
        <w:ind w:firstLine="0" w:left="0"/>
        <w:jc w:val="left"/>
      </w:pPr>
      <w:r>
        <w:rPr>
          <w:b/>
          <w:i w:val="0"/>
          <w:sz w:val="22"/>
        </w:rPr>
        <w:t>APÊNDICE A – LISTA DE VERIFICAÇÃO</w:t>
      </w:r>
      <w:r>
        <w:rPr>
          <w:b/>
          <w:i w:val="0"/>
          <w:sz w:val="22"/>
        </w:rPr>
        <w:tab/>
        <w:t>45</w:t>
      </w:r>
    </w:p>
    <w:p>
      <w:pPr>
        <w:tabs>
          <w:tab w:pos="9071" w:val="right" w:leader="dot"/>
        </w:tabs>
        <w:spacing w:before="0" w:after="0" w:line="360" w:lineRule="auto"/>
        <w:ind w:firstLine="0" w:left="0"/>
        <w:jc w:val="left"/>
      </w:pPr>
      <w:r>
        <w:rPr>
          <w:b/>
          <w:i w:val="0"/>
          <w:sz w:val="22"/>
        </w:rPr>
        <w:t>APÊNDICE B – METODOLOGIA E LIMITES</w:t>
      </w:r>
      <w:r>
        <w:rPr>
          <w:b/>
          <w:i w:val="0"/>
          <w:sz w:val="22"/>
        </w:rPr>
        <w:tab/>
        <w:t>46</w:t>
      </w:r>
    </w:p>
    <w:p>
      <w:r>
        <w:br w:type="page"/>
      </w:r>
    </w:p>
    <w:p>
      <w:pPr>
        <w:pStyle w:val="Heading1"/>
        <w:keepNext/>
        <w:spacing w:before="360" w:after="160" w:line="360" w:lineRule="auto"/>
        <w:ind w:firstLine="0"/>
        <w:jc w:val="left"/>
      </w:pPr>
      <w:r>
        <w:rPr>
          <w:rFonts w:ascii="Arial" w:hAnsi="Arial"/>
          <w:b/>
          <w:i w:val="0"/>
          <w:color w:val="12324A"/>
          <w:sz w:val="24"/>
        </w:rPr>
        <w:t>1 PAINEL EXECUTIVO</w:t>
      </w:r>
    </w:p>
    <w:p>
      <w:pPr>
        <w:spacing w:before="0" w:after="160" w:line="360" w:lineRule="auto"/>
        <w:ind w:firstLine="0"/>
        <w:jc w:val="both"/>
      </w:pPr>
      <w:r>
        <w:rPr>
          <w:b w:val="0"/>
          <w:i/>
          <w:color w:val="66757F"/>
          <w:sz w:val="20"/>
        </w:rPr>
        <w:t>Visão geral do resultado. O detalhamento, com o texto legal e os precedentes, está na seção 3.</w:t>
      </w:r>
    </w:p>
    <w:tbl>
      <w:tblPr>
        <w:tblW w:type="auto" w:w="0"/>
        <w:jc w:val="center"/>
        <w:tblLook w:firstColumn="1" w:firstRow="1" w:lastColumn="0" w:lastRow="0" w:noHBand="0" w:noVBand="1" w:val="04A0"/>
        <w:tblLayout w:type="fixed"/>
      </w:tblPr>
      <w:tblGrid>
        <w:gridCol w:w="2012"/>
        <w:gridCol w:w="340"/>
        <w:gridCol w:w="2012"/>
        <w:gridCol w:w="340"/>
        <w:gridCol w:w="2012"/>
        <w:gridCol w:w="340"/>
        <w:gridCol w:w="2012"/>
      </w:tblGrid>
      <w:tr>
        <w:tc>
          <w:tcPr>
            <w:tcW w:type="dxa" w:w="2013"/>
            <w:tcBorders>
              <w:top w:val="nil"/>
              <w:left w:val="nil"/>
              <w:bottom w:val="nil"/>
              <w:right w:val="nil"/>
              <w:top w:val="single" w:sz="24" w:color="B23A48" w:space="0"/>
              <w:left w:val="nil"/>
              <w:bottom w:val="nil"/>
              <w:right w:val="nil"/>
            </w:tcBorders>
            <w:shd w:val="clear" w:color="auto" w:fill="F8E6E8"/>
            <w:tcMar>
              <w:top w:w="113" w:type="dxa"/>
              <w:left w:w="113" w:type="dxa"/>
              <w:bottom w:w="113" w:type="dxa"/>
              <w:right w:w="113" w:type="dxa"/>
            </w:tcMar>
          </w:tcPr>
          <w:p>
            <w:pPr>
              <w:spacing w:before="0" w:after="0" w:line="240" w:lineRule="auto"/>
              <w:ind w:firstLine="0"/>
              <w:jc w:val="left"/>
            </w:pPr>
            <w:r>
              <w:rPr>
                <w:b/>
                <w:i w:val="0"/>
                <w:color w:val="B23A48"/>
                <w:sz w:val="48"/>
              </w:rPr>
              <w:t>4</w:t>
            </w:r>
          </w:p>
          <w:p>
            <w:pPr>
              <w:spacing w:before="0" w:after="40" w:line="240" w:lineRule="auto"/>
              <w:ind w:firstLine="0"/>
              <w:jc w:val="left"/>
            </w:pPr>
            <w:r>
              <w:rPr>
                <w:b/>
                <w:i w:val="0"/>
                <w:color w:val="1E2A32"/>
                <w:sz w:val="14"/>
              </w:rPr>
              <w:t>GRAVIDADE ALTA</w:t>
            </w:r>
          </w:p>
        </w:tc>
        <w:tc>
          <w:tcPr>
            <w:tcW w:type="dxa" w:w="340"/>
            <w:tcBorders>
              <w:top w:val="nil"/>
              <w:left w:val="nil"/>
              <w:bottom w:val="nil"/>
              <w:right w:val="nil"/>
            </w:tcBorders>
          </w:tcPr>
          <w:p/>
        </w:tc>
        <w:tc>
          <w:tcPr>
            <w:tcW w:type="dxa" w:w="2013"/>
            <w:tcBorders>
              <w:top w:val="nil"/>
              <w:left w:val="nil"/>
              <w:bottom w:val="nil"/>
              <w:right w:val="nil"/>
              <w:top w:val="single" w:sz="24" w:color="C9781E" w:space="0"/>
              <w:left w:val="nil"/>
              <w:bottom w:val="nil"/>
              <w:right w:val="nil"/>
            </w:tcBorders>
            <w:shd w:val="clear" w:color="auto" w:fill="FBEEDD"/>
            <w:tcMar>
              <w:top w:w="113" w:type="dxa"/>
              <w:left w:w="113" w:type="dxa"/>
              <w:bottom w:w="113" w:type="dxa"/>
              <w:right w:w="113" w:type="dxa"/>
            </w:tcMar>
          </w:tcPr>
          <w:p>
            <w:pPr>
              <w:spacing w:before="0" w:after="0" w:line="240" w:lineRule="auto"/>
              <w:ind w:firstLine="0"/>
              <w:jc w:val="left"/>
            </w:pPr>
            <w:r>
              <w:rPr>
                <w:b/>
                <w:i w:val="0"/>
                <w:color w:val="C9781E"/>
                <w:sz w:val="48"/>
              </w:rPr>
              <w:t>10</w:t>
            </w:r>
          </w:p>
          <w:p>
            <w:pPr>
              <w:spacing w:before="0" w:after="40" w:line="240" w:lineRule="auto"/>
              <w:ind w:firstLine="0"/>
              <w:jc w:val="left"/>
            </w:pPr>
            <w:r>
              <w:rPr>
                <w:b/>
                <w:i w:val="0"/>
                <w:color w:val="1E2A32"/>
                <w:sz w:val="14"/>
              </w:rPr>
              <w:t>GRAVIDADE MÉDIA</w:t>
            </w:r>
          </w:p>
        </w:tc>
        <w:tc>
          <w:tcPr>
            <w:tcW w:type="dxa" w:w="340"/>
            <w:tcBorders>
              <w:top w:val="nil"/>
              <w:left w:val="nil"/>
              <w:bottom w:val="nil"/>
              <w:right w:val="nil"/>
            </w:tcBorders>
          </w:tcPr>
          <w:p/>
        </w:tc>
        <w:tc>
          <w:tcPr>
            <w:tcW w:type="dxa" w:w="2013"/>
            <w:tcBorders>
              <w:top w:val="nil"/>
              <w:left w:val="nil"/>
              <w:bottom w:val="nil"/>
              <w:right w:val="nil"/>
              <w:top w:val="single" w:sz="24" w:color="3D8FA6" w:space="0"/>
              <w:left w:val="nil"/>
              <w:bottom w:val="nil"/>
              <w:right w:val="nil"/>
            </w:tcBorders>
            <w:shd w:val="clear" w:color="auto" w:fill="E3F1F5"/>
            <w:tcMar>
              <w:top w:w="113" w:type="dxa"/>
              <w:left w:w="113" w:type="dxa"/>
              <w:bottom w:w="113" w:type="dxa"/>
              <w:right w:w="113" w:type="dxa"/>
            </w:tcMar>
          </w:tcPr>
          <w:p>
            <w:pPr>
              <w:spacing w:before="0" w:after="0" w:line="240" w:lineRule="auto"/>
              <w:ind w:firstLine="0"/>
              <w:jc w:val="left"/>
            </w:pPr>
            <w:r>
              <w:rPr>
                <w:b/>
                <w:i w:val="0"/>
                <w:color w:val="3D8FA6"/>
                <w:sz w:val="48"/>
              </w:rPr>
              <w:t>10</w:t>
            </w:r>
          </w:p>
          <w:p>
            <w:pPr>
              <w:spacing w:before="0" w:after="40" w:line="240" w:lineRule="auto"/>
              <w:ind w:firstLine="0"/>
              <w:jc w:val="left"/>
            </w:pPr>
            <w:r>
              <w:rPr>
                <w:b/>
                <w:i w:val="0"/>
                <w:color w:val="1E2A32"/>
                <w:sz w:val="14"/>
              </w:rPr>
              <w:t>GRAVIDADE BAIXA</w:t>
            </w:r>
          </w:p>
        </w:tc>
        <w:tc>
          <w:tcPr>
            <w:tcW w:type="dxa" w:w="340"/>
            <w:tcBorders>
              <w:top w:val="nil"/>
              <w:left w:val="nil"/>
              <w:bottom w:val="nil"/>
              <w:right w:val="nil"/>
            </w:tcBorders>
          </w:tcPr>
          <w:p/>
        </w:tc>
        <w:tc>
          <w:tcPr>
            <w:tcW w:type="dxa" w:w="2013"/>
            <w:tcBorders>
              <w:top w:val="nil"/>
              <w:left w:val="nil"/>
              <w:bottom w:val="nil"/>
              <w:right w:val="nil"/>
              <w:top w:val="single" w:sz="24" w:color="2E8B57" w:space="0"/>
              <w:left w:val="nil"/>
              <w:bottom w:val="nil"/>
              <w:right w:val="nil"/>
            </w:tcBorders>
            <w:shd w:val="clear" w:color="auto" w:fill="E3F2EA"/>
            <w:tcMar>
              <w:top w:w="113" w:type="dxa"/>
              <w:left w:w="113" w:type="dxa"/>
              <w:bottom w:w="113" w:type="dxa"/>
              <w:right w:w="113" w:type="dxa"/>
            </w:tcMar>
          </w:tcPr>
          <w:p>
            <w:pPr>
              <w:spacing w:before="0" w:after="0" w:line="240" w:lineRule="auto"/>
              <w:ind w:firstLine="0"/>
              <w:jc w:val="left"/>
            </w:pPr>
            <w:r>
              <w:rPr>
                <w:b/>
                <w:i w:val="0"/>
                <w:color w:val="2E8B57"/>
                <w:sz w:val="48"/>
              </w:rPr>
              <w:t>4</w:t>
            </w:r>
          </w:p>
          <w:p>
            <w:pPr>
              <w:spacing w:before="0" w:after="40" w:line="240" w:lineRule="auto"/>
              <w:ind w:firstLine="0"/>
              <w:jc w:val="left"/>
            </w:pPr>
            <w:r>
              <w:rPr>
                <w:b/>
                <w:i w:val="0"/>
                <w:color w:val="1E2A32"/>
                <w:sz w:val="14"/>
              </w:rPr>
              <w:t>MELHORIAS</w:t>
            </w:r>
          </w:p>
        </w:tc>
      </w:tr>
    </w:tbl>
    <w:p>
      <w:pPr>
        <w:spacing w:before="0" w:after="80" w:line="240" w:lineRule="auto"/>
        <w:ind w:firstLine="0"/>
        <w:jc w:val="both"/>
      </w:pPr>
    </w:p>
    <w:p>
      <w:pPr>
        <w:spacing w:before="0" w:after="40" w:line="240" w:lineRule="auto"/>
        <w:ind w:firstLine="0"/>
        <w:jc w:val="center"/>
      </w:pPr>
      <w:r>
        <w:drawing>
          <wp:inline xmlns:a="http://schemas.openxmlformats.org/drawingml/2006/main" xmlns:pic="http://schemas.openxmlformats.org/drawingml/2006/picture">
            <wp:extent cx="5760000" cy="225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250000"/>
                    </a:xfrm>
                    <a:prstGeom prst="rect"/>
                  </pic:spPr>
                </pic:pic>
              </a:graphicData>
            </a:graphic>
          </wp:inline>
        </w:drawing>
      </w:r>
    </w:p>
    <w:p>
      <w:pPr>
        <w:spacing w:before="0" w:after="240" w:line="240" w:lineRule="auto"/>
        <w:ind w:firstLine="0"/>
        <w:jc w:val="left"/>
      </w:pPr>
      <w:r>
        <w:rPr>
          <w:b/>
          <w:i w:val="0"/>
          <w:color w:val="66757F"/>
          <w:sz w:val="15"/>
        </w:rPr>
        <w:t xml:space="preserve">Índice de conformidade: </w:t>
      </w:r>
      <w:r>
        <w:rPr>
          <w:b w:val="0"/>
          <w:i w:val="0"/>
          <w:color w:val="66757F"/>
          <w:sz w:val="15"/>
        </w:rPr>
        <w:t>itens conformes mais metade dos parcialmente conformes, divididos pelos itens aplicáveis e verificáveis. Indicador de leitura rápida; não substitui o exame de cada apontamento.</w:t>
      </w:r>
    </w:p>
    <w:p>
      <w:pPr>
        <w:spacing w:before="0" w:after="120" w:line="240" w:lineRule="auto"/>
        <w:ind w:firstLine="0"/>
        <w:jc w:val="both"/>
      </w:pPr>
      <w:r>
        <w:rPr>
          <w:b/>
          <w:i w:val="0"/>
          <w:color w:val="1F7A8C"/>
          <w:sz w:val="18"/>
        </w:rPr>
        <w:t>PRINCIPAIS ACHADOS</w:t>
      </w:r>
    </w:p>
    <w:tbl>
      <w:tblPr>
        <w:tblW w:type="auto" w:w="0"/>
        <w:jc w:val="center"/>
        <w:tblLook w:firstColumn="1" w:firstRow="1" w:lastColumn="0" w:lastRow="0" w:noHBand="0" w:noVBand="1" w:val="04A0"/>
        <w:tblLayout w:type="fixed"/>
      </w:tblPr>
      <w:tblGrid>
        <w:gridCol w:w="567"/>
        <w:gridCol w:w="4876"/>
        <w:gridCol w:w="1474"/>
        <w:gridCol w:w="2154"/>
      </w:tblGrid>
      <w:tr>
        <w:tc>
          <w:tcPr>
            <w:tcW w:type="dxa" w:w="567"/>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ITEM</w:t>
            </w:r>
          </w:p>
        </w:tc>
        <w:tc>
          <w:tcPr>
            <w:tcW w:type="dxa" w:w="4876"/>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ACHADO</w:t>
            </w:r>
          </w:p>
        </w:tc>
        <w:tc>
          <w:tcPr>
            <w:tcW w:type="dxa" w:w="147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GRAVIDADE</w:t>
            </w:r>
          </w:p>
        </w:tc>
        <w:tc>
          <w:tcPr>
            <w:tcW w:type="dxa" w:w="215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DISPOSITIVO</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Prazo mínimo para apresentação de propostas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55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Qualificação técnica proporcional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67,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Registro de preços: julgamento por lote (grupo de itens)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82,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Prova de conceito inserida na habilitação e com exigência de aplicativo já publicado nas lojas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9,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Conferência aritmética da planilha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18, inciso IV</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Índice de reajuste com data-base no orçamento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25, § 7º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Garantia de proposta e garantia contratual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58,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3.8</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Minuta de contrato como anexo e cláusulas necessárias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18, inciso VI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3.9</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Registro de preços: quantidades e vigência da ata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82,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3.10</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Coerência interna do edital e dos anexos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25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Orçamento estimado sem pesquisa de preços visível e valores unitários a esclarecer</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23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Quantitativo de 145.000 licenças e pagamento fixo mensal desvinculado da efetiva utilização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18, § 1º, inciso IV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Vedação de participação ampla demais de servidores do Município (item 8.11)</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9,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Inabilitação do licitante por indisponibilidade dos meios de consulta da Administração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12, inciso III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Critério de reajuste em serviços contínuos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25, § 8º,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Qualificação econômico-financeira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69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Tratamento diferenciado a ME e EPP</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3.18</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Impugnação e esclarecimentos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164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3.19</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Vigência e prorrogação de serviços contínuos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106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3.20</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Registro de preços: quem pode aderir à ata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86, § 3º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3.21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Registro de preços: regras obrigatórias do edital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82, inciso II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Publicação do contrato no PNCP às expensas da contratada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94</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3.23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Resíduos de modelo padrão sem pertinência com o objeto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25</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Exigência de via física original ou autenticada, firma reconhecida e cópia autenticada (trilha t-autenticacao)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12, inciso IV e outros</w:t>
            </w:r>
          </w:p>
        </w:tc>
      </w:tr>
    </w:tbl>
    <w:p>
      <w:r>
        <w:br w:type="page"/>
      </w:r>
    </w:p>
    <w:tbl>
      <w:tblPr>
        <w:tblW w:type="auto" w:w="0"/>
        <w:jc w:val="center"/>
        <w:tblLook w:firstColumn="1" w:firstRow="1" w:lastColumn="0" w:lastRow="0" w:noHBand="0" w:noVBand="1" w:val="04A0"/>
        <w:tblLayout w:type="fixed"/>
      </w:tblPr>
      <w:tblGrid>
        <w:gridCol w:w="1814"/>
        <w:gridCol w:w="7257"/>
      </w:tblGrid>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PARECER TÉCNICO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nº CE1E/2026</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INTERESSADO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Prefeitura Municipal de Maricá – Secretaria de Cultura e das Utopias</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ASSUNTO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Análise de conformidade — Registro de preços para contratação de empresa especializada em licenciamento de software com solução integrada (projeto Conexão Cultural e Educacional para Espaços Digitais). Inclui locação de salas modulares, tablets em comodato, internet, access points, servidor e 145.000 licenças.</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REFERÊNCIA</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Pregão Eletrônico nº 25/2025-SRP (Processo nº 10987/2025; PNCP 29131075000193-1-000382/2025)</w:t>
            </w:r>
          </w:p>
        </w:tc>
      </w:tr>
    </w:tbl>
    <w:p>
      <w:pPr>
        <w:spacing w:before="0" w:after="200" w:line="240" w:lineRule="auto"/>
        <w:ind w:firstLine="0"/>
        <w:jc w:val="both"/>
      </w:pPr>
    </w:p>
    <w:p>
      <w:pPr>
        <w:spacing w:before="0" w:after="80" w:line="240" w:lineRule="auto"/>
        <w:ind w:firstLine="0" w:left="3402"/>
        <w:jc w:val="both"/>
      </w:pPr>
      <w:r>
        <w:rPr>
          <w:b/>
          <w:i w:val="0"/>
          <w:color w:val="12324A"/>
          <w:sz w:val="20"/>
        </w:rPr>
        <w:t xml:space="preserve">EMENTA: </w:t>
      </w:r>
      <w:r>
        <w:rPr>
          <w:b/>
          <w:i w:val="0"/>
          <w:sz w:val="20"/>
        </w:rPr>
        <w:t xml:space="preserve">PREGÃO ELETRÔNICO. REGISTRO DE PREÇOS. LICENCIAMENTO DE SOFTWARE. JULGAMENTO POR LOTE GLOBAL. PROVA DE CONCEITO. PRAZO DE PROPOSTAS. QUALIFICAÇÃO TÉCNICA. ORÇAMENTO ESTIMADO. INCOERÊNCIAS INTERNAS. MARICÁ </w:t>
      </w:r>
      <w:r>
        <w:rPr>
          <w:b w:val="0"/>
          <w:i w:val="0"/>
          <w:sz w:val="20"/>
        </w:rPr>
        <w:t>Edital de pregão eletrônico para registro de preços, com objeto heterogêneo (software, locação de salas modulares, tablets, internet e servidor) adjudicado em lote único de R$ 27,07 milhões, sem a demonstração exigida para o agrupamento. Há indícios de restrição à competitividade: prova de conceito que exige aplicativo já publicado nas lojas, qualificação técnica de engenharia desproporcional e prazo de propostas de 9 dias úteis para serviços comuns. Há também incoerências materiais (valor, data do orçamento, percentual de garantia) e lacunas na minuta. O certame já foi homologado, e as providências se dirigem à execução da ata e aos próximos certames.</w:t>
      </w:r>
    </w:p>
    <w:p>
      <w:pPr>
        <w:spacing w:before="0" w:after="120" w:line="240" w:lineRule="auto"/>
        <w:ind w:firstLine="0"/>
        <w:jc w:val="both"/>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1F7A8C" w:space="0"/>
              <w:bottom w:val="nil"/>
              <w:right w:val="nil"/>
            </w:tcBorders>
            <w:shd w:val="clear" w:color="auto" w:fill="EEF4F6"/>
            <w:tcMar>
              <w:top w:w="170" w:type="dxa"/>
              <w:left w:w="170" w:type="dxa"/>
              <w:bottom w:w="170" w:type="dxa"/>
              <w:right w:w="170" w:type="dxa"/>
            </w:tcMar>
          </w:tcPr>
          <w:p>
            <w:pPr>
              <w:spacing w:before="0" w:after="80" w:line="264" w:lineRule="auto"/>
              <w:ind w:firstLine="0"/>
              <w:jc w:val="left"/>
            </w:pPr>
            <w:r>
              <w:rPr>
                <w:b/>
                <w:i w:val="0"/>
                <w:color w:val="1F7A8C"/>
                <w:sz w:val="18"/>
              </w:rPr>
              <w:t>NATUREZA OPINATIVA DESTE PARECER</w:t>
            </w:r>
          </w:p>
          <w:p>
            <w:pPr>
              <w:spacing w:before="0" w:after="80" w:line="276" w:lineRule="auto"/>
              <w:ind w:firstLine="0"/>
              <w:jc w:val="both"/>
            </w:pPr>
            <w:r>
              <w:rPr>
                <w:b w:val="0"/>
                <w:i w:val="0"/>
                <w:sz w:val="19"/>
              </w:rPr>
              <w:t>Este parecer técnico tem natureza exclusivamente opinativa. Ele expõe a análise de conformidade dos documentos examinados, aponta todos os aspectos identificados — dos críticos aos de baixa vulnerabilidade — e recomenda providências, mas não vincula quem o recebe.</w:t>
            </w:r>
          </w:p>
          <w:p>
            <w:pPr>
              <w:spacing w:before="0" w:after="80" w:line="276" w:lineRule="auto"/>
              <w:ind w:firstLine="0"/>
              <w:jc w:val="both"/>
            </w:pPr>
            <w:r>
              <w:rPr>
                <w:b w:val="0"/>
                <w:i w:val="0"/>
                <w:sz w:val="19"/>
              </w:rPr>
              <w:t>A decisão de adotar, total ou parcialmente, as recomendações, ou de manter o documento como está, é de competência e responsabilidade exclusivas do destinatário (o agente público, a autoridade competente ou o contratante), que deve ponderá-las com os demais elementos do processo.</w:t>
            </w:r>
          </w:p>
          <w:p>
            <w:pPr>
              <w:spacing w:before="0" w:after="80" w:line="276" w:lineRule="auto"/>
              <w:ind w:firstLine="0"/>
              <w:jc w:val="both"/>
            </w:pPr>
            <w:r>
              <w:rPr>
                <w:b w:val="0"/>
                <w:i w:val="0"/>
                <w:sz w:val="19"/>
              </w:rPr>
              <w:t>Fundamento: o Supremo Tribunal Federal distingue o parecer facultativo, o obrigatório e o vinculante; no parecer facultativo e no obrigatório não vinculante, a autoridade não fica adstrita à opinião emitida e responde pela decisão que tomar (STF, MS 24.631/DF, Plenário, rel. Min. Joaquim Barbosa, j. 9 ago. 2007). A distinção entre parecer vinculante e não vinculante também consta da Lei nº 9.784/1999 (art. 42, §§ 1º e 2º). A Lei de Introdução às Normas do Direito Brasileiro estabelece que o agente público responde pessoalmente por suas decisões ou opiniões técnicas em caso de dolo ou erro grosseiro (art. 28).</w:t>
            </w:r>
          </w:p>
          <w:p>
            <w:pPr>
              <w:spacing w:before="0" w:after="80" w:line="276" w:lineRule="auto"/>
              <w:ind w:firstLine="0"/>
              <w:jc w:val="both"/>
            </w:pPr>
            <w:r>
              <w:rPr>
                <w:b w:val="0"/>
                <w:i w:val="0"/>
                <w:sz w:val="19"/>
              </w:rPr>
              <w:t>Este parecer, contratado livremente e sem previsão legal que o torne obrigatório ou vinculante, não substitui o parecer jurídico de controle prévio de legalidade (art. 53 da Lei nº 14.133/2021) nem a manifestação dos órgãos de assessoramento e controle.</w:t>
            </w:r>
          </w:p>
        </w:tc>
      </w:tr>
    </w:tbl>
    <w:p>
      <w:pPr>
        <w:spacing w:before="0" w:after="120" w:line="240" w:lineRule="auto"/>
        <w:ind w:firstLine="0"/>
        <w:jc w:val="both"/>
      </w:pPr>
    </w:p>
    <w:p>
      <w:pPr>
        <w:pStyle w:val="Heading1"/>
        <w:keepNext/>
        <w:spacing w:before="360" w:after="160" w:line="360" w:lineRule="auto"/>
        <w:ind w:firstLine="0"/>
        <w:jc w:val="left"/>
      </w:pPr>
      <w:r>
        <w:rPr>
          <w:rFonts w:ascii="Arial" w:hAnsi="Arial"/>
          <w:b/>
          <w:i w:val="0"/>
          <w:color w:val="12324A"/>
          <w:sz w:val="24"/>
        </w:rPr>
        <w:t>2 RELATÓRIO</w:t>
      </w:r>
    </w:p>
    <w:p>
      <w:pPr>
        <w:spacing w:before="0" w:after="120" w:line="360" w:lineRule="auto"/>
        <w:ind w:firstLine="709"/>
        <w:jc w:val="both"/>
      </w:pPr>
      <w:r>
        <w:rPr>
          <w:b w:val="0"/>
          <w:i w:val="0"/>
        </w:rPr>
        <w:t>Trata-se de análise técnica de conformidade solicitada em relação ao processo Pregão Eletrônico nº 25/2025-SRP (Processo nº 10987/2025; PNCP 29131075000193-1-000382/2025), do Prefeitura Municipal de Maricá – Secretaria de Cultura e das Utopias, cujo objeto é: Registro de preços para contratação de empresa especializada em licenciamento de software com solução integrada (projeto Conexão Cultural e Educacional para Espaços Digitais). Inclui locação de salas modulares, tablets em comodato, internet, access points, servidor e 145.000 licenças.</w:t>
      </w:r>
    </w:p>
    <w:p>
      <w:pPr>
        <w:spacing w:before="0" w:after="120" w:line="360" w:lineRule="auto"/>
        <w:ind w:firstLine="709"/>
        <w:jc w:val="both"/>
      </w:pPr>
      <w:r>
        <w:rPr>
          <w:b w:val="0"/>
          <w:i w:val="0"/>
        </w:rPr>
        <w:t>Foram examinados os seguintes documentos: Edital e minutas (ata e contrato) (https://pncp.gov.br/app/editais/29131075000193/2025/382, 141 páginas). O exame teve por parâmetro a Lei 14.133/2021, aplicando-se o roteiro de verificação Licitacon (versão 2026-10-29b), com 36 itens pertinentes ao caso.</w:t>
      </w:r>
    </w:p>
    <w:p>
      <w:pPr>
        <w:spacing w:before="0" w:after="120" w:line="360" w:lineRule="auto"/>
        <w:ind w:firstLine="709"/>
        <w:jc w:val="both"/>
      </w:pPr>
      <w:r>
        <w:rPr>
          <w:b w:val="0"/>
          <w:i w:val="0"/>
        </w:rPr>
        <w:t>O edital (142 páginas, com anexos, TR, ata e minuta de contrato) trata de pregão eletrônico em registro de preços para licenciamento de software e serviços correlatos. O valor estimado é de R$ 27.069.600,00 no PNCP e de R$ 27.069.800,00 no corpo do edital. O valor homologado foi de R$ 26.085.000,00, cerca de 96,4% do estimado, o que sugere pouca pressão competitiva.</w:t>
        <w:br/>
        <w:br/>
        <w:t>Os pontos formais obrigatórios estão em geral presentes: declaração do art. 63, § 1º, recursos, sanções dentro dos limites do art. 156, § 3º, tratamento de ME/EPP, regras de adesão restritas à esfera municipal, reajuste com data-base no orçamento e patrimônio líquido mínimo de 10%.</w:t>
        <w:br/>
        <w:br/>
        <w:t>Os principais problemas são os seguintes.</w:t>
        <w:br/>
        <w:t>- Julgamento por menor preço global de objeto heterogêneo, sem demonstração da inviabilidade de adjudicar por item.</w:t>
        <w:br/>
        <w:t>- Prova de conceito inserida na habilitação, com exigência de aplicativo já desenvolvido e publicado nas lojas.</w:t>
        <w:br/>
        <w:t>- Qualificação técnica por engenheiros e registro no CREA, sem delimitação das parcelas de maior relevância.</w:t>
        <w:br/>
        <w:t>- Prazo de propostas de 9 dias úteis para objeto definido como serviço comum.</w:t>
        <w:br/>
        <w:t>- Inconsistências internas: valor R$ 27.069.600 × R$ 27.069.800, data do orçamento 29/11/2026 (posterior ao edital), garantia de 2% × 5%, numeração de anexos, dotação orçamentária.</w:t>
        <w:br/>
        <w:t>- Minuta de contrato com campos em branco e cláusulas de modelo de dedicação exclusiva de mão de obra, sem pertinência com o objeto.</w:t>
        <w:br/>
        <w:br/>
        <w:t>Os itens da trilha de dedicação exclusiva de mão de obra não se aplicam, porque o objeto não envolve postos de trabalho.</w:t>
      </w:r>
    </w:p>
    <w:p>
      <w:pPr>
        <w:spacing w:before="0" w:after="120" w:line="360" w:lineRule="auto"/>
        <w:ind w:firstLine="709"/>
        <w:jc w:val="both"/>
      </w:pPr>
      <w:r>
        <w:rPr>
          <w:b w:val="0"/>
          <w:i w:val="0"/>
        </w:rPr>
        <w:t>É o relatório. Passa-se à fundamentação.</w:t>
      </w:r>
    </w:p>
    <w:p>
      <w:pPr>
        <w:pStyle w:val="Heading1"/>
        <w:keepNext/>
        <w:spacing w:before="360" w:after="160" w:line="360" w:lineRule="auto"/>
        <w:ind w:firstLine="0"/>
        <w:jc w:val="left"/>
      </w:pPr>
      <w:r>
        <w:rPr>
          <w:rFonts w:ascii="Arial" w:hAnsi="Arial"/>
          <w:b/>
          <w:i w:val="0"/>
          <w:color w:val="12324A"/>
          <w:sz w:val="24"/>
        </w:rPr>
        <w:t>3 FUNDAMENTAÇÃO</w:t>
      </w:r>
    </w:p>
    <w:p>
      <w:pPr>
        <w:spacing w:before="0" w:after="120" w:line="360" w:lineRule="auto"/>
        <w:ind w:firstLine="709"/>
        <w:jc w:val="both"/>
      </w:pPr>
      <w:r>
        <w:rPr>
          <w:b w:val="0"/>
          <w:i w:val="0"/>
        </w:rPr>
        <w:t>Cada apontamento indica a constatação no documento, o dispositivo legal aplicável (transcrito do texto oficial vigente), a análise do caso, o risco de manutenção, a providência recomendada e os precedentes localizados na Biblioteca Licitacon.</w:t>
      </w:r>
    </w:p>
    <w:p>
      <w:pPr>
        <w:pStyle w:val="Heading2"/>
        <w:keepNext/>
        <w:spacing w:before="240" w:after="160" w:line="360" w:lineRule="auto"/>
        <w:ind w:firstLine="0"/>
        <w:jc w:val="left"/>
      </w:pPr>
      <w:r>
        <w:rPr>
          <w:rFonts w:ascii="Arial" w:hAnsi="Arial"/>
          <w:b/>
          <w:i w:val="0"/>
          <w:color w:val="12324A"/>
          <w:sz w:val="24"/>
        </w:rPr>
        <w:t>3.1 Prazo mínimo para apresentação de propostas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Não conforme   ·   Edital e minutas (ata e contrato), Item 3.1, página 4 (cf. TR, item 21.3, página 60)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foi divulgado no PNCP em 20/02/2026 (sexta-feira, 07:07). O dia do começo é 23/02/2026 e o recebimento de propostas termina em 06/03/2026, 10h, no 9º dia útil (contagem do sistema, só feriados nacionais). O próprio edital e o TR qualificam o objeto como "serviço" e "serviços comuns" (TR item 21.3), com CATSER de serviço e execução de salas com ART. Para serviços comuns com critério de menor preço, o mínimo do art. 55, I, é de 10 dias úteis, e o prazo concedido foi de 9. Só o enquadramento como aquisição de bens (8 dias úteis) tornaria o prazo regular, mas o TR 21.4 chama de bens comuns o que o item 21.3 chama de serviços comuns. Se as salas forem tratadas como serviço especial de engenharia, o mínimo seria ainda maior.</w:t>
      </w:r>
    </w:p>
    <w:p>
      <w:pPr>
        <w:spacing w:before="0" w:after="120" w:line="360" w:lineRule="auto"/>
        <w:ind w:firstLine="709"/>
        <w:jc w:val="both"/>
      </w:pPr>
      <w:r>
        <w:rPr>
          <w:b w:val="0"/>
          <w:i w:val="0"/>
        </w:rPr>
        <w:t>O documento dispõe: “No dia 06 de março de 2026, às 10h, o Pregoeiro iniciará a sessão pública do PREGÃO” (Item 3.1, página 4 (cf. TR, item 21.3, página 60)).</w:t>
      </w:r>
    </w:p>
    <w:p>
      <w:pPr>
        <w:spacing w:before="0" w:after="80" w:line="360" w:lineRule="auto"/>
        <w:ind w:firstLine="709"/>
        <w:jc w:val="both"/>
      </w:pPr>
      <w:r>
        <w:rPr>
          <w:b/>
          <w:i w:val="0"/>
          <w:color w:val="12324A"/>
        </w:rPr>
        <w:t xml:space="preserve">Dispositivo aplicável. </w:t>
      </w:r>
      <w:r>
        <w:rPr>
          <w:b w:val="0"/>
          <w:i w:val="0"/>
        </w:rPr>
        <w:t>A matéria é disciplinada pelo art. 55, pelo art. 183 e pelo art. 183, § 1º, inciso I, da Lei 14.133/2021, que assim dispõem:</w:t>
      </w:r>
    </w:p>
    <w:p>
      <w:pPr>
        <w:spacing w:before="80" w:after="200" w:line="240" w:lineRule="auto"/>
        <w:ind w:firstLine="0" w:left="2268"/>
        <w:jc w:val="both"/>
      </w:pPr>
      <w:r>
        <w:rPr>
          <w:b w:val="0"/>
          <w:i w:val="0"/>
          <w:sz w:val="20"/>
        </w:rPr>
        <w:t>Os prazos mínimos para apresentação de propostas e lances, contados a partir da data de divulgação do edital de licitação, são de: […]</w:t>
      </w:r>
      <w:r>
        <w:rPr>
          <w:b w:val="0"/>
          <w:i w:val="0"/>
          <w:sz w:val="20"/>
        </w:rPr>
        <w:t xml:space="preserve"> (BRASIL, 2021, art. 55)</w:t>
      </w:r>
    </w:p>
    <w:p>
      <w:pPr>
        <w:spacing w:before="80" w:after="200" w:line="240" w:lineRule="auto"/>
        <w:ind w:firstLine="0" w:left="2268"/>
        <w:jc w:val="both"/>
      </w:pPr>
      <w:r>
        <w:rPr>
          <w:b w:val="0"/>
          <w:i w:val="0"/>
          <w:sz w:val="20"/>
        </w:rPr>
        <w:t>Os prazos previstos nesta Lei serão contados com exclusão do dia do começo e inclusão do dia do vencimento e observarão as seguintes disposições: […]</w:t>
      </w:r>
      <w:r>
        <w:rPr>
          <w:b w:val="0"/>
          <w:i w:val="0"/>
          <w:sz w:val="20"/>
        </w:rPr>
        <w:t xml:space="preserve"> (BRASIL, 2021, art. 183)</w:t>
      </w:r>
    </w:p>
    <w:p>
      <w:pPr>
        <w:spacing w:before="80" w:after="200" w:line="240" w:lineRule="auto"/>
        <w:ind w:firstLine="0" w:left="2268"/>
        <w:jc w:val="both"/>
      </w:pPr>
      <w:r>
        <w:rPr>
          <w:b w:val="0"/>
          <w:i w:val="0"/>
          <w:sz w:val="20"/>
        </w:rPr>
        <w:t>Salvo disposição em contrário, considera-se dia do começo do prazo: […] o primeiro dia útil seguinte ao da disponibilização da informação na internet;</w:t>
      </w:r>
      <w:r>
        <w:rPr>
          <w:b w:val="0"/>
          <w:i w:val="0"/>
          <w:sz w:val="20"/>
        </w:rPr>
        <w:t xml:space="preserve"> (BRASIL, 2021, art. 183, § 1º, inciso I)</w:t>
      </w:r>
    </w:p>
    <w:p>
      <w:pPr>
        <w:spacing w:before="0" w:after="120" w:line="360" w:lineRule="auto"/>
        <w:ind w:firstLine="709"/>
        <w:jc w:val="both"/>
      </w:pPr>
      <w:r>
        <w:rPr>
          <w:b/>
          <w:i w:val="0"/>
          <w:color w:val="12324A"/>
        </w:rPr>
        <w:t xml:space="preserve">Análise. </w:t>
      </w:r>
      <w:r>
        <w:rPr>
          <w:b w:val="0"/>
          <w:i w:val="0"/>
        </w:rPr>
        <w:t>Os prazos mínimos do art. 55 contam-se do primeiro dia útil seguinte à divulgação (art. 183, § 1º, I). Prazo inferior ao mínimo é vício que pode levar à republicação ou anulação. A política do Licitacon classifica como alta toda falha de prazo abaixo do mínimo legal.</w:t>
      </w:r>
    </w:p>
    <w:p>
      <w:pPr>
        <w:spacing w:before="0" w:after="120" w:line="360" w:lineRule="auto"/>
        <w:ind w:firstLine="709"/>
        <w:jc w:val="both"/>
      </w:pPr>
      <w:r>
        <w:rPr>
          <w:b/>
          <w:i w:val="0"/>
          <w:color w:val="B23A48"/>
        </w:rPr>
        <w:t xml:space="preserve">Risco de manutenção. </w:t>
      </w:r>
      <w:r>
        <w:rPr>
          <w:b w:val="0"/>
          <w:i w:val="0"/>
        </w:rPr>
        <w:t>Impugnação ou representação ao controle externo, alegando redução do prazo de preparação das propostas e restrição à competitividade. O resultado já foi homologado, mas o vício pode ser invocado.</w:t>
      </w:r>
    </w:p>
    <w:p>
      <w:pPr>
        <w:spacing w:before="0" w:after="120" w:line="360" w:lineRule="auto"/>
        <w:ind w:firstLine="709"/>
        <w:jc w:val="both"/>
      </w:pPr>
      <w:r>
        <w:rPr>
          <w:b/>
          <w:i w:val="0"/>
          <w:color w:val="12324A"/>
        </w:rPr>
        <w:t xml:space="preserve">Providência recomendada. </w:t>
      </w:r>
      <w:r>
        <w:rPr>
          <w:b w:val="0"/>
          <w:i w:val="0"/>
        </w:rPr>
        <w:t>Definir e registrar formalmente a natureza do objeto (bem, serviço comum, serviço especial de engenharia) e o prazo mínimo correspondente. Como o certame já foi homologado, documentar o número de propostas e a ausência de prejuízo, avaliar a necessidade de saneamento com a assessoria jurídica e conferir feriados locais. Nos próximos certames, calcular o prazo em dias úteis a partir do primeiro dia útil seguinte à divulgação e com margem de segurança.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 prazo para apresentação de propostas será de, no mínimo, [8/10/25] dias úteis, contados do primeiro dia útil seguinte à divulgação do edital no PNCP (arts. 55 e 183, § 1º, I, da Lei nº 14.133/2021).</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Denúncia sobre pregão eletrônico para coletes balísticos (eleições 2026; estimado R$ 3,2 milhões). O prazo mínimo para apresentação de propostas é contado a partir do primeiro dia útil seguinte à divulgação do edital no PNCP (art. 183, caput e § 1º, I, da Lei 14.133/2021). O recebimento foi encerrado antes do fim desse prazo, mas houve competição efetiva e não se demonstrou prejuízo: parcialmente procedente, com ciência e arquivamento. Ata 41/2026; conferido na base oficial do TCU.</w:t>
      </w:r>
      <w:r>
        <w:rPr>
          <w:b w:val="0"/>
          <w:i w:val="0"/>
          <w:sz w:val="20"/>
        </w:rPr>
        <w:t xml:space="preserve"> (TCU, Acórdão 2921/2026-Plenário – TC 021.316/2026-0)</w:t>
      </w:r>
      <w:r>
        <w:rPr>
          <w:b w:val="0"/>
          <w:i w:val="0"/>
          <w:sz w:val="20"/>
        </w:rPr>
        <w:t xml:space="preserve"> </w:t>
      </w:r>
      <w:hyperlink r:id="rId12">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3.2 Qualificação técnica proporcional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Parcialmente conforme   ·   Edital e minutas (ata e contrato), Item 13, (E.1) e (E.2), página 29; TR, item 9.7, página 84</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Não há atestado de capacidade técnica para o software (51% do valor estimado), que é a parcela de maior valor. Exige-se, para o licitante, registro no CREA e indicação de engenheiro civil e engenheiro elétrico, com atestado de responsabilidade técnica por "serviço de características semelhantes". O edital não delimita as parcelas de maior relevância (4% ou mais do valor) nem os quantitativos mínimos (até 50%), e não define o que é "semelhante". O objeto é fundamentalmente de licenciamento de aplicativo, e o registro no CREA e a equipe de engenharia podem afastar fornecedores de software. A habilitação por engenharia só se justificaria para a parcela de construção/montagem das salas, que o edital não identifica em termos de valor e relevância. O trilha t-atestado-50 foi descartado: o trecho assinalado trata da "quantidade mínima a ser cotada", não de atestado.</w:t>
      </w:r>
    </w:p>
    <w:p>
      <w:pPr>
        <w:spacing w:before="0" w:after="120" w:line="360" w:lineRule="auto"/>
        <w:ind w:firstLine="709"/>
        <w:jc w:val="both"/>
      </w:pPr>
      <w:r>
        <w:rPr>
          <w:b w:val="0"/>
          <w:i w:val="0"/>
        </w:rPr>
        <w:t>O documento dispõe: “Apresentação do(s) profissionais(is), abaixo indicado(s), devidamente registrado(s) no” (Item 13, (E.1) e (E.2), página 29; TR, item 9.7, página 84).</w:t>
      </w:r>
    </w:p>
    <w:p>
      <w:pPr>
        <w:spacing w:before="0" w:after="80" w:line="360" w:lineRule="auto"/>
        <w:ind w:firstLine="709"/>
        <w:jc w:val="both"/>
      </w:pPr>
      <w:r>
        <w:rPr>
          <w:b/>
          <w:i w:val="0"/>
          <w:color w:val="12324A"/>
        </w:rPr>
        <w:t xml:space="preserve">Dispositivo aplicável. </w:t>
      </w:r>
      <w:r>
        <w:rPr>
          <w:b w:val="0"/>
          <w:i w:val="0"/>
        </w:rPr>
        <w:t>A matéria é disciplinada pelo art. 67, § 1º e pelo art. 67, § 2º, da Lei 14.133/2021, que assim dispõem:</w:t>
      </w:r>
    </w:p>
    <w:p>
      <w:pPr>
        <w:spacing w:before="80" w:after="200" w:line="240" w:lineRule="auto"/>
        <w:ind w:firstLine="0" w:left="2268"/>
        <w:jc w:val="both"/>
      </w:pPr>
      <w:r>
        <w:rPr>
          <w:b w:val="0"/>
          <w:i w:val="0"/>
          <w:sz w:val="20"/>
        </w:rPr>
        <w:t>A exigência de atestados será restrita às parcelas de maior relevância ou valor significativo do objeto da licitação, assim consideradas as que tenham valor individual igual ou superior a 4% (quatro por cento) do valor total estimado da contratação.</w:t>
      </w:r>
      <w:r>
        <w:rPr>
          <w:b w:val="0"/>
          <w:i w:val="0"/>
          <w:sz w:val="20"/>
        </w:rPr>
        <w:t xml:space="preserve"> (BRASIL, 2021, art. 67, § 1º)</w:t>
      </w:r>
    </w:p>
    <w:p>
      <w:pPr>
        <w:spacing w:before="80" w:after="200" w:line="240" w:lineRule="auto"/>
        <w:ind w:firstLine="0" w:left="2268"/>
        <w:jc w:val="both"/>
      </w:pPr>
      <w:r>
        <w:rPr>
          <w:b w:val="0"/>
          <w:i w:val="0"/>
          <w:sz w:val="20"/>
        </w:rPr>
        <w:t>Observado o disposto no caput e no § 1º deste artigo, será admitida a exigência de atestados com quantidades mínimas de até 50% (cinquenta por cento) das parcelas de que trata o referido parágrafo, vedadas limitações de tempo e de locais específicos relativas aos atestados.</w:t>
      </w:r>
      <w:r>
        <w:rPr>
          <w:b w:val="0"/>
          <w:i w:val="0"/>
          <w:sz w:val="20"/>
        </w:rPr>
        <w:t xml:space="preserve"> (BRASIL, 2021, art. 67, § 2º)</w:t>
      </w:r>
    </w:p>
    <w:p>
      <w:pPr>
        <w:spacing w:before="0" w:after="120" w:line="360" w:lineRule="auto"/>
        <w:ind w:firstLine="709"/>
        <w:jc w:val="both"/>
      </w:pPr>
      <w:r>
        <w:rPr>
          <w:b/>
          <w:i w:val="0"/>
          <w:color w:val="12324A"/>
        </w:rPr>
        <w:t xml:space="preserve">Análise. </w:t>
      </w:r>
      <w:r>
        <w:rPr>
          <w:b w:val="0"/>
          <w:i w:val="0"/>
        </w:rPr>
        <w:t>O art. 67, § 1º, restringe os atestados às parcelas de maior relevância ou valor significativo (4% ou mais do total), e o § 2º admite quantitativos mínimos de até 50%. Exigência de "características semelhantes" sem delimitação objetiva abre margem a avaliações discricionárias e pode restringir a competição.</w:t>
      </w:r>
    </w:p>
    <w:p>
      <w:pPr>
        <w:spacing w:before="0" w:after="120" w:line="360" w:lineRule="auto"/>
        <w:ind w:firstLine="709"/>
        <w:jc w:val="both"/>
      </w:pPr>
      <w:r>
        <w:rPr>
          <w:b/>
          <w:i w:val="0"/>
          <w:color w:val="B23A48"/>
        </w:rPr>
        <w:t xml:space="preserve">Risco de manutenção. </w:t>
      </w:r>
      <w:r>
        <w:rPr>
          <w:b w:val="0"/>
          <w:i w:val="0"/>
        </w:rPr>
        <w:t>Restrição da competitividade e possível direcionamento. A baixa redução em relação ao estimado (homologado a 96,4%) reforça a necessidade de verificar o número de licitantes.</w:t>
      </w:r>
    </w:p>
    <w:p>
      <w:pPr>
        <w:spacing w:before="0" w:after="120" w:line="360" w:lineRule="auto"/>
        <w:ind w:firstLine="709"/>
        <w:jc w:val="both"/>
      </w:pPr>
      <w:r>
        <w:rPr>
          <w:b/>
          <w:i w:val="0"/>
          <w:color w:val="12324A"/>
        </w:rPr>
        <w:t xml:space="preserve">Providência recomendada. </w:t>
      </w:r>
      <w:r>
        <w:rPr>
          <w:b w:val="0"/>
          <w:i w:val="0"/>
        </w:rPr>
        <w:t>Listar, com percentuais do orçamento, as parcelas de maior relevância (por exemplo, licenças/aplicativo e instalação das salas). Definir objetivamente as características mínimas exigidas, limitar quantitativos a 50% e justificar no ETP a exigência de CREA e de engenheiros para um objeto majoritariamente de software. Considerar permitir comprovação por subcontratação ou parceria da parcela de engenharia.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qualificação técnica limitar-se-á às parcelas de maior relevância: (a) [parcela], correspondente a [x]% do valor estimado, com atestado de quantidade mínima de até 50%; (b) [parcela de engenharia]. Considera-se compatível o atestado que comprove [características objetivas].</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É irregular a exigência, para fins de qualificação técnico-operacional, de comprovação de aptidão para execução de serviços similares ou de complexidade equivalente à do objeto licitado (art. 67, inciso II, da Lei 14.133/2021) sem delimitação, de modo claro e verificável, das características mínimas e suficientes para o atendimento da exigência, por facultar avaliações discricionárias incompatíveis com os princípios da motivação e do julgamento objetivo (art. 5º da mencionada lei).</w:t>
      </w:r>
      <w:r>
        <w:rPr>
          <w:b w:val="0"/>
          <w:i w:val="0"/>
          <w:sz w:val="20"/>
        </w:rPr>
        <w:t xml:space="preserve"> (TCU, Acórdão 1742/2026-Plenário)</w:t>
      </w:r>
      <w:r>
        <w:rPr>
          <w:b w:val="0"/>
          <w:i w:val="0"/>
          <w:sz w:val="20"/>
        </w:rPr>
        <w:t xml:space="preserve"> </w:t>
      </w:r>
      <w:hyperlink r:id="rId13">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3.3 Registro de preços: julgamento por lote (grupo de itens)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Não conforme   ·   Edital e minutas (ata e contrato), TR, item 9.1.4, página 81; edital, itens 6.1 e 12.1, páginas 6 e 16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julgamento é por menor preço global de um único item de R$ 27 milhões (Anexo I, "01 UNIDADE"). Agrupa objetos heterogêneos: licenças de software, locação de salas modulares com construção, comodato de tablets, internet, access points e servidor. O TR justifica a exclusividade da ME/EPP "tendo em vista a previsão de não parcelamento definida no item 12 do ETP", mas nenhuma peça enviada demonstra a inviabilidade de adjudicar por item nem a vantagem técnica e econômica do agrupamento. O edital não indica preços unitários máximos de aceitabilidade. Os itens 12.1 e 12.4 usam o valor global do Anexo I, embora o Anexo A tenha valores unitários.</w:t>
      </w:r>
    </w:p>
    <w:p>
      <w:pPr>
        <w:spacing w:before="0" w:after="120" w:line="360" w:lineRule="auto"/>
        <w:ind w:firstLine="709"/>
        <w:jc w:val="both"/>
      </w:pPr>
      <w:r>
        <w:rPr>
          <w:b w:val="0"/>
          <w:i w:val="0"/>
        </w:rPr>
        <w:t>O documento dispõe: “tendo em vista a previsão de não parcelamento da contratação, definida no item 12 do Estudo Técnico Preliminar.” (TR, item 9.1.4, página 81; edital, itens 6.1 e 12.1, páginas 6 e 16).</w:t>
      </w:r>
    </w:p>
    <w:p>
      <w:pPr>
        <w:spacing w:before="0" w:after="80" w:line="360" w:lineRule="auto"/>
        <w:ind w:firstLine="709"/>
        <w:jc w:val="both"/>
      </w:pPr>
      <w:r>
        <w:rPr>
          <w:b/>
          <w:i w:val="0"/>
          <w:color w:val="12324A"/>
        </w:rPr>
        <w:t xml:space="preserve">Dispositivo aplicável. </w:t>
      </w:r>
      <w:r>
        <w:rPr>
          <w:b w:val="0"/>
          <w:i w:val="0"/>
        </w:rPr>
        <w:t>A matéria é disciplinada pelo art. 82, § 1º e pelo art. 82, § 2º, da Lei 14.133/2021, que assim dispõem:</w:t>
      </w:r>
    </w:p>
    <w:p>
      <w:pPr>
        <w:spacing w:before="80" w:after="200" w:line="240" w:lineRule="auto"/>
        <w:ind w:firstLine="0" w:left="2268"/>
        <w:jc w:val="both"/>
      </w:pPr>
      <w:r>
        <w:rPr>
          <w:b w:val="0"/>
          <w:i w:val="0"/>
          <w:sz w:val="20"/>
        </w:rPr>
        <w:t>O critério de julgamento de menor preço por grupo de itens somente poderá ser adotado quando for demonstrada a inviabilidade de se promover a adjudicação por item e for evidenciada a sua vantagem técnica e econômica, e o critério de aceitabilidade de preços unitários máximos deverá ser indicado no edital.</w:t>
      </w:r>
      <w:r>
        <w:rPr>
          <w:b w:val="0"/>
          <w:i w:val="0"/>
          <w:sz w:val="20"/>
        </w:rPr>
        <w:t xml:space="preserve"> (BRASIL, 2021, art. 82, § 1º)</w:t>
      </w:r>
    </w:p>
    <w:p>
      <w:pPr>
        <w:spacing w:before="80" w:after="200" w:line="240" w:lineRule="auto"/>
        <w:ind w:firstLine="0" w:left="2268"/>
        <w:jc w:val="both"/>
      </w:pPr>
      <w:r>
        <w:rPr>
          <w:b w:val="0"/>
          <w:i w:val="0"/>
          <w:sz w:val="20"/>
        </w:rPr>
        <w:t>Na hipótese de que trata o § 1º deste artigo, observados os parâmetros estabelecidos nos §§ 1º, 2º e 3º do art. 23 desta Lei, a contratação posterior de item específico constante de grupo de itens exigirá prévia pesquisa de mercado e demonstração de sua vantagem para o órgão ou entidade.</w:t>
      </w:r>
      <w:r>
        <w:rPr>
          <w:b w:val="0"/>
          <w:i w:val="0"/>
          <w:sz w:val="20"/>
        </w:rPr>
        <w:t xml:space="preserve"> (BRASIL, 2021, art. 82, § 2º)</w:t>
      </w:r>
    </w:p>
    <w:p>
      <w:pPr>
        <w:spacing w:before="0" w:after="120" w:line="360" w:lineRule="auto"/>
        <w:ind w:firstLine="709"/>
        <w:jc w:val="both"/>
      </w:pPr>
      <w:r>
        <w:rPr>
          <w:b/>
          <w:i w:val="0"/>
          <w:color w:val="12324A"/>
        </w:rPr>
        <w:t xml:space="preserve">Análise. </w:t>
      </w:r>
      <w:r>
        <w:rPr>
          <w:b w:val="0"/>
          <w:i w:val="0"/>
        </w:rPr>
        <w:t>O art. 82, § 1º, só permite menor preço por grupo quando demonstrada a inviabilidade da adjudicação por item e evidenciada a vantagem técnica e econômica, com indicação do critério de aceitabilidade de preços unitários máximos. A Súmula TCU 247 impõe a adjudicação por item quando o objeto é divisível. O agrupamento afasta quem fornece apenas parte do objeto (por exemplo, só software) e permite itens individualmente caros dentro de um total aparentemente adequado.</w:t>
      </w:r>
    </w:p>
    <w:p>
      <w:pPr>
        <w:spacing w:before="0" w:after="120" w:line="360" w:lineRule="auto"/>
        <w:ind w:firstLine="709"/>
        <w:jc w:val="both"/>
      </w:pPr>
      <w:r>
        <w:rPr>
          <w:b/>
          <w:i w:val="0"/>
          <w:color w:val="B23A48"/>
        </w:rPr>
        <w:t xml:space="preserve">Risco de manutenção. </w:t>
      </w:r>
      <w:r>
        <w:rPr>
          <w:b w:val="0"/>
          <w:i w:val="0"/>
        </w:rPr>
        <w:t>Restrição à competitividade (política Licitacon: gravidade alta) e dificuldade de recusar preços unitários elevados (ver salas e licenças).</w:t>
      </w:r>
    </w:p>
    <w:p>
      <w:pPr>
        <w:spacing w:before="0" w:after="120" w:line="360" w:lineRule="auto"/>
        <w:ind w:firstLine="709"/>
        <w:jc w:val="both"/>
      </w:pPr>
      <w:r>
        <w:rPr>
          <w:b/>
          <w:i w:val="0"/>
          <w:color w:val="12324A"/>
        </w:rPr>
        <w:t xml:space="preserve">Providência recomendada. </w:t>
      </w:r>
      <w:r>
        <w:rPr>
          <w:b w:val="0"/>
          <w:i w:val="0"/>
        </w:rPr>
        <w:t>Juntar ao processo a justificativa do agrupamento, ou separar em lotes/itens. Em qualquer caso, definir preços unitários máximos por item no edital e na ata. Para a ata em vigor, não autorizar contratações parciais sem a pesquisa e a demonstração de vantagem do art. 82, § 2º. Nos próximos certames, licitar por item ou por lotes coerentes.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Adota-se o menor preço por grupo em razão de [demonstração técnica e econômica]. O critério de aceitabilidade é o preço unitário máximo de cada item, constante do Anexo A.</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É obrigatória a admissão da adjudicação por item e não por preço global, nos editais das licitações para a contratação de obras, serviços, compras e alienações, cujo objeto seja divisível, desde que não haja prejuízo para o conjunto ou complexo ou perda de economia de escala, tendo em vista o objetivo de propiciar a ampla participação de licitantes que, embora não dispondo de capacidade para a execução, fornecimento ou aquisição da totalidade do objeto, possam fazê-lo com relação a itens ou unidades autônomas, devendo as exigências de habilitação adequar-se a essa divisibilidade. (Súmula vigente, aprovada pelo Acórdão 1782/2004-Plenário; data indicada = ano de aprovação.)</w:t>
      </w:r>
      <w:r>
        <w:rPr>
          <w:b w:val="0"/>
          <w:i w:val="0"/>
          <w:sz w:val="20"/>
        </w:rPr>
        <w:t xml:space="preserve"> (TCU, Súmula TCU 247)</w:t>
      </w:r>
      <w:r>
        <w:rPr>
          <w:b w:val="0"/>
          <w:i w:val="0"/>
          <w:sz w:val="20"/>
        </w:rPr>
        <w:t xml:space="preserve"> </w:t>
      </w:r>
      <w:hyperlink r:id="rId14">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3.4 Prova de conceito inserida na habilitação e com exigência de aplicativo já publicado nas lojas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Apontamento adicional   ·   Edital e minutas (ata e contrato), Item 13, (F), página 30; tabela CT-01 a CT-09, página 31; TR, item 5.31, páginas 67 a 71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prova de conceito (PoC) está listada como documento de habilitação (item 13.1, (F)). Ela é exigida do licitante antes da adjudicação, em até 5 dias úteis, na sede da Prefeitura, e "iniciada e finalizada na mesma sessão", sem prorrogação para adequações. O caso de teste CT-09 exige que a aplicação "já esteja previamente desenvolvida e publicada nas lojas oficiais" (Google Play e App Store), e o CT-03 exige a cerca digital do município. O objeto, porém, prevê a implantação da cerca digital pela contratada e a "personalização" do software (TR, itens 23.2 e 26.17). Todas as funcionalidades do TR devem ser comprovadas, e a reprovação em qualquer requisito leva à convocação do próximo.</w:t>
      </w:r>
    </w:p>
    <w:p>
      <w:pPr>
        <w:spacing w:before="0" w:after="120" w:line="360" w:lineRule="auto"/>
        <w:ind w:firstLine="709"/>
        <w:jc w:val="both"/>
      </w:pPr>
      <w:r>
        <w:rPr>
          <w:b w:val="0"/>
          <w:i w:val="0"/>
        </w:rPr>
        <w:t>O documento dispõe: “Deve ser submetido a uma prova de conceito, para comprovação e validação, anteriormente” (Item 13, (F), página 30; tabela CT-01 a CT-09, página 31; TR, item 5.31, páginas 67 a 71).</w:t>
      </w:r>
    </w:p>
    <w:p>
      <w:pPr>
        <w:spacing w:before="0" w:after="80" w:line="360" w:lineRule="auto"/>
        <w:ind w:firstLine="709"/>
        <w:jc w:val="both"/>
      </w:pPr>
      <w:r>
        <w:rPr>
          <w:b/>
          <w:i w:val="0"/>
          <w:color w:val="12324A"/>
        </w:rPr>
        <w:t xml:space="preserve">Dispositivo aplicável. </w:t>
      </w:r>
      <w:r>
        <w:rPr>
          <w:b w:val="0"/>
          <w:i w:val="0"/>
        </w:rPr>
        <w:t>A matéria é disciplinada pelo art. 9, inciso I, pelo art. 67 e pelo art. 17, da Lei 14.133/2021, que assim dispõem:</w:t>
      </w:r>
    </w:p>
    <w:p>
      <w:pPr>
        <w:spacing w:before="80" w:after="200" w:line="240" w:lineRule="auto"/>
        <w:ind w:firstLine="0" w:left="2268"/>
        <w:jc w:val="both"/>
      </w:pPr>
      <w:r>
        <w:rPr>
          <w:b w:val="0"/>
          <w:i w:val="0"/>
          <w:sz w:val="20"/>
        </w:rPr>
        <w:t>É vedado ao agente público designado para atuar na área de licitações e contratos, ressalvados os casos previstos em lei: […] admitir, prever, incluir ou tolerar, nos atos que praticar, situações que: […]</w:t>
      </w:r>
      <w:r>
        <w:rPr>
          <w:b w:val="0"/>
          <w:i w:val="0"/>
          <w:sz w:val="20"/>
        </w:rPr>
        <w:t xml:space="preserve"> (BRASIL, 2021, art. 9, inciso I)</w:t>
      </w:r>
    </w:p>
    <w:p>
      <w:pPr>
        <w:spacing w:before="80" w:after="200" w:line="240" w:lineRule="auto"/>
        <w:ind w:firstLine="0" w:left="2268"/>
        <w:jc w:val="both"/>
      </w:pPr>
      <w:r>
        <w:rPr>
          <w:b w:val="0"/>
          <w:i w:val="0"/>
          <w:sz w:val="20"/>
        </w:rPr>
        <w:t>A documentação relativa à qualificação técnico-profissional e técnico-operacional será restrita a: […]</w:t>
      </w:r>
      <w:r>
        <w:rPr>
          <w:b w:val="0"/>
          <w:i w:val="0"/>
          <w:sz w:val="20"/>
        </w:rPr>
        <w:t xml:space="preserve"> (BRASIL, 2021, art. 67)</w:t>
      </w:r>
    </w:p>
    <w:p>
      <w:pPr>
        <w:spacing w:before="80" w:after="200" w:line="240" w:lineRule="auto"/>
        <w:ind w:firstLine="0" w:left="2268"/>
        <w:jc w:val="both"/>
      </w:pPr>
      <w:r>
        <w:rPr>
          <w:b w:val="0"/>
          <w:i w:val="0"/>
          <w:sz w:val="20"/>
        </w:rPr>
        <w:t>O processo de licitação observará as seguintes fases, em sequência: […]</w:t>
      </w:r>
      <w:r>
        <w:rPr>
          <w:b w:val="0"/>
          <w:i w:val="0"/>
          <w:sz w:val="20"/>
        </w:rPr>
        <w:t xml:space="preserve"> (BRASIL, 2021, art. 17)</w:t>
      </w:r>
    </w:p>
    <w:p>
      <w:pPr>
        <w:spacing w:before="0" w:after="120" w:line="360" w:lineRule="auto"/>
        <w:ind w:firstLine="709"/>
        <w:jc w:val="both"/>
      </w:pPr>
      <w:r>
        <w:rPr>
          <w:b/>
          <w:i w:val="0"/>
          <w:color w:val="12324A"/>
        </w:rPr>
        <w:t xml:space="preserve">Análise. </w:t>
      </w:r>
      <w:r>
        <w:rPr>
          <w:b w:val="0"/>
          <w:i w:val="0"/>
        </w:rPr>
        <w:t>A PoC é meio de aferição da proposta e deve ser objetiva, proporcional e tecnicamente justificada. Ao exigir produto já desenvolvido e publicado, inclusive com cerca digital específica para Maricá, o edital limita a competição a fornecedores que já tenham solução pronta para este município, em contradição com o objeto, que prevê o desenvolvimento e a implantação. Exigir cumprimento integral de todas as funcionalidades, sem tolerância e sem prazo de adequação, é desproporcional. Inserir a PoC como documento de habilitação mistura fases.</w:t>
      </w:r>
    </w:p>
    <w:p>
      <w:pPr>
        <w:spacing w:before="0" w:after="120" w:line="360" w:lineRule="auto"/>
        <w:ind w:firstLine="709"/>
        <w:jc w:val="both"/>
      </w:pPr>
      <w:r>
        <w:rPr>
          <w:b/>
          <w:i w:val="0"/>
          <w:color w:val="B23A48"/>
        </w:rPr>
        <w:t xml:space="preserve">Risco de manutenção. </w:t>
      </w:r>
      <w:r>
        <w:rPr>
          <w:b w:val="0"/>
          <w:i w:val="0"/>
        </w:rPr>
        <w:t>Restrição da competitividade e direcionamento a fornecedor com aplicativo já existente. O baixo desconto na homologação (96,4% do estimado) reforça a necessidade de verificar quantos licitantes participaram e quantos foram reprovados na PoC.</w:t>
      </w:r>
    </w:p>
    <w:p>
      <w:pPr>
        <w:spacing w:before="0" w:after="120" w:line="360" w:lineRule="auto"/>
        <w:ind w:firstLine="709"/>
        <w:jc w:val="both"/>
      </w:pPr>
      <w:r>
        <w:rPr>
          <w:b/>
          <w:i w:val="0"/>
          <w:color w:val="12324A"/>
        </w:rPr>
        <w:t xml:space="preserve">Providência recomendada. </w:t>
      </w:r>
      <w:r>
        <w:rPr>
          <w:b w:val="0"/>
          <w:i w:val="0"/>
        </w:rPr>
        <w:t>Revisar a PoC para aferir apenas requisitos essenciais, com critérios objetivos, prazo razoável para adequação e sem exigir publicação prévia nas lojas. Tratar a PoC como etapa de julgamento da proposta, não de habilitação. Examinar, para a ata em vigor, o resultado e as atas da PoC, verificando o tratamento isonômico dos licitantes.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3.5 Conferência aritmética da planilha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Planilha de custos e formação de preços (dedicação exclusiva de mão de obra), Item 5.2, página 6 (cf. Anexo I, página 55; Anexo A, página 56)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conferência manual do Anexo A fechou internamente. Os itens somam R$ 27.069.600,00 (11.160.000 + 768.000 + 372.000 + 9.600 + 840.000 + 13.920.000), e o cronograma físico-financeiro (12 × R$ 2.255.800,00) também fecha em R$ 27.069.600,00. O corpo do edital (item 5.2) e o Termo de Referência (valor estimado do fornecimento) indicam, porém, R$ 27.069.800,00, e o Anexo I também. Há divergência de R$ 200,00 entre as peças. O PNCP registra R$ 27.069.600,00.</w:t>
      </w:r>
    </w:p>
    <w:p>
      <w:pPr>
        <w:spacing w:before="0" w:after="120" w:line="360" w:lineRule="auto"/>
        <w:ind w:firstLine="709"/>
        <w:jc w:val="both"/>
      </w:pPr>
      <w:r>
        <w:rPr>
          <w:b w:val="0"/>
          <w:i w:val="0"/>
        </w:rPr>
        <w:t>O documento dispõe: “importância de R$ 27.069.800,00 (vinte e sete milhões sessenta e nove mil oitocentos reais).” (Item 5.2, página 6 (cf. Anexo I, página 55; Anexo A, página 56)).</w:t>
      </w:r>
    </w:p>
    <w:p>
      <w:pPr>
        <w:spacing w:before="0" w:after="80" w:line="360" w:lineRule="auto"/>
        <w:ind w:firstLine="709"/>
        <w:jc w:val="both"/>
      </w:pPr>
      <w:r>
        <w:rPr>
          <w:b/>
          <w:i w:val="0"/>
          <w:color w:val="12324A"/>
        </w:rPr>
        <w:t xml:space="preserve">Dispositivo aplicável. </w:t>
      </w:r>
      <w:r>
        <w:rPr>
          <w:b w:val="0"/>
          <w:i w:val="0"/>
        </w:rPr>
        <w:t>A matéria é disciplinada pelo art. 18, inciso IV, da Lei 14.133/2021, que assim dispõe:</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o orçamento estimado, com as composições dos preços utilizados para sua formação;</w:t>
      </w:r>
      <w:r>
        <w:rPr>
          <w:b w:val="0"/>
          <w:i w:val="0"/>
          <w:sz w:val="20"/>
        </w:rPr>
        <w:t xml:space="preserve"> (BRASIL, 2021, art. 18, inciso IV)</w:t>
      </w:r>
    </w:p>
    <w:p>
      <w:pPr>
        <w:spacing w:before="0" w:after="120" w:line="360" w:lineRule="auto"/>
        <w:ind w:firstLine="709"/>
        <w:jc w:val="both"/>
      </w:pPr>
      <w:r>
        <w:rPr>
          <w:b/>
          <w:i w:val="0"/>
          <w:color w:val="12324A"/>
        </w:rPr>
        <w:t xml:space="preserve">Análise. </w:t>
      </w:r>
      <w:r>
        <w:rPr>
          <w:b w:val="0"/>
          <w:i w:val="0"/>
        </w:rPr>
        <w:t>O orçamento estimado, com as composições, deve ser consistente (art. 18, IV). Valores diferentes em peças do mesmo edital geram dúvida sobre o limite de aceitabilidade (itens 12.1, 12.4 e 12.11) e sobre o valor da ata e das garantias.</w:t>
      </w:r>
    </w:p>
    <w:p>
      <w:pPr>
        <w:spacing w:before="0" w:after="120" w:line="360" w:lineRule="auto"/>
        <w:ind w:firstLine="709"/>
        <w:jc w:val="both"/>
      </w:pPr>
      <w:r>
        <w:rPr>
          <w:b/>
          <w:i w:val="0"/>
          <w:color w:val="C9781E"/>
        </w:rPr>
        <w:t xml:space="preserve">Risco de manutenção. </w:t>
      </w:r>
      <w:r>
        <w:rPr>
          <w:b w:val="0"/>
          <w:i w:val="0"/>
        </w:rPr>
        <w:t>Discussão sobre o teto de aceitação das propostas e sobre a base de cálculo de garantia e sanções. A divergência é de pequena monta, mas indica falha de revisão.</w:t>
      </w:r>
    </w:p>
    <w:p>
      <w:pPr>
        <w:spacing w:before="0" w:after="120" w:line="360" w:lineRule="auto"/>
        <w:ind w:firstLine="709"/>
        <w:jc w:val="both"/>
      </w:pPr>
      <w:r>
        <w:rPr>
          <w:b/>
          <w:i w:val="0"/>
          <w:color w:val="12324A"/>
        </w:rPr>
        <w:t xml:space="preserve">Providência recomendada. </w:t>
      </w:r>
      <w:r>
        <w:rPr>
          <w:b w:val="0"/>
          <w:i w:val="0"/>
        </w:rPr>
        <w:t>Identificar o valor correto, uniformizar edital, TR, Anexo I e Anexo A, e registrar a retificação ou o saneamento no processo e na ata. Anexar a planilha em Excel com fórmulas para conferência automática.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 valor total estimado da contratação é de R$ 27.069.600,00 (vinte e sete milhões, sessenta e nove mil e seiscentos reais), conforme Anexo A.</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3.6 Índice de reajuste com data-base no orçamento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Anexo I, página 55 (cf. item 23.1, página 46; minuta, cláusula quinta, página 120)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prevê reajuste por IPCA, após 12 meses "contados da data do orçamento estimado" (itens 23.1 e 23.2), e o TR (item 1.5) vincula a data-base ao orçamento, o que atende ao art. 25, § 7º. A data do orçamento declarada no Anexo I, porém, é 29/11/2026, posterior à publicação do edital (20/02/2026) e à própria data desta análise. É um erro material que compromete a data-base efetiva do reajuste. O Anexo A não indica data, e a minuta (cláusula quinta) tem prazo e índice em branco.</w:t>
      </w:r>
    </w:p>
    <w:p>
      <w:pPr>
        <w:spacing w:before="0" w:after="120" w:line="360" w:lineRule="auto"/>
        <w:ind w:firstLine="709"/>
        <w:jc w:val="both"/>
      </w:pPr>
      <w:r>
        <w:rPr>
          <w:b w:val="0"/>
          <w:i w:val="0"/>
        </w:rPr>
        <w:t>O documento dispõe: “Data do orçamento estimado: 29/11/2026” (Anexo I, página 55 (cf. item 23.1, página 46; minuta, cláusula quinta, página 120)).</w:t>
      </w:r>
    </w:p>
    <w:p>
      <w:pPr>
        <w:spacing w:before="0" w:after="80" w:line="360" w:lineRule="auto"/>
        <w:ind w:firstLine="709"/>
        <w:jc w:val="both"/>
      </w:pPr>
      <w:r>
        <w:rPr>
          <w:b/>
          <w:i w:val="0"/>
          <w:color w:val="12324A"/>
        </w:rPr>
        <w:t xml:space="preserve">Dispositivo aplicável. </w:t>
      </w:r>
      <w:r>
        <w:rPr>
          <w:b w:val="0"/>
          <w:i w:val="0"/>
        </w:rPr>
        <w:t>A matéria é disciplinada pelo art. 25, § 7º e pelo art. 92, § 3º, da Lei 14.133/2021, que assim dispõem:</w:t>
      </w:r>
    </w:p>
    <w:p>
      <w:pPr>
        <w:spacing w:before="80" w:after="200" w:line="240" w:lineRule="auto"/>
        <w:ind w:firstLine="0" w:left="2268"/>
        <w:jc w:val="both"/>
      </w:pPr>
      <w:r>
        <w:rPr>
          <w:b w:val="0"/>
          <w:i w:val="0"/>
          <w:sz w:val="20"/>
        </w:rPr>
        <w:t>Independentemente do prazo de duração do contrato, será obrigatória a previsão no edital de índice de reajustamento de preço, com data-base vinculada à data do orçamento estimado e com a possibilidade de ser estabelecido mais de um índice específico ou setorial, em conformidade com a realidade de mercado dos respectivos insumos.</w:t>
      </w:r>
      <w:r>
        <w:rPr>
          <w:b w:val="0"/>
          <w:i w:val="0"/>
          <w:sz w:val="20"/>
        </w:rPr>
        <w:t xml:space="preserve"> (BRASIL, 2021, art. 25, § 7º)</w:t>
      </w:r>
    </w:p>
    <w:p>
      <w:pPr>
        <w:spacing w:before="80" w:after="200" w:line="240" w:lineRule="auto"/>
        <w:ind w:firstLine="0" w:left="2268"/>
        <w:jc w:val="both"/>
      </w:pPr>
      <w:r>
        <w:rPr>
          <w:b w:val="0"/>
          <w:i w:val="0"/>
          <w:sz w:val="20"/>
        </w:rPr>
        <w:t>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w:t>
      </w:r>
      <w:r>
        <w:rPr>
          <w:b w:val="0"/>
          <w:i w:val="0"/>
          <w:sz w:val="20"/>
        </w:rPr>
        <w:t xml:space="preserve"> (BRASIL, 2021, art. 92, § 3º)</w:t>
      </w:r>
    </w:p>
    <w:p>
      <w:pPr>
        <w:spacing w:before="0" w:after="120" w:line="360" w:lineRule="auto"/>
        <w:ind w:firstLine="709"/>
        <w:jc w:val="both"/>
      </w:pPr>
      <w:r>
        <w:rPr>
          <w:b/>
          <w:i w:val="0"/>
          <w:color w:val="12324A"/>
        </w:rPr>
        <w:t xml:space="preserve">Análise. </w:t>
      </w:r>
      <w:r>
        <w:rPr>
          <w:b w:val="0"/>
          <w:i w:val="0"/>
        </w:rPr>
        <w:t>A lei exige data-base vinculada à data do orçamento estimado (art. 25, § 7º; art. 92, § 3º). Com data inválida, o marco inicial do reajuste fica incerto.</w:t>
      </w:r>
    </w:p>
    <w:p>
      <w:pPr>
        <w:spacing w:before="0" w:after="120" w:line="360" w:lineRule="auto"/>
        <w:ind w:firstLine="709"/>
        <w:jc w:val="both"/>
      </w:pPr>
      <w:r>
        <w:rPr>
          <w:b/>
          <w:i w:val="0"/>
          <w:color w:val="C9781E"/>
        </w:rPr>
        <w:t xml:space="preserve">Risco de manutenção. </w:t>
      </w:r>
      <w:r>
        <w:rPr>
          <w:b w:val="0"/>
          <w:i w:val="0"/>
        </w:rPr>
        <w:t>Disputa na execução sobre o mês de referência (Io) do IPCA e sobre o primeiro reajuste.</w:t>
      </w:r>
    </w:p>
    <w:p>
      <w:pPr>
        <w:spacing w:before="0" w:after="120" w:line="360" w:lineRule="auto"/>
        <w:ind w:firstLine="709"/>
        <w:jc w:val="both"/>
      </w:pPr>
      <w:r>
        <w:rPr>
          <w:b/>
          <w:i w:val="0"/>
          <w:color w:val="12324A"/>
        </w:rPr>
        <w:t xml:space="preserve">Providência recomendada. </w:t>
      </w:r>
      <w:r>
        <w:rPr>
          <w:b w:val="0"/>
          <w:i w:val="0"/>
        </w:rPr>
        <w:t>Apurar a data real da pesquisa/orçamento, retificar o Anexo I e preencher a minuta com o prazo (12 meses) e o índice. Registrar na ata e no contrato o mês-base Io.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Os preços serão reajustados pelo IPCA, com data-base na data do orçamento estimado ([mês/ano real]), observado o interregno mínimo de um ano.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3.7 Garantia de proposta e garantia contratual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Item 20.9, página 42 (cf. item 20.1, página 41)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Não há garantia de proposta. A garantia contratual é de 2% (item 20.1, TR e cláusula nona da minuta), mas o item 20.9 do edital e o item 25.21 do TR mandam complementar a garantia "para que seja mantido o percentual de 5%". As duas informações são contraditórias, embora ambos os percentuais estejam dentro do limite de 5% do art. 98. A minuta da cláusula nona traz, além disso, cinco modalidades de garantia com instruções de modelo ("inserir apenas se for o caso") e exige cópia autenticada e firma reconhecida em alguns casos.</w:t>
      </w:r>
    </w:p>
    <w:p>
      <w:pPr>
        <w:spacing w:before="0" w:after="120" w:line="360" w:lineRule="auto"/>
        <w:ind w:firstLine="709"/>
        <w:jc w:val="both"/>
      </w:pPr>
      <w:r>
        <w:rPr>
          <w:b w:val="0"/>
          <w:i w:val="0"/>
        </w:rPr>
        <w:t>O documento dispõe: “mantido o percentual de 5% (cinco por cento) do valor do Contrato.” (Item 20.9, página 42 (cf. item 20.1, página 41)).</w:t>
      </w:r>
    </w:p>
    <w:p>
      <w:pPr>
        <w:spacing w:before="0" w:after="80" w:line="360" w:lineRule="auto"/>
        <w:ind w:firstLine="709"/>
        <w:jc w:val="both"/>
      </w:pPr>
      <w:r>
        <w:rPr>
          <w:b/>
          <w:i w:val="0"/>
          <w:color w:val="12324A"/>
        </w:rPr>
        <w:t xml:space="preserve">Dispositivo aplicável. </w:t>
      </w:r>
      <w:r>
        <w:rPr>
          <w:b w:val="0"/>
          <w:i w:val="0"/>
        </w:rPr>
        <w:t>A matéria é disciplinada pelo art. 58, § 1º e pelo art. 98, da Lei 14.133/2021, que assim dispõem:</w:t>
      </w:r>
    </w:p>
    <w:p>
      <w:pPr>
        <w:spacing w:before="80" w:after="200" w:line="240" w:lineRule="auto"/>
        <w:ind w:firstLine="0" w:left="2268"/>
        <w:jc w:val="both"/>
      </w:pPr>
      <w:r>
        <w:rPr>
          <w:b w:val="0"/>
          <w:i w:val="0"/>
          <w:sz w:val="20"/>
        </w:rPr>
        <w:t>A garantia de proposta não poderá ser superior a 1% (um por cento) do valor estimado para a contratação.</w:t>
      </w:r>
      <w:r>
        <w:rPr>
          <w:b w:val="0"/>
          <w:i w:val="0"/>
          <w:sz w:val="20"/>
        </w:rPr>
        <w:t xml:space="preserve"> (BRASIL, 2021, art. 58, § 1º)</w:t>
      </w:r>
    </w:p>
    <w:p>
      <w:pPr>
        <w:spacing w:before="80" w:after="200" w:line="240" w:lineRule="auto"/>
        <w:ind w:firstLine="0" w:left="2268"/>
        <w:jc w:val="both"/>
      </w:pPr>
      <w:r>
        <w:rPr>
          <w:b w:val="0"/>
          <w:i w:val="0"/>
          <w:sz w:val="20"/>
        </w:rPr>
        <w:t>Nas contratações de obras, serviços e fornecimentos, a garantia poderá ser de até 5% (cinco por cento) do valor inicial do contrato, autorizada a majoração desse percentual para até 10% (dez por cento), desde que justificada mediante análise da complexidade técnica e dos riscos envolvidos.</w:t>
      </w:r>
      <w:r>
        <w:rPr>
          <w:b w:val="0"/>
          <w:i w:val="0"/>
          <w:sz w:val="20"/>
        </w:rPr>
        <w:t xml:space="preserve"> (BRASIL, 2021, art. 98)</w:t>
      </w:r>
    </w:p>
    <w:p>
      <w:pPr>
        <w:spacing w:before="0" w:after="120" w:line="360" w:lineRule="auto"/>
        <w:ind w:firstLine="709"/>
        <w:jc w:val="both"/>
      </w:pPr>
      <w:r>
        <w:rPr>
          <w:b/>
          <w:i w:val="0"/>
          <w:color w:val="12324A"/>
        </w:rPr>
        <w:t xml:space="preserve">Análise. </w:t>
      </w:r>
      <w:r>
        <w:rPr>
          <w:b w:val="0"/>
          <w:i w:val="0"/>
        </w:rPr>
        <w:t>O edital deve fixar com clareza o percentual (art. 98). A contradição pode ser lida como 2% ou como 5%, o que afeta a base de cálculo e a eventual complementação.</w:t>
      </w:r>
    </w:p>
    <w:p>
      <w:pPr>
        <w:spacing w:before="0" w:after="120" w:line="360" w:lineRule="auto"/>
        <w:ind w:firstLine="709"/>
        <w:jc w:val="both"/>
      </w:pPr>
      <w:r>
        <w:rPr>
          <w:b/>
          <w:i w:val="0"/>
          <w:color w:val="C9781E"/>
        </w:rPr>
        <w:t xml:space="preserve">Risco de manutenção. </w:t>
      </w:r>
      <w:r>
        <w:rPr>
          <w:b w:val="0"/>
          <w:i w:val="0"/>
        </w:rPr>
        <w:t>Controvérsia sobre o valor devido e dificuldade de exigir complemento. Percentual superior a 2% sem previsão clara poderia ser contestado.</w:t>
      </w:r>
    </w:p>
    <w:p>
      <w:pPr>
        <w:spacing w:before="0" w:after="120" w:line="360" w:lineRule="auto"/>
        <w:ind w:firstLine="709"/>
        <w:jc w:val="both"/>
      </w:pPr>
      <w:r>
        <w:rPr>
          <w:b/>
          <w:i w:val="0"/>
          <w:color w:val="12324A"/>
        </w:rPr>
        <w:t xml:space="preserve">Providência recomendada. </w:t>
      </w:r>
      <w:r>
        <w:rPr>
          <w:b w:val="0"/>
          <w:i w:val="0"/>
        </w:rPr>
        <w:t>Unificar o percentual (2% ou outro dentro de 5%, com justificativa se majorado até 10%) no edital, TR e minuta. Definir na minuta a modalidade efetivamente admitida e eliminar as instruções de modelo.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Será exigida garantia contratual de 2% (dois por cento) do valor do contrato, mantido esse percentual em caso de alteração do valor (art. 124), observado o art. 98.</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3.8 Minuta de contrato como anexo e cláusulas necessárias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Minuta de contrato, cláusula quinta, página 121; cláusulas terceira, quinta, nona e décima, páginas 119 a 127</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minuta consta como anexo do edital (Anexo XIV na minuta e Anexo XV na relação do item 26.8) e abrange legislação, objeto, valor, pagamento, reajuste, garantia, prazo, obrigações, fiscalização, sanções, extinção e foro. Persistem na versão do edital campos em branco (valor, meses de reajuste, índice, prazo, órgão), instruções de modelo ("[Sendo o serviço por escopo...]", "[No caso de regime de dedicação exclusiva...]", cinco modalidades de garantia) e a numeração das obrigações da contratada salta de XVII para XXII. A cláusula de reequilíbrio traz o prazo de 120 dias com erro de grafia ("cwnto"). Não há matriz de riscos nem cláusula de regime de execução, e o contrato fala em "materiais" e "fornecimento", sem adaptação ao objeto.</w:t>
      </w:r>
    </w:p>
    <w:p>
      <w:pPr>
        <w:spacing w:before="0" w:after="120" w:line="360" w:lineRule="auto"/>
        <w:ind w:firstLine="709"/>
        <w:jc w:val="both"/>
      </w:pPr>
      <w:r>
        <w:rPr>
          <w:b w:val="0"/>
          <w:i w:val="0"/>
        </w:rPr>
        <w:t>O documento dispõe: “[No caso de regime de dedicação exclusiva de mão de obra ou predominância de mão de obra,” (Minuta de contrato, cláusula quinta, página 121; cláusulas terceira, quinta, nona e décima, páginas 119 a 127).</w:t>
      </w:r>
    </w:p>
    <w:p>
      <w:pPr>
        <w:spacing w:before="0" w:after="80" w:line="360" w:lineRule="auto"/>
        <w:ind w:firstLine="709"/>
        <w:jc w:val="both"/>
      </w:pPr>
      <w:r>
        <w:rPr>
          <w:b/>
          <w:i w:val="0"/>
          <w:color w:val="12324A"/>
        </w:rPr>
        <w:t xml:space="preserve">Dispositivo aplicável. </w:t>
      </w:r>
      <w:r>
        <w:rPr>
          <w:b w:val="0"/>
          <w:i w:val="0"/>
        </w:rPr>
        <w:t>A matéria é disciplinada pelo art. 18, inciso VI e pelo art. 92, da Lei 14.133/2021, que assim dispõem:</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elaboração de minuta de contrato, quando necessária, que constará obrigatoriamente como anexo do edital de licitação;</w:t>
      </w:r>
      <w:r>
        <w:rPr>
          <w:b w:val="0"/>
          <w:i w:val="0"/>
          <w:sz w:val="20"/>
        </w:rPr>
        <w:t xml:space="preserve"> (BRASIL, 2021, art. 18, inciso VI)</w:t>
      </w:r>
    </w:p>
    <w:p>
      <w:pPr>
        <w:spacing w:before="80" w:after="200" w:line="240" w:lineRule="auto"/>
        <w:ind w:firstLine="0" w:left="2268"/>
        <w:jc w:val="both"/>
      </w:pPr>
      <w:r>
        <w:rPr>
          <w:b w:val="0"/>
          <w:i w:val="0"/>
          <w:sz w:val="20"/>
        </w:rPr>
        <w:t>São necessárias em todo contrato cláusulas que estabeleçam: […]</w:t>
      </w:r>
      <w:r>
        <w:rPr>
          <w:b w:val="0"/>
          <w:i w:val="0"/>
          <w:sz w:val="20"/>
        </w:rPr>
        <w:t xml:space="preserve"> (BRASIL, 2021, art. 92)</w:t>
      </w:r>
    </w:p>
    <w:p>
      <w:pPr>
        <w:spacing w:before="0" w:after="120" w:line="360" w:lineRule="auto"/>
        <w:ind w:firstLine="709"/>
        <w:jc w:val="both"/>
      </w:pPr>
      <w:r>
        <w:rPr>
          <w:b/>
          <w:i w:val="0"/>
          <w:color w:val="12324A"/>
        </w:rPr>
        <w:t xml:space="preserve">Análise. </w:t>
      </w:r>
      <w:r>
        <w:rPr>
          <w:b w:val="0"/>
          <w:i w:val="0"/>
        </w:rPr>
        <w:t>A minuta é anexo obrigatório e deve conter as cláusulas necessárias (art. 92). Com campos em branco e cláusulas condicionais de modelo, não há segurança sobre as regras que valem, e o licitante não consegue precificar a garantia, o prazo e o reajuste.</w:t>
      </w:r>
    </w:p>
    <w:p>
      <w:pPr>
        <w:spacing w:before="0" w:after="120" w:line="360" w:lineRule="auto"/>
        <w:ind w:firstLine="709"/>
        <w:jc w:val="both"/>
      </w:pPr>
      <w:r>
        <w:rPr>
          <w:b/>
          <w:i w:val="0"/>
          <w:color w:val="C9781E"/>
        </w:rPr>
        <w:t xml:space="preserve">Risco de manutenção. </w:t>
      </w:r>
      <w:r>
        <w:rPr>
          <w:b w:val="0"/>
          <w:i w:val="0"/>
        </w:rPr>
        <w:t>Lacunas na execução, conflito com o edital (prevalência do edital, item 26.5) e dificuldade de aplicar sanções e reajustes.</w:t>
      </w:r>
    </w:p>
    <w:p>
      <w:pPr>
        <w:spacing w:before="0" w:after="120" w:line="360" w:lineRule="auto"/>
        <w:ind w:firstLine="709"/>
        <w:jc w:val="both"/>
      </w:pPr>
      <w:r>
        <w:rPr>
          <w:b/>
          <w:i w:val="0"/>
          <w:color w:val="12324A"/>
        </w:rPr>
        <w:t xml:space="preserve">Providência recomendada. </w:t>
      </w:r>
      <w:r>
        <w:rPr>
          <w:b w:val="0"/>
          <w:i w:val="0"/>
        </w:rPr>
        <w:t>Antes de formalizar os contratos decorrentes da ata, preencher os campos, excluir as cláusulas de modelo sem pertinência, adaptar a redação ao objeto (software e locação) e considerar uma matriz de riscos. Na minuta futura, publicar o modelo já adaptado ao objeto.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3.9 Registro de preços: quantidades e vigência da ata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TR, item 21.2 (nota explicativa), página 60; edital, item 7.5.1, página 7</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ata vige por 12 meses, prorrogáveis por mais 12 (item 7.5), e a quantidade máxima por item é 100% (item 4.1.1). O quantitativo de 145.000 licenças é estimado para 12 meses, com base em "estimativas técnicas" sem fonte (cerca de 74% da população de 197 mil). O TR e o edital (item 7.5.1; TR 25.27) admitem "renovação do quantitativo" na prorrogação da ata, o que pode dobrar o volume registrado e a base das adesões sem nova licitação. Não consta memória de cálculo para o número de salas (10), tablets (200) e demais itens.</w:t>
      </w:r>
    </w:p>
    <w:p>
      <w:pPr>
        <w:spacing w:before="0" w:after="120" w:line="360" w:lineRule="auto"/>
        <w:ind w:firstLine="709"/>
        <w:jc w:val="both"/>
      </w:pPr>
      <w:r>
        <w:rPr>
          <w:b w:val="0"/>
          <w:i w:val="0"/>
        </w:rPr>
        <w:t>O documento dispõe: “A contratação estima a aquisição de 145.000 (cento e quarenta e cinco mil)” (TR, item 21.2 (nota explicativa), página 60; edital, item 7.5.1, página 7).</w:t>
      </w:r>
    </w:p>
    <w:p>
      <w:pPr>
        <w:spacing w:before="0" w:after="80" w:line="360" w:lineRule="auto"/>
        <w:ind w:firstLine="709"/>
        <w:jc w:val="both"/>
      </w:pPr>
      <w:r>
        <w:rPr>
          <w:b/>
          <w:i w:val="0"/>
          <w:color w:val="12324A"/>
        </w:rPr>
        <w:t xml:space="preserve">Dispositivo aplicável. </w:t>
      </w:r>
      <w:r>
        <w:rPr>
          <w:b w:val="0"/>
          <w:i w:val="0"/>
        </w:rPr>
        <w:t>A matéria é disciplinada pelo art. 82, inciso I, pelo art. 84 e pelo art. 18, § 1º, inciso IV, da Lei 14.133/2021, que assim dispõem:</w:t>
      </w:r>
    </w:p>
    <w:p>
      <w:pPr>
        <w:spacing w:before="80" w:after="200" w:line="240" w:lineRule="auto"/>
        <w:ind w:firstLine="0" w:left="2268"/>
        <w:jc w:val="both"/>
      </w:pPr>
      <w:r>
        <w:rPr>
          <w:b w:val="0"/>
          <w:i w:val="0"/>
          <w:sz w:val="20"/>
        </w:rPr>
        <w:t>O edital de licitação para registro de preços observará as regras gerais desta Lei e deverá dispor sobre: […] as especificidades da licitação e de seu objeto, inclusive a quantidade máxima de cada item que poderá ser adquirida;</w:t>
      </w:r>
      <w:r>
        <w:rPr>
          <w:b w:val="0"/>
          <w:i w:val="0"/>
          <w:sz w:val="20"/>
        </w:rPr>
        <w:t xml:space="preserve"> (BRASIL, 2021, art. 82, inciso I)</w:t>
      </w:r>
    </w:p>
    <w:p>
      <w:pPr>
        <w:spacing w:before="80" w:after="200" w:line="240" w:lineRule="auto"/>
        <w:ind w:firstLine="0" w:left="2268"/>
        <w:jc w:val="both"/>
      </w:pPr>
      <w:r>
        <w:rPr>
          <w:b w:val="0"/>
          <w:i w:val="0"/>
          <w:sz w:val="20"/>
        </w:rPr>
        <w:t>O prazo de vigência da ata de registro de preços será de 1 (um) ano e poderá ser prorrogado, por igual período, desde que comprovado o preço vantajoso.</w:t>
      </w:r>
      <w:r>
        <w:rPr>
          <w:b w:val="0"/>
          <w:i w:val="0"/>
          <w:sz w:val="20"/>
        </w:rPr>
        <w:t xml:space="preserve"> (BRASIL, 2021, art. 84)</w:t>
      </w:r>
    </w:p>
    <w:p>
      <w:pPr>
        <w:spacing w:before="80" w:after="200" w:line="240" w:lineRule="auto"/>
        <w:ind w:firstLine="0" w:left="2268"/>
        <w:jc w:val="both"/>
      </w:pPr>
      <w:r>
        <w:rPr>
          <w:b w:val="0"/>
          <w:i w:val="0"/>
          <w:sz w:val="20"/>
        </w:rPr>
        <w:t>O estudo técnico preliminar a que se refere o inciso I do caput deste artigo deverá evidenciar o problema a ser resolvido e a sua melhor solução, de modo a permitir a avaliação da viabilidade técnica e econômica da contratação, e conterá os seguintes elementos: […] estimativas das quantidades para a contratação, acompanhadas das memórias de cálculo e dos documentos que lhes dão suporte, que considerem interdependências com outras contratações, de modo a possibilitar economia de escala;</w:t>
      </w:r>
      <w:r>
        <w:rPr>
          <w:b w:val="0"/>
          <w:i w:val="0"/>
          <w:sz w:val="20"/>
        </w:rPr>
        <w:t xml:space="preserve"> (BRASIL, 2021, art. 18, § 1º, inciso IV)</w:t>
      </w:r>
    </w:p>
    <w:p>
      <w:pPr>
        <w:spacing w:before="0" w:after="120" w:line="360" w:lineRule="auto"/>
        <w:ind w:firstLine="709"/>
        <w:jc w:val="both"/>
      </w:pPr>
      <w:r>
        <w:rPr>
          <w:b/>
          <w:i w:val="0"/>
          <w:color w:val="12324A"/>
        </w:rPr>
        <w:t xml:space="preserve">Análise. </w:t>
      </w:r>
      <w:r>
        <w:rPr>
          <w:b w:val="0"/>
          <w:i w:val="0"/>
        </w:rPr>
        <w:t>O art. 82, I, exige quantidade máxima compatível com a vigência, e o ETP deve trazer memória de cálculo (art. 18, § 1º, IV). A renovação automática de quantitativo na prorrogação da ata tem de ser examinada, pois o art. 84 trata da prorrogação do prazo.</w:t>
      </w:r>
    </w:p>
    <w:p>
      <w:pPr>
        <w:spacing w:before="0" w:after="120" w:line="360" w:lineRule="auto"/>
        <w:ind w:firstLine="709"/>
        <w:jc w:val="both"/>
      </w:pPr>
      <w:r>
        <w:rPr>
          <w:b/>
          <w:i w:val="0"/>
          <w:color w:val="C9781E"/>
        </w:rPr>
        <w:t xml:space="preserve">Risco de manutenção. </w:t>
      </w:r>
      <w:r>
        <w:rPr>
          <w:b w:val="0"/>
          <w:i w:val="0"/>
        </w:rPr>
        <w:t>Superestimativa do registro, inflando o limite das adesões e o valor a pagar, com pagamento mensal fixo de R$ 1.160.000,00 pelas licenças (Anexo A) independentemente da efetiva adesão da população.</w:t>
      </w:r>
    </w:p>
    <w:p>
      <w:pPr>
        <w:spacing w:before="0" w:after="120" w:line="360" w:lineRule="auto"/>
        <w:ind w:firstLine="709"/>
        <w:jc w:val="both"/>
      </w:pPr>
      <w:r>
        <w:rPr>
          <w:b/>
          <w:i w:val="0"/>
          <w:color w:val="12324A"/>
        </w:rPr>
        <w:t xml:space="preserve">Providência recomendada. </w:t>
      </w:r>
      <w:r>
        <w:rPr>
          <w:b w:val="0"/>
          <w:i w:val="0"/>
        </w:rPr>
        <w:t>Juntar ao processo a memória de cálculo de cada quantidade, indicando a fonte da estimativa de 145 mil usuários. Revisar a possibilidade de renovação de quantitativo na prorrogação e, se mantida, justificar a base legal. Avaliar o pagamento por licença efetivamente ativa, e não fixo.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3.10 Coerência interna do edital e dos anexos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Item 26.7, página 53 (cf. itens 5.2, 20.1/20.9, 26.8 e TR)</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Há contradições entre as peças.</w:t>
        <w:br/>
        <w:t>(i) Valor estimado: R$ 27.069.800 (item 5.2, Anexo I, TR) × R$ 27.069.600 (Anexo A e PNCP).</w:t>
        <w:br/>
        <w:t>(ii) Data do orçamento: 29/11/2026, posterior à divulgação.</w:t>
        <w:br/>
        <w:t>(iii) Garantia: 2% × 5% (itens 20.1 e 20.9).</w:t>
        <w:br/>
        <w:t>(iv) Anexos: o item 26.8 lista "Anexo XIV – Ata" e "Anexo XV – Minuta", enquanto o corpo do edital e os anexos tratam a Ata como XIII e a Minuta como XIV.</w:t>
        <w:br/>
        <w:t>(v) O edital declara "146 folhas", e o documento tem 142 páginas (folhas 758 a 898).</w:t>
        <w:br/>
        <w:t>(vi) Dotação orçamentária diferente no edital (programa 18.01.13.392.0019.1.074) e no TR (180104.122.0001 e 180113.392.0019.1298).</w:t>
        <w:br/>
        <w:t>(vii) Natureza do objeto: TR 21.3 (serviços comuns) × 21.4 (bens comuns).</w:t>
        <w:br/>
        <w:t>(viii) Recebimento definitivo: 30 dias úteis (TR) × 10 dias úteis (modelo, Anexo C).</w:t>
        <w:br/>
        <w:t>(ix) Referências a itens inexistentes ("item 6.17", "item 5.31.5") e numeração desordenada do TR.</w:t>
        <w:br/>
        <w:t>(x) Anexo I com um item único × Anexo A com seis itens.</w:t>
      </w:r>
    </w:p>
    <w:p>
      <w:pPr>
        <w:spacing w:before="0" w:after="120" w:line="360" w:lineRule="auto"/>
        <w:ind w:firstLine="709"/>
        <w:jc w:val="both"/>
      </w:pPr>
      <w:r>
        <w:rPr>
          <w:b w:val="0"/>
          <w:i w:val="0"/>
        </w:rPr>
        <w:t>O documento dispõe: “Este Edital contém 146 (cento e quarenta e seis) folhas rubricadas e numericamente” (Item 26.7, página 53 (cf. itens 5.2, 20.1/20.9, 26.8 e TR)).</w:t>
      </w:r>
    </w:p>
    <w:p>
      <w:pPr>
        <w:spacing w:before="0" w:after="80" w:line="360" w:lineRule="auto"/>
        <w:ind w:firstLine="709"/>
        <w:jc w:val="both"/>
      </w:pPr>
      <w:r>
        <w:rPr>
          <w:b/>
          <w:i w:val="0"/>
          <w:color w:val="12324A"/>
        </w:rPr>
        <w:t xml:space="preserve">Dispositivo aplicável. </w:t>
      </w:r>
      <w:r>
        <w:rPr>
          <w:b w:val="0"/>
          <w:i w:val="0"/>
        </w:rPr>
        <w:t>A matéria é disciplinada pelo art. 25 e pelo art. 18, inciso IX, da Lei 14.133/2021, que assim dispõem:</w:t>
      </w:r>
    </w:p>
    <w:p>
      <w:pPr>
        <w:spacing w:before="80" w:after="200" w:line="240" w:lineRule="auto"/>
        <w:ind w:firstLine="0" w:left="2268"/>
        <w:jc w:val="both"/>
      </w:pPr>
      <w:r>
        <w:rPr>
          <w:b w:val="0"/>
          <w:i w:val="0"/>
          <w:sz w:val="20"/>
        </w:rPr>
        <w:t>O edital deverá conter o objeto da licitação e as regras relativas à convocação, ao julgamento, à habilitação, aos recursos e às penalidades da licitação, à fiscalização e à gestão do contrato, à entrega do objeto e às condições de pagamento.</w:t>
      </w:r>
      <w:r>
        <w:rPr>
          <w:b w:val="0"/>
          <w:i w:val="0"/>
          <w:sz w:val="20"/>
        </w:rPr>
        <w:t xml:space="preserve"> (BRASIL, 2021, art. 25)</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r>
        <w:rPr>
          <w:b w:val="0"/>
          <w:i w:val="0"/>
          <w:sz w:val="20"/>
        </w:rPr>
        <w:t xml:space="preserve"> (BRASIL, 2021, art. 18, inciso IX)</w:t>
      </w:r>
    </w:p>
    <w:p>
      <w:pPr>
        <w:spacing w:before="0" w:after="120" w:line="360" w:lineRule="auto"/>
        <w:ind w:firstLine="709"/>
        <w:jc w:val="both"/>
      </w:pPr>
      <w:r>
        <w:rPr>
          <w:b/>
          <w:i w:val="0"/>
          <w:color w:val="12324A"/>
        </w:rPr>
        <w:t xml:space="preserve">Análise. </w:t>
      </w:r>
      <w:r>
        <w:rPr>
          <w:b w:val="0"/>
          <w:i w:val="0"/>
        </w:rPr>
        <w:t>O edital deve ser coerente em suas regras (art. 25), e a motivação das condições do edital deve ser circunstanciada (art. 18, IX). A cláusula 26.5 resolve conflitos pela prevalência do edital, mas não elimina a dúvida do licitante.</w:t>
      </w:r>
    </w:p>
    <w:p>
      <w:pPr>
        <w:spacing w:before="0" w:after="120" w:line="360" w:lineRule="auto"/>
        <w:ind w:firstLine="709"/>
        <w:jc w:val="both"/>
      </w:pPr>
      <w:r>
        <w:rPr>
          <w:b/>
          <w:i w:val="0"/>
          <w:color w:val="C9781E"/>
        </w:rPr>
        <w:t xml:space="preserve">Risco de manutenção. </w:t>
      </w:r>
      <w:r>
        <w:rPr>
          <w:b w:val="0"/>
          <w:i w:val="0"/>
        </w:rPr>
        <w:t>Impugnações, recursos e questionamentos de órgão de controle sobre falhas de revisão.</w:t>
      </w:r>
    </w:p>
    <w:p>
      <w:pPr>
        <w:spacing w:before="0" w:after="120" w:line="360" w:lineRule="auto"/>
        <w:ind w:firstLine="709"/>
        <w:jc w:val="both"/>
      </w:pPr>
      <w:r>
        <w:rPr>
          <w:b/>
          <w:i w:val="0"/>
          <w:color w:val="12324A"/>
        </w:rPr>
        <w:t xml:space="preserve">Providência recomendada. </w:t>
      </w:r>
      <w:r>
        <w:rPr>
          <w:b w:val="0"/>
          <w:i w:val="0"/>
        </w:rPr>
        <w:t>Fazer revisão cruzada de edital, TR, anexos e minutas e retificar o saneamento na ata e nos contratos. Preferir tabela única de valor, datas, garantia, dotação e numeração de anexos nos próximos editais.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3.11 Orçamento estimado sem pesquisa de preços visível e valores unitários a esclarecer</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Anexo I, página 55; Anexo A, página 56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Os documentos enviados não trazem pesquisa de preços, fontes, cesta de preços nem memória das composições. O Anexo I apresenta a data de orçamento inválida (29/11/2026). O Anexo A traz, por exemplo, locação de módulo de 70 m² com 20 posições a R$ 93.000,00 por mês, tablet a R$ 320,00 por mês e licença a R$ 8,00 por mês. O sistema calculou análise de preços com amostra heterogênea (6 itens, 0 compatíveis), o que não permite concluir sobre sobrepreço. Não se afirma sobrepreço, mas a compatibilidade dos valores com o mercado não pode ser aferida pelo documento.</w:t>
      </w:r>
    </w:p>
    <w:p>
      <w:pPr>
        <w:spacing w:before="0" w:after="120" w:line="360" w:lineRule="auto"/>
        <w:ind w:firstLine="709"/>
        <w:jc w:val="both"/>
      </w:pPr>
      <w:r>
        <w:rPr>
          <w:b w:val="0"/>
          <w:i w:val="0"/>
        </w:rPr>
        <w:t>O documento dispõe: “Data do orçamento estimado: 29/11/2026” (Anexo I, página 55; Anexo A, página 56).</w:t>
      </w:r>
    </w:p>
    <w:p>
      <w:pPr>
        <w:spacing w:before="0" w:after="80" w:line="360" w:lineRule="auto"/>
        <w:ind w:firstLine="709"/>
        <w:jc w:val="both"/>
      </w:pPr>
      <w:r>
        <w:rPr>
          <w:b/>
          <w:i w:val="0"/>
          <w:color w:val="12324A"/>
        </w:rPr>
        <w:t xml:space="preserve">Dispositivo aplicável. </w:t>
      </w:r>
      <w:r>
        <w:rPr>
          <w:b w:val="0"/>
          <w:i w:val="0"/>
        </w:rPr>
        <w:t>A matéria é disciplinada pelo art. 23 e pelo art. 18, inciso IV, da Lei 14.133/2021, que assim dispõem:</w:t>
      </w:r>
    </w:p>
    <w:p>
      <w:pPr>
        <w:spacing w:before="80" w:after="200" w:line="240" w:lineRule="auto"/>
        <w:ind w:firstLine="0" w:left="2268"/>
        <w:jc w:val="both"/>
      </w:pPr>
      <w:r>
        <w:rPr>
          <w:b w:val="0"/>
          <w:i w:val="0"/>
          <w:sz w:val="20"/>
        </w:rPr>
        <w:t>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r>
        <w:rPr>
          <w:b w:val="0"/>
          <w:i w:val="0"/>
          <w:sz w:val="20"/>
        </w:rPr>
        <w:t xml:space="preserve"> (BRASIL, 2021, art. 23)</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o orçamento estimado, com as composições dos preços utilizados para sua formação;</w:t>
      </w:r>
      <w:r>
        <w:rPr>
          <w:b w:val="0"/>
          <w:i w:val="0"/>
          <w:sz w:val="20"/>
        </w:rPr>
        <w:t xml:space="preserve"> (BRASIL, 2021, art. 18, inciso IV)</w:t>
      </w:r>
    </w:p>
    <w:p>
      <w:pPr>
        <w:spacing w:before="0" w:after="120" w:line="360" w:lineRule="auto"/>
        <w:ind w:firstLine="709"/>
        <w:jc w:val="both"/>
      </w:pPr>
      <w:r>
        <w:rPr>
          <w:b/>
          <w:i w:val="0"/>
          <w:color w:val="12324A"/>
        </w:rPr>
        <w:t xml:space="preserve">Análise. </w:t>
      </w:r>
      <w:r>
        <w:rPr>
          <w:b w:val="0"/>
          <w:i w:val="0"/>
        </w:rPr>
        <w:t>O valor estimado deve ser compatível com os praticados no mercado, com bancos de dados públicos e as quantidades contratadas (art. 23), e o orçamento deve vir com as composições dos preços (art. 18, IV).</w:t>
      </w:r>
    </w:p>
    <w:p>
      <w:pPr>
        <w:spacing w:before="0" w:after="120" w:line="360" w:lineRule="auto"/>
        <w:ind w:firstLine="709"/>
        <w:jc w:val="both"/>
      </w:pPr>
      <w:r>
        <w:rPr>
          <w:b/>
          <w:i w:val="0"/>
          <w:color w:val="C9781E"/>
        </w:rPr>
        <w:t xml:space="preserve">Risco de manutenção. </w:t>
      </w:r>
      <w:r>
        <w:rPr>
          <w:b w:val="0"/>
          <w:i w:val="0"/>
        </w:rPr>
        <w:t>Risco de questionamento de sobrepreço, notadamente nas parcelas de maior valor: locação das salas (41% do total) e licenças (51%).</w:t>
      </w:r>
    </w:p>
    <w:p>
      <w:pPr>
        <w:spacing w:before="0" w:after="120" w:line="360" w:lineRule="auto"/>
        <w:ind w:firstLine="709"/>
        <w:jc w:val="both"/>
      </w:pPr>
      <w:r>
        <w:rPr>
          <w:b/>
          <w:i w:val="0"/>
          <w:color w:val="12324A"/>
        </w:rPr>
        <w:t xml:space="preserve">Providência recomendada. </w:t>
      </w:r>
      <w:r>
        <w:rPr>
          <w:b w:val="0"/>
          <w:i w:val="0"/>
        </w:rPr>
        <w:t>Esclarecer junto ao órgão responsável (por exemplo, por pedido de esclarecimento, art. 164) onde está a pesquisa de preços e a composição de cada item, inclusive o que compõe o valor de R$ 93.000 por sala e a fonte do preço da licença. Em caso de ausência, refazer a pesquisa antes de contratar a partir da ata, e corrigir a data do orçamento.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3.12 Quantitativo de 145.000 licenças e pagamento fixo mensal desvinculado da efetiva utilização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TR, item 21.2 (nota explicativa), página 60; Anexo (D), página 100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quantitativo de licenças (145.000, cerca de 74% da população de 197 mil) se apoia em "estimativas técnicas" sem fonte. O cronograma físico-financeiro prevê 12 parcelas iguais de R$ 2.255.800,00 desde o mês 1, enquanto o prazo de instalação das salas é de até 60 dias úteis após a ordem de fornecimento, e o aplicativo, 10 dias úteis após a assinatura. O item 22.4 diz que o pagamento será pelo efetivo serviço.</w:t>
      </w:r>
    </w:p>
    <w:p>
      <w:pPr>
        <w:spacing w:before="0" w:after="120" w:line="360" w:lineRule="auto"/>
        <w:ind w:firstLine="709"/>
        <w:jc w:val="both"/>
      </w:pPr>
      <w:r>
        <w:rPr>
          <w:b w:val="0"/>
          <w:i w:val="0"/>
        </w:rPr>
        <w:t>O documento dispõe: “Estimativas técnicas apontam que cerca de 145 mil habitantes representam o público potencial” (TR, item 21.2 (nota explicativa), página 60; Anexo (D), página 100).</w:t>
      </w:r>
    </w:p>
    <w:p>
      <w:pPr>
        <w:spacing w:before="0" w:after="80" w:line="360" w:lineRule="auto"/>
        <w:ind w:firstLine="709"/>
        <w:jc w:val="both"/>
      </w:pPr>
      <w:r>
        <w:rPr>
          <w:b/>
          <w:i w:val="0"/>
          <w:color w:val="12324A"/>
        </w:rPr>
        <w:t xml:space="preserve">Dispositivo aplicável. </w:t>
      </w:r>
      <w:r>
        <w:rPr>
          <w:b w:val="0"/>
          <w:i w:val="0"/>
        </w:rPr>
        <w:t>A matéria é disciplinada pelo art. 18, § 1º, inciso IV e pelo art. 23, da Lei 14.133/2021, que assim dispõem:</w:t>
      </w:r>
    </w:p>
    <w:p>
      <w:pPr>
        <w:spacing w:before="80" w:after="200" w:line="240" w:lineRule="auto"/>
        <w:ind w:firstLine="0" w:left="2268"/>
        <w:jc w:val="both"/>
      </w:pPr>
      <w:r>
        <w:rPr>
          <w:b w:val="0"/>
          <w:i w:val="0"/>
          <w:sz w:val="20"/>
        </w:rPr>
        <w:t>O estudo técnico preliminar a que se refere o inciso I do caput deste artigo deverá evidenciar o problema a ser resolvido e a sua melhor solução, de modo a permitir a avaliação da viabilidade técnica e econômica da contratação, e conterá os seguintes elementos: […] estimativas das quantidades para a contratação, acompanhadas das memórias de cálculo e dos documentos que lhes dão suporte, que considerem interdependências com outras contratações, de modo a possibilitar economia de escala;</w:t>
      </w:r>
      <w:r>
        <w:rPr>
          <w:b w:val="0"/>
          <w:i w:val="0"/>
          <w:sz w:val="20"/>
        </w:rPr>
        <w:t xml:space="preserve"> (BRASIL, 2021, art. 18, § 1º, inciso IV)</w:t>
      </w:r>
    </w:p>
    <w:p>
      <w:pPr>
        <w:spacing w:before="80" w:after="200" w:line="240" w:lineRule="auto"/>
        <w:ind w:firstLine="0" w:left="2268"/>
        <w:jc w:val="both"/>
      </w:pPr>
      <w:r>
        <w:rPr>
          <w:b w:val="0"/>
          <w:i w:val="0"/>
          <w:sz w:val="20"/>
        </w:rPr>
        <w:t>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r>
        <w:rPr>
          <w:b w:val="0"/>
          <w:i w:val="0"/>
          <w:sz w:val="20"/>
        </w:rPr>
        <w:t xml:space="preserve"> (BRASIL, 2021, art. 23)</w:t>
      </w:r>
    </w:p>
    <w:p>
      <w:pPr>
        <w:spacing w:before="0" w:after="120" w:line="360" w:lineRule="auto"/>
        <w:ind w:firstLine="709"/>
        <w:jc w:val="both"/>
      </w:pPr>
      <w:r>
        <w:rPr>
          <w:b/>
          <w:i w:val="0"/>
          <w:color w:val="12324A"/>
        </w:rPr>
        <w:t xml:space="preserve">Análise. </w:t>
      </w:r>
      <w:r>
        <w:rPr>
          <w:b w:val="0"/>
          <w:i w:val="0"/>
        </w:rPr>
        <w:t>O quantitativo deve ter memória de cálculo e suporte documental (art. 18, § 1º, IV) e o valor estimado deve considerar as quantidades efetivamente contratadas (art. 23). O pagamento integral por licenças que ainda não têm usuários, e por salas ainda não entregues, pode gerar pagamento sem contraprestação.</w:t>
      </w:r>
    </w:p>
    <w:p>
      <w:pPr>
        <w:spacing w:before="0" w:after="120" w:line="360" w:lineRule="auto"/>
        <w:ind w:firstLine="709"/>
        <w:jc w:val="both"/>
      </w:pPr>
      <w:r>
        <w:rPr>
          <w:b/>
          <w:i w:val="0"/>
          <w:color w:val="C9781E"/>
        </w:rPr>
        <w:t xml:space="preserve">Risco de manutenção. </w:t>
      </w:r>
      <w:r>
        <w:rPr>
          <w:b w:val="0"/>
          <w:i w:val="0"/>
        </w:rPr>
        <w:t>Superdimensionamento e pagamento por serviço não prestado. Como não há dados no documento para concluir, o ponto deve ser esclarecido junto ao órgão.</w:t>
      </w:r>
    </w:p>
    <w:p>
      <w:pPr>
        <w:spacing w:before="0" w:after="120" w:line="360" w:lineRule="auto"/>
        <w:ind w:firstLine="709"/>
        <w:jc w:val="both"/>
      </w:pPr>
      <w:r>
        <w:rPr>
          <w:b/>
          <w:i w:val="0"/>
          <w:color w:val="12324A"/>
        </w:rPr>
        <w:t xml:space="preserve">Providência recomendada. </w:t>
      </w:r>
      <w:r>
        <w:rPr>
          <w:b w:val="0"/>
          <w:i w:val="0"/>
        </w:rPr>
        <w:t>Pedir a fonte da estimativa de 145 mil usuários e avaliar medição por licenças ativas, ou por faixas de usuários. Alinhar o cronograma de pagamento ao cronograma real de entrega das salas e do aplicativo.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3.13 Vedação de participação ampla demais de servidores do Município (item 8.11)</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Item 8.11, páginas 9 e 10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8.11 veda a participação de licitantes cujos dirigentes, gerentes, sócios ou "componentes do seu quadro técnico" sejam servidores de toda a Administração Direta ou Indireta do Município, ou o tenham sido nos últimos 180 dias. Veda também licitantes que tenham em seus quadros ex-ocupantes de cargos de 1º e 2º escalões nos últimos 12 meses. As vedações legais de participação (art. 14) se referem a agentes ligados ao órgão ou à licitação, e não a todo servidor municipal.</w:t>
      </w:r>
    </w:p>
    <w:p>
      <w:pPr>
        <w:spacing w:before="0" w:after="120" w:line="360" w:lineRule="auto"/>
        <w:ind w:firstLine="709"/>
        <w:jc w:val="both"/>
      </w:pPr>
      <w:r>
        <w:rPr>
          <w:b w:val="0"/>
          <w:i w:val="0"/>
        </w:rPr>
        <w:t>O documento dispõe: “Não será permitida a participação de licitantes cujos dirigentes, gerentes, sócios ou” (Item 8.11, páginas 9 e 10).</w:t>
      </w:r>
    </w:p>
    <w:p>
      <w:pPr>
        <w:spacing w:before="0" w:after="80" w:line="360" w:lineRule="auto"/>
        <w:ind w:firstLine="709"/>
        <w:jc w:val="both"/>
      </w:pPr>
      <w:r>
        <w:rPr>
          <w:b/>
          <w:i w:val="0"/>
          <w:color w:val="12324A"/>
        </w:rPr>
        <w:t xml:space="preserve">Dispositivo aplicável. </w:t>
      </w:r>
      <w:r>
        <w:rPr>
          <w:b w:val="0"/>
          <w:i w:val="0"/>
        </w:rPr>
        <w:t>A matéria é disciplinada pelo art. 9, inciso I e pelo art. 14, da Lei 14.133/2021, que assim dispõem:</w:t>
      </w:r>
    </w:p>
    <w:p>
      <w:pPr>
        <w:spacing w:before="80" w:after="200" w:line="240" w:lineRule="auto"/>
        <w:ind w:firstLine="0" w:left="2268"/>
        <w:jc w:val="both"/>
      </w:pPr>
      <w:r>
        <w:rPr>
          <w:b w:val="0"/>
          <w:i w:val="0"/>
          <w:sz w:val="20"/>
        </w:rPr>
        <w:t>É vedado ao agente público designado para atuar na área de licitações e contratos, ressalvados os casos previstos em lei: […] admitir, prever, incluir ou tolerar, nos atos que praticar, situações que: […]</w:t>
      </w:r>
      <w:r>
        <w:rPr>
          <w:b w:val="0"/>
          <w:i w:val="0"/>
          <w:sz w:val="20"/>
        </w:rPr>
        <w:t xml:space="preserve"> (BRASIL, 2021, art. 9, inciso I)</w:t>
      </w:r>
    </w:p>
    <w:p>
      <w:pPr>
        <w:spacing w:before="80" w:after="200" w:line="240" w:lineRule="auto"/>
        <w:ind w:firstLine="0" w:left="2268"/>
        <w:jc w:val="both"/>
      </w:pPr>
      <w:r>
        <w:rPr>
          <w:b w:val="0"/>
          <w:i w:val="0"/>
          <w:sz w:val="20"/>
        </w:rPr>
        <w:t>Não poderão disputar licitação ou participar da execução de contrato, direta ou indiretamente: […]</w:t>
      </w:r>
      <w:r>
        <w:rPr>
          <w:b w:val="0"/>
          <w:i w:val="0"/>
          <w:sz w:val="20"/>
        </w:rPr>
        <w:t xml:space="preserve"> (BRASIL, 2021, art. 14)</w:t>
      </w:r>
    </w:p>
    <w:p>
      <w:pPr>
        <w:spacing w:before="0" w:after="120" w:line="360" w:lineRule="auto"/>
        <w:ind w:firstLine="709"/>
        <w:jc w:val="both"/>
      </w:pPr>
      <w:r>
        <w:rPr>
          <w:b/>
          <w:i w:val="0"/>
          <w:color w:val="12324A"/>
        </w:rPr>
        <w:t xml:space="preserve">Análise. </w:t>
      </w:r>
      <w:r>
        <w:rPr>
          <w:b w:val="0"/>
          <w:i w:val="0"/>
        </w:rPr>
        <w:t>Vedações de participação sem base legal restringem a competição. A extensão a qualquer servidor municipal, inclusive em quadro técnico e no prazo de 180 dias, parece superar as hipóteses legais.</w:t>
      </w:r>
    </w:p>
    <w:p>
      <w:pPr>
        <w:spacing w:before="0" w:after="120" w:line="360" w:lineRule="auto"/>
        <w:ind w:firstLine="709"/>
        <w:jc w:val="both"/>
      </w:pPr>
      <w:r>
        <w:rPr>
          <w:b/>
          <w:i w:val="0"/>
          <w:color w:val="C9781E"/>
        </w:rPr>
        <w:t xml:space="preserve">Risco de manutenção. </w:t>
      </w:r>
      <w:r>
        <w:rPr>
          <w:b w:val="0"/>
          <w:i w:val="0"/>
        </w:rPr>
        <w:t>Impugnação e inabilitação indevida de licitantes com vínculos remotos com o Município.</w:t>
      </w:r>
    </w:p>
    <w:p>
      <w:pPr>
        <w:spacing w:before="0" w:after="120" w:line="360" w:lineRule="auto"/>
        <w:ind w:firstLine="709"/>
        <w:jc w:val="both"/>
      </w:pPr>
      <w:r>
        <w:rPr>
          <w:b/>
          <w:i w:val="0"/>
          <w:color w:val="12324A"/>
        </w:rPr>
        <w:t xml:space="preserve">Providência recomendada. </w:t>
      </w:r>
      <w:r>
        <w:rPr>
          <w:b w:val="0"/>
          <w:i w:val="0"/>
        </w:rPr>
        <w:t>Limitar as vedações às hipóteses do art. 14 e do art. 9º, § 1º (servidor ou dirigente do órgão contratante, ou agente que atue na licitação ou fiscalização do contrato), ou justificar no processo a base legal da extensão.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3.14 Inabilitação do licitante por indisponibilidade dos meios de consulta da Administração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Item 12.10, alínea f, página 21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12.10, alínea f, determina que, se houver indisponibilidade dos meios eletrônicos de consulta (SICAF etc.) no momento da verificação, "a licitante será inabilitada", sem que a Administração responda por essa indisponibilidade.</w:t>
      </w:r>
    </w:p>
    <w:p>
      <w:pPr>
        <w:spacing w:before="0" w:after="120" w:line="360" w:lineRule="auto"/>
        <w:ind w:firstLine="709"/>
        <w:jc w:val="both"/>
      </w:pPr>
      <w:r>
        <w:rPr>
          <w:b w:val="0"/>
          <w:i w:val="0"/>
        </w:rPr>
        <w:t>O documento dispõe: “hipótese de ocorrer essa indisponibilidade, a licitante será inabilitada, mediante decisão” (Item 12.10, alínea f, página 21).</w:t>
      </w:r>
    </w:p>
    <w:p>
      <w:pPr>
        <w:spacing w:before="0" w:after="80" w:line="360" w:lineRule="auto"/>
        <w:ind w:firstLine="709"/>
        <w:jc w:val="both"/>
      </w:pPr>
      <w:r>
        <w:rPr>
          <w:b/>
          <w:i w:val="0"/>
          <w:color w:val="12324A"/>
        </w:rPr>
        <w:t xml:space="preserve">Dispositivo aplicável. </w:t>
      </w:r>
      <w:r>
        <w:rPr>
          <w:b w:val="0"/>
          <w:i w:val="0"/>
        </w:rPr>
        <w:t>A matéria é disciplinada pelo art. 12, inciso III e pelo art. 64, da Lei 14.133/2021, que assim dispõem:</w:t>
      </w:r>
    </w:p>
    <w:p>
      <w:pPr>
        <w:spacing w:before="80" w:after="200" w:line="240" w:lineRule="auto"/>
        <w:ind w:firstLine="0" w:left="2268"/>
        <w:jc w:val="both"/>
      </w:pPr>
      <w:r>
        <w:rPr>
          <w:b w:val="0"/>
          <w:i w:val="0"/>
          <w:sz w:val="20"/>
        </w:rPr>
        <w:t>No processo licitatório, observar-se-á o seguinte: […] o desatendimento de exigências meramente formais que não comprometam a aferição da qualificação do licitante ou a compreensão do conteúdo de sua proposta não importará seu afastamento da licitação ou a invalidação do processo;</w:t>
      </w:r>
      <w:r>
        <w:rPr>
          <w:b w:val="0"/>
          <w:i w:val="0"/>
          <w:sz w:val="20"/>
        </w:rPr>
        <w:t xml:space="preserve"> (BRASIL, 2021, art. 12, inciso III)</w:t>
      </w:r>
    </w:p>
    <w:p>
      <w:pPr>
        <w:spacing w:before="80" w:after="200" w:line="240" w:lineRule="auto"/>
        <w:ind w:firstLine="0" w:left="2268"/>
        <w:jc w:val="both"/>
      </w:pPr>
      <w:r>
        <w:rPr>
          <w:b w:val="0"/>
          <w:i w:val="0"/>
          <w:sz w:val="20"/>
        </w:rPr>
        <w:t>Após a entrega dos documentos para habilitação, não será permitida a substituição ou a apresentação de novos documentos, salvo em sede de diligência, para: […]</w:t>
      </w:r>
      <w:r>
        <w:rPr>
          <w:b w:val="0"/>
          <w:i w:val="0"/>
          <w:sz w:val="20"/>
        </w:rPr>
        <w:t xml:space="preserve"> (BRASIL, 2021, art. 64)</w:t>
      </w:r>
    </w:p>
    <w:p>
      <w:pPr>
        <w:spacing w:before="0" w:after="120" w:line="360" w:lineRule="auto"/>
        <w:ind w:firstLine="709"/>
        <w:jc w:val="both"/>
      </w:pPr>
      <w:r>
        <w:rPr>
          <w:b/>
          <w:i w:val="0"/>
          <w:color w:val="12324A"/>
        </w:rPr>
        <w:t xml:space="preserve">Análise. </w:t>
      </w:r>
      <w:r>
        <w:rPr>
          <w:b w:val="0"/>
          <w:i w:val="0"/>
        </w:rPr>
        <w:t>Atribuir ao licitante o ônus de falha do sistema da Administração é desproporcional e contraria o formalismo moderado e a possibilidade de diligência e saneamento previstos no próprio edital (itens 10.2.3 e 13.5).</w:t>
      </w:r>
    </w:p>
    <w:p>
      <w:pPr>
        <w:spacing w:before="0" w:after="120" w:line="360" w:lineRule="auto"/>
        <w:ind w:firstLine="709"/>
        <w:jc w:val="both"/>
      </w:pPr>
      <w:r>
        <w:rPr>
          <w:b/>
          <w:i w:val="0"/>
          <w:color w:val="C9781E"/>
        </w:rPr>
        <w:t xml:space="preserve">Risco de manutenção. </w:t>
      </w:r>
      <w:r>
        <w:rPr>
          <w:b w:val="0"/>
          <w:i w:val="0"/>
        </w:rPr>
        <w:t>Inabilitação indevida e recursos.</w:t>
      </w:r>
    </w:p>
    <w:p>
      <w:pPr>
        <w:spacing w:before="0" w:after="120" w:line="360" w:lineRule="auto"/>
        <w:ind w:firstLine="709"/>
        <w:jc w:val="both"/>
      </w:pPr>
      <w:r>
        <w:rPr>
          <w:b/>
          <w:i w:val="0"/>
          <w:color w:val="12324A"/>
        </w:rPr>
        <w:t xml:space="preserve">Providência recomendada. </w:t>
      </w:r>
      <w:r>
        <w:rPr>
          <w:b w:val="0"/>
          <w:i w:val="0"/>
        </w:rPr>
        <w:t>Substituir por regra de suspensão/diligência e consulta posterior, ou permitir a apresentação direta dos documentos pelo licitante.</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3.15 Critério de reajuste em serviços contínuos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Minuta de contrato, cláusula quinta, página 121; item 23.2, página 46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objeto é descrito como serviço contínuo, sem dedicação exclusiva nem predominância de mão de obra, e o critério de reajuste é por índice (IPCA), o que é adequado ao art. 25, § 8º, I. A minuta de contrato, porém, traz parágrafos de repactuação "quando houver regime de dedicação exclusiva" (quarto e quinto da cláusula quinta), em redação de modelo condicional não eliminada. Adota-se índice único (IPCA) para itens de natureza diversa (software, locação de imóvel/módulos, telecom), sem justificar.</w:t>
      </w:r>
    </w:p>
    <w:p>
      <w:pPr>
        <w:spacing w:before="0" w:after="120" w:line="360" w:lineRule="auto"/>
        <w:ind w:firstLine="709"/>
        <w:jc w:val="both"/>
      </w:pPr>
      <w:r>
        <w:rPr>
          <w:b w:val="0"/>
          <w:i w:val="0"/>
        </w:rPr>
        <w:t>O documento dispõe: “será por repactuação, quando houver regime de dedicação exclusiva de mão de obra ou” (Minuta de contrato, cláusula quinta, página 121; item 23.2, página 46).</w:t>
      </w:r>
    </w:p>
    <w:p>
      <w:pPr>
        <w:spacing w:before="0" w:after="80" w:line="360" w:lineRule="auto"/>
        <w:ind w:firstLine="709"/>
        <w:jc w:val="both"/>
      </w:pPr>
      <w:r>
        <w:rPr>
          <w:b/>
          <w:i w:val="0"/>
          <w:color w:val="12324A"/>
        </w:rPr>
        <w:t xml:space="preserve">Dispositivo aplicável. </w:t>
      </w:r>
      <w:r>
        <w:rPr>
          <w:b w:val="0"/>
          <w:i w:val="0"/>
        </w:rPr>
        <w:t>A matéria é disciplinada pelo art. 25, § 8º, inciso I, pelo art. 25, § 8º, inciso II, pelo art. 92, § 4º, inciso II e pelo art. 135, da Lei 14.133/2021, que assim dispõem:</w:t>
      </w:r>
    </w:p>
    <w:p>
      <w:pPr>
        <w:spacing w:before="80" w:after="200" w:line="240" w:lineRule="auto"/>
        <w:ind w:firstLine="0" w:left="2268"/>
        <w:jc w:val="both"/>
      </w:pPr>
      <w:r>
        <w:rPr>
          <w:b w:val="0"/>
          <w:i w:val="0"/>
          <w:sz w:val="20"/>
        </w:rPr>
        <w:t>Nas licitações de serviços contínuos, observado o interregno mínimo de 1 (um) ano, o critério de reajustamento será por: […] reajustamento em sentido estrito, quando não houver regime de dedicação exclusiva de mão de obra ou predominância de mão de obra, mediante previsão de índices específicos ou setoriais;</w:t>
      </w:r>
      <w:r>
        <w:rPr>
          <w:b w:val="0"/>
          <w:i w:val="0"/>
          <w:sz w:val="20"/>
        </w:rPr>
        <w:t xml:space="preserve"> (BRASIL, 2021, art. 25, § 8º, inciso I)</w:t>
      </w:r>
    </w:p>
    <w:p>
      <w:pPr>
        <w:spacing w:before="80" w:after="200" w:line="240" w:lineRule="auto"/>
        <w:ind w:firstLine="0" w:left="2268"/>
        <w:jc w:val="both"/>
      </w:pPr>
      <w:r>
        <w:rPr>
          <w:b w:val="0"/>
          <w:i w:val="0"/>
          <w:sz w:val="20"/>
        </w:rPr>
        <w:t>Nas licitações de serviços contínuos, observado o interregno mínimo de 1 (um) ano, o critério de reajustamento será por: […] repactuação, quando houver regime de dedicação exclusiva de mão de obra ou predominância de mão de obra, mediante demonstração analítica da variação dos custos.</w:t>
      </w:r>
      <w:r>
        <w:rPr>
          <w:b w:val="0"/>
          <w:i w:val="0"/>
          <w:sz w:val="20"/>
        </w:rPr>
        <w:t xml:space="preserve"> (BRASIL, 2021, art. 25, § 8º, inciso II)</w:t>
      </w:r>
    </w:p>
    <w:p>
      <w:pPr>
        <w:spacing w:before="80" w:after="200" w:line="240" w:lineRule="auto"/>
        <w:ind w:firstLine="0" w:left="2268"/>
        <w:jc w:val="both"/>
      </w:pPr>
      <w:r>
        <w:rPr>
          <w:b w:val="0"/>
          <w:i w:val="0"/>
          <w:sz w:val="20"/>
        </w:rPr>
        <w:t>Nos contratos de serviços contínuos, observado o interregno mínimo de 1 (um) ano, o critério de reajustamento de preços será por: […] repactuação, quando houver regime de dedicação exclusiva de mão de obra ou predominância de mão de obra, mediante demonstração analítica da variação dos custos.</w:t>
      </w:r>
      <w:r>
        <w:rPr>
          <w:b w:val="0"/>
          <w:i w:val="0"/>
          <w:sz w:val="20"/>
        </w:rPr>
        <w:t xml:space="preserve"> (BRASIL, 2021, art. 92, § 4º, inciso II)</w:t>
      </w:r>
    </w:p>
    <w:p>
      <w:pPr>
        <w:spacing w:before="80" w:after="200" w:line="240" w:lineRule="auto"/>
        <w:ind w:firstLine="0" w:left="2268"/>
        <w:jc w:val="both"/>
      </w:pPr>
      <w:r>
        <w:rPr>
          <w:b w:val="0"/>
          <w:i w:val="0"/>
          <w:sz w:val="20"/>
        </w:rPr>
        <w:t>Os preços dos contratos para serviços contínuos com regime de dedicação exclusiva de mão de obra ou com predominância de mão de obra serão repactuados para manutenção do equilíbrio econômico-financeiro, mediante demonstração analítica da variação dos custos contratuais, com data vinculada: […]</w:t>
      </w:r>
      <w:r>
        <w:rPr>
          <w:b w:val="0"/>
          <w:i w:val="0"/>
          <w:sz w:val="20"/>
        </w:rPr>
        <w:t xml:space="preserve"> (BRASIL, 2021, art. 135)</w:t>
      </w:r>
    </w:p>
    <w:p>
      <w:pPr>
        <w:spacing w:before="0" w:after="120" w:line="360" w:lineRule="auto"/>
        <w:ind w:firstLine="709"/>
        <w:jc w:val="both"/>
      </w:pPr>
      <w:r>
        <w:rPr>
          <w:b/>
          <w:i w:val="0"/>
          <w:color w:val="12324A"/>
        </w:rPr>
        <w:t xml:space="preserve">Análise. </w:t>
      </w:r>
      <w:r>
        <w:rPr>
          <w:b w:val="0"/>
          <w:i w:val="0"/>
        </w:rPr>
        <w:t>O critério deve ser coerente com o regime do objeto (art. 25, § 8º). Cláusulas condicionais de modelo geram dúvida sobre qual critério vale, e o art. 25, § 7º, permite índices específicos ou setoriais conforme a realidade de mercado.</w:t>
      </w:r>
    </w:p>
    <w:p>
      <w:pPr>
        <w:spacing w:before="0" w:after="120" w:line="360" w:lineRule="auto"/>
        <w:ind w:firstLine="709"/>
        <w:jc w:val="both"/>
      </w:pPr>
      <w:r>
        <w:rPr>
          <w:b/>
          <w:i w:val="0"/>
          <w:color w:val="3D8FA6"/>
        </w:rPr>
        <w:t xml:space="preserve">Risco de manutenção. </w:t>
      </w:r>
      <w:r>
        <w:rPr>
          <w:b w:val="0"/>
          <w:i w:val="0"/>
        </w:rPr>
        <w:t>Pleito de repactuação indevido, ou discussão sobre índice inadequado para insumos específicos (por exemplo, telecomunicações e locação).</w:t>
      </w:r>
    </w:p>
    <w:p>
      <w:pPr>
        <w:spacing w:before="0" w:after="120" w:line="360" w:lineRule="auto"/>
        <w:ind w:firstLine="709"/>
        <w:jc w:val="both"/>
      </w:pPr>
      <w:r>
        <w:rPr>
          <w:b/>
          <w:i w:val="0"/>
          <w:color w:val="12324A"/>
        </w:rPr>
        <w:t xml:space="preserve">Providência recomendada. </w:t>
      </w:r>
      <w:r>
        <w:rPr>
          <w:b w:val="0"/>
          <w:i w:val="0"/>
        </w:rPr>
        <w:t>Excluir da minuta os parágrafos de dedicação exclusiva e os de escopo. Avaliar índice setorial para locação e telecom, justificando a escolha do IPCA se mantido.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Os preços serão reajustados pelo IPCA (reajustamento em sentido estrito), após o interregno mínimo de 12 meses, com data-base na data do orçamento estimado.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3.16 Qualificação econômico-financeira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Item 13, (B.1.a), página 25; TR, itens 9.6.2 a 9.6.4, página 84</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habilitação econômica exige balanço de 2 exercícios, ILG maior ou igual a 1 e, para quem não alcançar o índice, patrimônio líquido de 10% do valor estimado (B.1 a B.2). Não há faturamento mínimo nem índices de rentabilidade, e o PL está dentro do limite de 10% do art. 69, § 4º. Não consta no documento a justificativa do ILG no processo. O TR (item 9.6.4) exige declaração de contador sobre o índice, exigência que não consta do edital. O acréscimo de 10% para consórcio é aplicado sem ressalva a ME/EPP, e a base do PL é o valor total estimado de 12 meses.</w:t>
      </w:r>
    </w:p>
    <w:p>
      <w:pPr>
        <w:spacing w:before="0" w:after="120" w:line="360" w:lineRule="auto"/>
        <w:ind w:firstLine="709"/>
        <w:jc w:val="both"/>
      </w:pPr>
      <w:r>
        <w:rPr>
          <w:b w:val="0"/>
          <w:i w:val="0"/>
        </w:rPr>
        <w:t>O documento dispõe: “Índice de Liquidez Geral (ILG) igual ou maior que 1 (um)” (Item 13, (B.1.a), página 25; TR, itens 9.6.2 a 9.6.4, página 84).</w:t>
      </w:r>
    </w:p>
    <w:p>
      <w:pPr>
        <w:spacing w:before="0" w:after="80" w:line="360" w:lineRule="auto"/>
        <w:ind w:firstLine="709"/>
        <w:jc w:val="both"/>
      </w:pPr>
      <w:r>
        <w:rPr>
          <w:b/>
          <w:i w:val="0"/>
          <w:color w:val="12324A"/>
        </w:rPr>
        <w:t xml:space="preserve">Dispositivo aplicável. </w:t>
      </w:r>
      <w:r>
        <w:rPr>
          <w:b w:val="0"/>
          <w:i w:val="0"/>
        </w:rPr>
        <w:t>A matéria é disciplinada pelo art. 69, pelo art. 69, § 2º, pelo art. 69, § 4º e pelo art. 69, § 5º, da Lei 14.133/2021, que assim dispõem:</w:t>
      </w:r>
    </w:p>
    <w:p>
      <w:pPr>
        <w:spacing w:before="80" w:after="200" w:line="240" w:lineRule="auto"/>
        <w:ind w:firstLine="0" w:left="2268"/>
        <w:jc w:val="both"/>
      </w:pPr>
      <w:r>
        <w:rPr>
          <w:b w:val="0"/>
          <w:i w:val="0"/>
          <w:sz w:val="20"/>
        </w:rPr>
        <w:t>A habilitação econômico-financeira visa a demonstrar a aptidão econômica do licitante para cumprir as obrigações decorrentes do futuro contrato, devendo ser comprovada de forma objetiva, por coeficientes e índices econômicos previstos no edital, devidamente justificados no processo licitatório, e será restrita à apresentação da seguinte documentação: […]</w:t>
      </w:r>
      <w:r>
        <w:rPr>
          <w:b w:val="0"/>
          <w:i w:val="0"/>
          <w:sz w:val="20"/>
        </w:rPr>
        <w:t xml:space="preserve"> (BRASIL, 2021, art. 69)</w:t>
      </w:r>
    </w:p>
    <w:p>
      <w:pPr>
        <w:spacing w:before="80" w:after="200" w:line="240" w:lineRule="auto"/>
        <w:ind w:firstLine="0" w:left="2268"/>
        <w:jc w:val="both"/>
      </w:pPr>
      <w:r>
        <w:rPr>
          <w:b w:val="0"/>
          <w:i w:val="0"/>
          <w:sz w:val="20"/>
        </w:rPr>
        <w:t>Para o atendimento do disposto no caput deste artigo, é vedada a exigência de valores mínimos de faturamento anterior e de índices de rentabilidade ou lucratividade.</w:t>
      </w:r>
      <w:r>
        <w:rPr>
          <w:b w:val="0"/>
          <w:i w:val="0"/>
          <w:sz w:val="20"/>
        </w:rPr>
        <w:t xml:space="preserve"> (BRASIL, 2021, art. 69, § 2º)</w:t>
      </w:r>
    </w:p>
    <w:p>
      <w:pPr>
        <w:spacing w:before="80" w:after="200" w:line="240" w:lineRule="auto"/>
        <w:ind w:firstLine="0" w:left="2268"/>
        <w:jc w:val="both"/>
      </w:pPr>
      <w:r>
        <w:rPr>
          <w:b w:val="0"/>
          <w:i w:val="0"/>
          <w:sz w:val="20"/>
        </w:rPr>
        <w:t>A Administração, nas compras para entrega futura e na execução de obras e serviços, poderá estabelecer no edital a exigência de capital mínimo ou de patrimônio líquido mínimo equivalente a até 10% (dez por cento) do valor estimado da contratação.</w:t>
      </w:r>
      <w:r>
        <w:rPr>
          <w:b w:val="0"/>
          <w:i w:val="0"/>
          <w:sz w:val="20"/>
        </w:rPr>
        <w:t xml:space="preserve"> (BRASIL, 2021, art. 69, § 4º)</w:t>
      </w:r>
    </w:p>
    <w:p>
      <w:pPr>
        <w:spacing w:before="80" w:after="200" w:line="240" w:lineRule="auto"/>
        <w:ind w:firstLine="0" w:left="2268"/>
        <w:jc w:val="both"/>
      </w:pPr>
      <w:r>
        <w:rPr>
          <w:b w:val="0"/>
          <w:i w:val="0"/>
          <w:sz w:val="20"/>
        </w:rPr>
        <w:t>É vedada a exigência de índices e valores não usualmente adotados para a avaliação de situação econômico-financeira suficiente para o cumprimento das obrigações decorrentes da licitação.</w:t>
      </w:r>
      <w:r>
        <w:rPr>
          <w:b w:val="0"/>
          <w:i w:val="0"/>
          <w:sz w:val="20"/>
        </w:rPr>
        <w:t xml:space="preserve"> (BRASIL, 2021, art. 69, § 5º)</w:t>
      </w:r>
    </w:p>
    <w:p>
      <w:pPr>
        <w:spacing w:before="0" w:after="120" w:line="360" w:lineRule="auto"/>
        <w:ind w:firstLine="709"/>
        <w:jc w:val="both"/>
      </w:pPr>
      <w:r>
        <w:rPr>
          <w:b/>
          <w:i w:val="0"/>
          <w:color w:val="12324A"/>
        </w:rPr>
        <w:t xml:space="preserve">Análise. </w:t>
      </w:r>
      <w:r>
        <w:rPr>
          <w:b w:val="0"/>
          <w:i w:val="0"/>
        </w:rPr>
        <w:t>O art. 69 exige que os índices sejam devidamente justificados no processo, e o § 5º veda índices não usuais. A divergência entre edital e TR gera dúvida quanto à documentação exigida.</w:t>
      </w:r>
    </w:p>
    <w:p>
      <w:pPr>
        <w:spacing w:before="0" w:after="120" w:line="360" w:lineRule="auto"/>
        <w:ind w:firstLine="709"/>
        <w:jc w:val="both"/>
      </w:pPr>
      <w:r>
        <w:rPr>
          <w:b/>
          <w:i w:val="0"/>
          <w:color w:val="3D8FA6"/>
        </w:rPr>
        <w:t xml:space="preserve">Risco de manutenção. </w:t>
      </w:r>
      <w:r>
        <w:rPr>
          <w:b w:val="0"/>
          <w:i w:val="0"/>
        </w:rPr>
        <w:t>Questionamento sobre a falta de justificativa do índice e sobre a declaração contábil exigida apenas no TR.</w:t>
      </w:r>
    </w:p>
    <w:p>
      <w:pPr>
        <w:spacing w:before="0" w:after="120" w:line="360" w:lineRule="auto"/>
        <w:ind w:firstLine="709"/>
        <w:jc w:val="both"/>
      </w:pPr>
      <w:r>
        <w:rPr>
          <w:b/>
          <w:i w:val="0"/>
          <w:color w:val="12324A"/>
        </w:rPr>
        <w:t xml:space="preserve">Providência recomendada. </w:t>
      </w:r>
      <w:r>
        <w:rPr>
          <w:b w:val="0"/>
          <w:i w:val="0"/>
        </w:rPr>
        <w:t>Juntar ao processo a justificativa do ILG igual ou maior que 1 e do PL de 10%. Uniformizar edital e TR quanto à declaração do contador. Revisar a regra do consórcio quanto a ME/EPP.</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exigência de índices contábeis de capacidade financeira, a exemplo dos de liquidez, deve estar justificada no processo da licitação, conter parâmetros atualizados de mercado e atender às características do objeto licitado, sendo vedado o uso de índice cuja fórmula inclua rentabilidade ou lucratividade. (Súmula vigente, aprovada pelo Acórdão 354/2016-Plenário; data indicada = ano de aprovação.)</w:t>
      </w:r>
      <w:r>
        <w:rPr>
          <w:b w:val="0"/>
          <w:i w:val="0"/>
          <w:sz w:val="20"/>
        </w:rPr>
        <w:t xml:space="preserve"> (TCU, Súmula TCU 289)</w:t>
      </w:r>
      <w:r>
        <w:rPr>
          <w:b w:val="0"/>
          <w:i w:val="0"/>
          <w:sz w:val="20"/>
        </w:rPr>
        <w:t xml:space="preserve"> </w:t>
      </w:r>
      <w:hyperlink r:id="rId15">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3.17 Tratamento diferenciado a ME e EPP</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Item 12.8, página 19; Anexo XII, página 109</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prevê empate ficto de 5%, regularização fiscal tardia de 5 dias úteis prorrogáveis e declaração de enquadramento. Não concede exclusividade (item único de R$ 27 milhões, acima do limite do art. 48, I, da LC 123). O item 12.8 traz uma observação solta ("Não serão aplicados os benefícios... nos casos previstos no art. 4º, § 1º"), sem dizer se o certame se enquadra nessa hipótese. O objeto contém parcelas de engenharia (salas modulares, ART) com valor muito superior ao limite de receita de EPP. O Anexo XII ainda cita "Pregão Eletrônico n.º _____/2023".</w:t>
      </w:r>
    </w:p>
    <w:p>
      <w:pPr>
        <w:spacing w:before="0" w:after="120" w:line="360" w:lineRule="auto"/>
        <w:ind w:firstLine="709"/>
        <w:jc w:val="both"/>
      </w:pPr>
      <w:r>
        <w:rPr>
          <w:b w:val="0"/>
          <w:i w:val="0"/>
        </w:rPr>
        <w:t>O documento dispõe: “OBS: Não serão aplicados os benefícios previstos no art. 42 a 49 da LC 123/2006 nos casos” (Item 12.8, página 19; Anexo XII, página 109).</w:t>
      </w:r>
    </w:p>
    <w:p>
      <w:pPr>
        <w:spacing w:before="0" w:after="80" w:line="360" w:lineRule="auto"/>
        <w:ind w:firstLine="709"/>
        <w:jc w:val="both"/>
      </w:pPr>
      <w:r>
        <w:rPr>
          <w:b/>
          <w:i w:val="0"/>
          <w:color w:val="12324A"/>
        </w:rPr>
        <w:t xml:space="preserve">Dispositivo aplicável. </w:t>
      </w:r>
      <w:r>
        <w:rPr>
          <w:b w:val="0"/>
          <w:i w:val="0"/>
        </w:rPr>
        <w:t>A matéria é disciplinada pelo art. 4 e pelo art. 4, § 1º, da Lei 14.133/2021, que assim dispõem:</w:t>
      </w:r>
    </w:p>
    <w:p>
      <w:pPr>
        <w:spacing w:before="80" w:after="200" w:line="240" w:lineRule="auto"/>
        <w:ind w:firstLine="0" w:left="2268"/>
        <w:jc w:val="both"/>
      </w:pPr>
      <w:r>
        <w:rPr>
          <w:b w:val="0"/>
          <w:i w:val="0"/>
          <w:sz w:val="20"/>
        </w:rPr>
        <w:t>Aplicam-se às licitações e contratos disciplinados por esta Lei as disposições constantes dos arts. 42 a 49 da Lei Complementar nº 123, de 14 de dezembro de 2006.</w:t>
      </w:r>
      <w:r>
        <w:rPr>
          <w:b w:val="0"/>
          <w:i w:val="0"/>
          <w:sz w:val="20"/>
        </w:rPr>
        <w:t xml:space="preserve"> (BRASIL, 2021, art. 4)</w:t>
      </w:r>
    </w:p>
    <w:p>
      <w:pPr>
        <w:spacing w:before="80" w:after="200" w:line="240" w:lineRule="auto"/>
        <w:ind w:firstLine="0" w:left="2268"/>
        <w:jc w:val="both"/>
      </w:pPr>
      <w:r>
        <w:rPr>
          <w:b w:val="0"/>
          <w:i w:val="0"/>
          <w:sz w:val="20"/>
        </w:rPr>
        <w:t>As disposições a que se refere o caput deste artigo não são aplicadas: […]</w:t>
      </w:r>
      <w:r>
        <w:rPr>
          <w:b w:val="0"/>
          <w:i w:val="0"/>
          <w:sz w:val="20"/>
        </w:rPr>
        <w:t xml:space="preserve"> (BRASIL, 2021, art. 4, § 1º)</w:t>
      </w:r>
    </w:p>
    <w:p>
      <w:pPr>
        <w:spacing w:before="0" w:after="120" w:line="360" w:lineRule="auto"/>
        <w:ind w:firstLine="709"/>
        <w:jc w:val="both"/>
      </w:pPr>
      <w:r>
        <w:rPr>
          <w:b/>
          <w:i w:val="0"/>
          <w:color w:val="12324A"/>
        </w:rPr>
        <w:t xml:space="preserve">Análise. </w:t>
      </w:r>
      <w:r>
        <w:rPr>
          <w:b w:val="0"/>
          <w:i w:val="0"/>
        </w:rPr>
        <w:t>O art. 4º da Lei 14.133 manda aplicar os arts. 42 a 49 da LC 123, ressalvadas as hipóteses do § 1º. O edital deve dizer com clareza se o tratamento se aplica ou não, para evitar impugnação ou nulidade de etapas.</w:t>
      </w:r>
    </w:p>
    <w:p>
      <w:pPr>
        <w:spacing w:before="0" w:after="120" w:line="360" w:lineRule="auto"/>
        <w:ind w:firstLine="709"/>
        <w:jc w:val="both"/>
      </w:pPr>
      <w:r>
        <w:rPr>
          <w:b/>
          <w:i w:val="0"/>
          <w:color w:val="3D8FA6"/>
        </w:rPr>
        <w:t xml:space="preserve">Risco de manutenção. </w:t>
      </w:r>
      <w:r>
        <w:rPr>
          <w:b w:val="0"/>
          <w:i w:val="0"/>
        </w:rPr>
        <w:t>Insegurança sobre a aplicação do empate ficto e da preferência a ME/EPP no caso concreto.</w:t>
      </w:r>
    </w:p>
    <w:p>
      <w:pPr>
        <w:spacing w:before="0" w:after="120" w:line="360" w:lineRule="auto"/>
        <w:ind w:firstLine="709"/>
        <w:jc w:val="both"/>
      </w:pPr>
      <w:r>
        <w:rPr>
          <w:b/>
          <w:i w:val="0"/>
          <w:color w:val="12324A"/>
        </w:rPr>
        <w:t xml:space="preserve">Providência recomendada. </w:t>
      </w:r>
      <w:r>
        <w:rPr>
          <w:b w:val="0"/>
          <w:i w:val="0"/>
        </w:rPr>
        <w:t>Explicitar no edital se o § 1º do art. 4º incide (e por quê) ou excluir a observação genérica. Atualizar o modelo do Anexo XII (referência a 2023).</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3.18 Impugnação e esclarecimentos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Item 1.8.1, página 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Esclarecimentos e impugnações podem ser apresentados até 3 dias úteis antes da abertura (itens 1.7 e 1.8). A resposta a esclarecimentos respeita o prazo de 3 dias úteis limitado ao último dia útil anterior (1.7.1). A resposta às impugnações (1.8.1) fixa 3 dias úteis do recebimento, sem o limite do último dia útil anterior à abertura, e não prevê divulgação em sítio oficial. O item 1.8.2 atribui efeito suspensivo à impugnação, sem previsão no art. 164, o que é opção do edital, mas deve ser compatibilizado com o prazo. Os canais são apenas e-mail de provedor genérico (gmail).</w:t>
      </w:r>
    </w:p>
    <w:p>
      <w:pPr>
        <w:spacing w:before="0" w:after="120" w:line="360" w:lineRule="auto"/>
        <w:ind w:firstLine="709"/>
        <w:jc w:val="both"/>
      </w:pPr>
      <w:r>
        <w:rPr>
          <w:b w:val="0"/>
          <w:i w:val="0"/>
        </w:rPr>
        <w:t>O documento dispõe: “decidir sobre a impugnação no prazo de 3 (três) dias úteis, contado da data de recebimento da” (Item 1.8.1, página 3).</w:t>
      </w:r>
    </w:p>
    <w:p>
      <w:pPr>
        <w:spacing w:before="0" w:after="80" w:line="360" w:lineRule="auto"/>
        <w:ind w:firstLine="709"/>
        <w:jc w:val="both"/>
      </w:pPr>
      <w:r>
        <w:rPr>
          <w:b/>
          <w:i w:val="0"/>
          <w:color w:val="12324A"/>
        </w:rPr>
        <w:t xml:space="preserve">Dispositivo aplicável. </w:t>
      </w:r>
      <w:r>
        <w:rPr>
          <w:b w:val="0"/>
          <w:i w:val="0"/>
        </w:rPr>
        <w:t>A matéria é disciplinada pelo art. 164 e pelo art. 164, Parágrafo único, da Lei 14.133/2021, que assim dispõem:</w:t>
      </w:r>
    </w:p>
    <w:p>
      <w:pPr>
        <w:spacing w:before="80" w:after="200" w:line="240" w:lineRule="auto"/>
        <w:ind w:firstLine="0" w:left="2268"/>
        <w:jc w:val="both"/>
      </w:pPr>
      <w:r>
        <w:rPr>
          <w:b w:val="0"/>
          <w:i w:val="0"/>
          <w:sz w:val="20"/>
        </w:rPr>
        <w:t>Qualquer pessoa é parte legítima para impugnar edital de licitação por irregularidade na aplicação desta Lei ou para solicitar esclarecimento sobre os seus termos, devendo protocolar o pedido até 3 (três) dias úteis antes da data de abertura do certame.</w:t>
      </w:r>
      <w:r>
        <w:rPr>
          <w:b w:val="0"/>
          <w:i w:val="0"/>
          <w:sz w:val="20"/>
        </w:rPr>
        <w:t xml:space="preserve"> (BRASIL, 2021, art. 164)</w:t>
      </w:r>
    </w:p>
    <w:p>
      <w:pPr>
        <w:spacing w:before="80" w:after="200" w:line="240" w:lineRule="auto"/>
        <w:ind w:firstLine="0" w:left="2268"/>
        <w:jc w:val="both"/>
      </w:pPr>
      <w:r>
        <w:rPr>
          <w:b w:val="0"/>
          <w:i w:val="0"/>
          <w:sz w:val="20"/>
        </w:rPr>
        <w:t>A resposta à impugnação ou ao pedido de esclarecimento será divulgada em sítio eletrônico oficial no prazo de até 3 (três) dias úteis, limitado ao último dia útil anterior à data da abertura do certame.</w:t>
      </w:r>
      <w:r>
        <w:rPr>
          <w:b w:val="0"/>
          <w:i w:val="0"/>
          <w:sz w:val="20"/>
        </w:rPr>
        <w:t xml:space="preserve"> (BRASIL, 2021, art. 164, Parágrafo único)</w:t>
      </w:r>
    </w:p>
    <w:p>
      <w:pPr>
        <w:spacing w:before="0" w:after="120" w:line="360" w:lineRule="auto"/>
        <w:ind w:firstLine="709"/>
        <w:jc w:val="both"/>
      </w:pPr>
      <w:r>
        <w:rPr>
          <w:b/>
          <w:i w:val="0"/>
          <w:color w:val="12324A"/>
        </w:rPr>
        <w:t xml:space="preserve">Análise. </w:t>
      </w:r>
      <w:r>
        <w:rPr>
          <w:b w:val="0"/>
          <w:i w:val="0"/>
        </w:rPr>
        <w:t>O parágrafo único do art. 164 manda divulgar a resposta em sítio oficial em até 3 dias úteis, limitado ao último dia útil anterior à abertura.</w:t>
      </w:r>
    </w:p>
    <w:p>
      <w:pPr>
        <w:spacing w:before="0" w:after="120" w:line="360" w:lineRule="auto"/>
        <w:ind w:firstLine="709"/>
        <w:jc w:val="both"/>
      </w:pPr>
      <w:r>
        <w:rPr>
          <w:b/>
          <w:i w:val="0"/>
          <w:color w:val="3D8FA6"/>
        </w:rPr>
        <w:t xml:space="preserve">Risco de manutenção. </w:t>
      </w:r>
      <w:r>
        <w:rPr>
          <w:b w:val="0"/>
          <w:i w:val="0"/>
        </w:rPr>
        <w:t>Cerceamento do direito de impugnar e discussão sobre a validade da sessão quando a resposta sair após o limite legal.</w:t>
      </w:r>
    </w:p>
    <w:p>
      <w:pPr>
        <w:spacing w:before="0" w:after="120" w:line="360" w:lineRule="auto"/>
        <w:ind w:firstLine="709"/>
        <w:jc w:val="both"/>
      </w:pPr>
      <w:r>
        <w:rPr>
          <w:b/>
          <w:i w:val="0"/>
          <w:color w:val="12324A"/>
        </w:rPr>
        <w:t xml:space="preserve">Providência recomendada. </w:t>
      </w:r>
      <w:r>
        <w:rPr>
          <w:b w:val="0"/>
          <w:i w:val="0"/>
        </w:rPr>
        <w:t>Incluir o limite do último dia útil anterior e a divulgação da resposta no sistema/PNCP. Indicar canal institucional (sistema Compras.gov) para protocolo.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resposta às impugnações será divulgada no sítio oficial em até 3 (três) dias úteis, limitado ao último dia útil anterior à data de abertura do certame.</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3.19 Vigência e prorrogação de serviços contínuos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Item 7.2.1, página 6; TR, item 22.1.2, página 60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vigência é de 12 meses (item 7.1) e há previsão de prorrogação de serviço contínuo (item 7.2.1; TR, item 22.1.2, até 10 anos). A previsão remete aos arts. 106 e 107, mas o edital não menciona expressamente a condição de vantajosidade atestada pela autoridade (art. 107). A referência ao "art. 106, § 2º" não se vincula claramente à prorrogação. O edital diz que a vigência conta da assinatura (7.1), e o TR, da ordem de início. A natureza contínua do objeto, em parte composto de aquisição de licenças e instalação de salas, não está motivada.</w:t>
      </w:r>
    </w:p>
    <w:p>
      <w:pPr>
        <w:spacing w:before="0" w:after="120" w:line="360" w:lineRule="auto"/>
        <w:ind w:firstLine="709"/>
        <w:jc w:val="both"/>
      </w:pPr>
      <w:r>
        <w:rPr>
          <w:b w:val="0"/>
          <w:i w:val="0"/>
        </w:rPr>
        <w:t>O documento dispõe: “No caso de serviços contínuos, o contrato poderá ser prorrogado na forma dos arts. 107 e 106, §2º, da Lei Federal nº 14.133/2021” (Item 7.2.1, página 6; TR, item 22.1.2, página 60).</w:t>
      </w:r>
    </w:p>
    <w:p>
      <w:pPr>
        <w:spacing w:before="0" w:after="80" w:line="360" w:lineRule="auto"/>
        <w:ind w:firstLine="709"/>
        <w:jc w:val="both"/>
      </w:pPr>
      <w:r>
        <w:rPr>
          <w:b/>
          <w:i w:val="0"/>
          <w:color w:val="12324A"/>
        </w:rPr>
        <w:t xml:space="preserve">Dispositivo aplicável. </w:t>
      </w:r>
      <w:r>
        <w:rPr>
          <w:b w:val="0"/>
          <w:i w:val="0"/>
        </w:rPr>
        <w:t>A matéria é disciplinada pelo art. 106 e pelo art. 107, da Lei 14.133/2021, que assim dispõem:</w:t>
      </w:r>
    </w:p>
    <w:p>
      <w:pPr>
        <w:spacing w:before="80" w:after="200" w:line="240" w:lineRule="auto"/>
        <w:ind w:firstLine="0" w:left="2268"/>
        <w:jc w:val="both"/>
      </w:pPr>
      <w:r>
        <w:rPr>
          <w:b w:val="0"/>
          <w:i w:val="0"/>
          <w:sz w:val="20"/>
        </w:rPr>
        <w:t>A Administração poderá celebrar contratos com prazo de até 5 (cinco) anos nas hipóteses de serviços e fornecimentos contínuos, observadas as seguintes diretrizes: […]</w:t>
      </w:r>
      <w:r>
        <w:rPr>
          <w:b w:val="0"/>
          <w:i w:val="0"/>
          <w:sz w:val="20"/>
        </w:rPr>
        <w:t xml:space="preserve"> (BRASIL, 2021, art. 106)</w:t>
      </w:r>
    </w:p>
    <w:p>
      <w:pPr>
        <w:spacing w:before="80" w:after="200" w:line="240" w:lineRule="auto"/>
        <w:ind w:firstLine="0" w:left="2268"/>
        <w:jc w:val="both"/>
      </w:pPr>
      <w:r>
        <w:rPr>
          <w:b w:val="0"/>
          <w:i w:val="0"/>
          <w:sz w:val="20"/>
        </w:rPr>
        <w:t>Os contratos de serviços e fornecimentos contínuos poderão ser prorrogados sucessivamente, respeitada a vigência máxima decenal, desde que haja previsão em edital e que a autoridade competente ateste que as condições e os preços permanecem vantajosos para a Administração, permitida a negociação com o contratado ou a extinção contratual sem ônus para qualquer das partes.</w:t>
      </w:r>
      <w:r>
        <w:rPr>
          <w:b w:val="0"/>
          <w:i w:val="0"/>
          <w:sz w:val="20"/>
        </w:rPr>
        <w:t xml:space="preserve"> (BRASIL, 2021, art. 107)</w:t>
      </w:r>
    </w:p>
    <w:p>
      <w:pPr>
        <w:spacing w:before="0" w:after="120" w:line="360" w:lineRule="auto"/>
        <w:ind w:firstLine="709"/>
        <w:jc w:val="both"/>
      </w:pPr>
      <w:r>
        <w:rPr>
          <w:b/>
          <w:i w:val="0"/>
          <w:color w:val="12324A"/>
        </w:rPr>
        <w:t xml:space="preserve">Análise. </w:t>
      </w:r>
      <w:r>
        <w:rPr>
          <w:b w:val="0"/>
          <w:i w:val="0"/>
        </w:rPr>
        <w:t>A prorrogação exige previsão em edital e atestado de que condições e preços permanecem vantajosos (art. 107). A vigência-base deve ser coerente em todas as peças.</w:t>
      </w:r>
    </w:p>
    <w:p>
      <w:pPr>
        <w:spacing w:before="0" w:after="120" w:line="360" w:lineRule="auto"/>
        <w:ind w:firstLine="709"/>
        <w:jc w:val="both"/>
      </w:pPr>
      <w:r>
        <w:rPr>
          <w:b/>
          <w:i w:val="0"/>
          <w:color w:val="3D8FA6"/>
        </w:rPr>
        <w:t xml:space="preserve">Risco de manutenção. </w:t>
      </w:r>
      <w:r>
        <w:rPr>
          <w:b w:val="0"/>
          <w:i w:val="0"/>
        </w:rPr>
        <w:t>Fragilidade jurídica de prorrogações futuras e discussão sobre o marco inicial da vigência.</w:t>
      </w:r>
    </w:p>
    <w:p>
      <w:pPr>
        <w:spacing w:before="0" w:after="120" w:line="360" w:lineRule="auto"/>
        <w:ind w:firstLine="709"/>
        <w:jc w:val="both"/>
      </w:pPr>
      <w:r>
        <w:rPr>
          <w:b/>
          <w:i w:val="0"/>
          <w:color w:val="12324A"/>
        </w:rPr>
        <w:t xml:space="preserve">Providência recomendada. </w:t>
      </w:r>
      <w:r>
        <w:rPr>
          <w:b w:val="0"/>
          <w:i w:val="0"/>
        </w:rPr>
        <w:t>Prever expressamente a condição de vantajosidade e uniformizar o marco inicial (assinatura ou ordem de início). Justificar no ETP o caráter contínuo de cada item.</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 contrato poderá ser prorrogado sucessivamente, respeitada a vigência máxima decenal, desde que a autoridade competente ateste que as condições e os preços permanecem vantajosos (art. 107 da Lei nº 14.133/2021).</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3.20 Registro de preços: quem pode aderir à ata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Item 16.7, página 37 (cf. itens 4.1.3 e 4.1.6, páginas 4 e 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adesão é restrita a órgãos e entidades da administração pública municipal (item 4.1.3), com limite de 50% por órgão e do dobro no total (item 4.1.6), o que atende ao art. 86, §§ 3º, II, 4º e 5º. O item 16.7 diz "entes não participantes", sem dizer municipais. A adesão incide sobre uma ata cujo objeto é prestação dirigida à população de Maricá (cerca de 145 mil licenças "por habitante" e cerca digital limitada ao município), e o quantitativo máximo é de 100% para cada item, o que, com o dobro, resultaria em 290.000 licenças, mais que a população do município.</w:t>
      </w:r>
    </w:p>
    <w:p>
      <w:pPr>
        <w:spacing w:before="0" w:after="120" w:line="360" w:lineRule="auto"/>
        <w:ind w:firstLine="709"/>
        <w:jc w:val="both"/>
      </w:pPr>
      <w:r>
        <w:rPr>
          <w:b w:val="0"/>
          <w:i w:val="0"/>
        </w:rPr>
        <w:t>O documento dispõe: “Será permitida adesão à Ata de Registro de Preços por entes não participantes em até” (Item 16.7, página 37 (cf. itens 4.1.3 e 4.1.6, páginas 4 e 5)).</w:t>
      </w:r>
    </w:p>
    <w:p>
      <w:pPr>
        <w:spacing w:before="0" w:after="80" w:line="360" w:lineRule="auto"/>
        <w:ind w:firstLine="709"/>
        <w:jc w:val="both"/>
      </w:pPr>
      <w:r>
        <w:rPr>
          <w:b/>
          <w:i w:val="0"/>
          <w:color w:val="12324A"/>
        </w:rPr>
        <w:t xml:space="preserve">Dispositivo aplicável. </w:t>
      </w:r>
      <w:r>
        <w:rPr>
          <w:b w:val="0"/>
          <w:i w:val="0"/>
        </w:rPr>
        <w:t>A matéria é disciplinada pelo art. 86, § 3º, pelo art. 86, § 3º, inciso II, pelo art. 86, § 8º, pelo art. 86, § 4º e pelo art. 86, § 5º, da Lei 14.133/2021, que assim dispõem:</w:t>
      </w:r>
    </w:p>
    <w:p>
      <w:pPr>
        <w:spacing w:before="80" w:after="200" w:line="240" w:lineRule="auto"/>
        <w:ind w:firstLine="0" w:left="2268"/>
        <w:jc w:val="both"/>
      </w:pPr>
      <w:r>
        <w:rPr>
          <w:b w:val="0"/>
          <w:i w:val="0"/>
          <w:sz w:val="20"/>
        </w:rPr>
        <w:t>A faculdade de aderir à ata de registro de preços na condição de não participante poderá ser exercida: […]</w:t>
      </w:r>
      <w:r>
        <w:rPr>
          <w:b w:val="0"/>
          <w:i w:val="0"/>
          <w:sz w:val="20"/>
        </w:rPr>
        <w:t xml:space="preserve"> (BRASIL, 2021, art. 86, § 3º)</w:t>
      </w:r>
    </w:p>
    <w:p>
      <w:pPr>
        <w:spacing w:before="80" w:after="200" w:line="240" w:lineRule="auto"/>
        <w:ind w:firstLine="0" w:left="2268"/>
        <w:jc w:val="both"/>
      </w:pPr>
      <w:r>
        <w:rPr>
          <w:b w:val="0"/>
          <w:i w:val="0"/>
          <w:sz w:val="20"/>
        </w:rPr>
        <w:t>A faculdade de aderir à ata de registro de preços na condição de não participante poderá ser exercida: […] por órgãos e entidades da Administração Pública municipal, relativamente a ata de registro de preços de órgão ou entidade gerenciadora municipal, desde que o sistema de registro de preços tenha sido formalizado mediante licitação.</w:t>
      </w:r>
      <w:r>
        <w:rPr>
          <w:b w:val="0"/>
          <w:i w:val="0"/>
          <w:sz w:val="20"/>
        </w:rPr>
        <w:t xml:space="preserve"> (BRASIL, 2021, art. 86, § 3º, inciso II)</w:t>
      </w:r>
    </w:p>
    <w:p>
      <w:pPr>
        <w:spacing w:before="80" w:after="200" w:line="240" w:lineRule="auto"/>
        <w:ind w:firstLine="0" w:left="2268"/>
        <w:jc w:val="both"/>
      </w:pPr>
      <w:r>
        <w:rPr>
          <w:b w:val="0"/>
          <w:i w:val="0"/>
          <w:sz w:val="20"/>
        </w:rPr>
        <w:t>Será vedada aos órgãos e entidades da Administração Pública federal a adesão à ata de registro de preços gerenciada por órgão ou entidade estadual, distrital ou municipal.</w:t>
      </w:r>
      <w:r>
        <w:rPr>
          <w:b w:val="0"/>
          <w:i w:val="0"/>
          <w:sz w:val="20"/>
        </w:rPr>
        <w:t xml:space="preserve"> (BRASIL, 2021, art. 86, § 8º)</w:t>
      </w:r>
    </w:p>
    <w:p>
      <w:pPr>
        <w:spacing w:before="80" w:after="200" w:line="240" w:lineRule="auto"/>
        <w:ind w:firstLine="0" w:left="2268"/>
        <w:jc w:val="both"/>
      </w:pPr>
      <w:r>
        <w:rPr>
          <w:b w:val="0"/>
          <w:i w:val="0"/>
          <w:sz w:val="20"/>
        </w:rPr>
        <w:t>As aquisições ou as contratações adicionais a que se refere o § 2º deste artigo não poderão exceder, por órgão ou entidade, a 50% (cinquenta por cento) dos quantitativos dos itens do instrumento convocatório registrados na ata de registro de preços para o órgão gerenciador e para os órgãos participantes.</w:t>
      </w:r>
      <w:r>
        <w:rPr>
          <w:b w:val="0"/>
          <w:i w:val="0"/>
          <w:sz w:val="20"/>
        </w:rPr>
        <w:t xml:space="preserve"> (BRASIL, 2021, art. 86, § 4º)</w:t>
      </w:r>
    </w:p>
    <w:p>
      <w:pPr>
        <w:spacing w:before="80" w:after="200" w:line="240" w:lineRule="auto"/>
        <w:ind w:firstLine="0" w:left="2268"/>
        <w:jc w:val="both"/>
      </w:pPr>
      <w:r>
        <w:rPr>
          <w:b w:val="0"/>
          <w:i w:val="0"/>
          <w:sz w:val="20"/>
        </w:rPr>
        <w:t>O quantitativo decorrente das adesões à ata de registro de preços a que se refere o § 2º deste artigo não poderá exceder, na totalidade, ao dobro do quantitativo de cada item registrado na ata de registro de preços para o órgão gerenciador e órgãos participantes, independentemente do número de órgãos não participantes que aderirem.</w:t>
      </w:r>
      <w:r>
        <w:rPr>
          <w:b w:val="0"/>
          <w:i w:val="0"/>
          <w:sz w:val="20"/>
        </w:rPr>
        <w:t xml:space="preserve"> (BRASIL, 2021, art. 86, § 5º)</w:t>
      </w:r>
    </w:p>
    <w:p>
      <w:pPr>
        <w:spacing w:before="0" w:after="120" w:line="360" w:lineRule="auto"/>
        <w:ind w:firstLine="709"/>
        <w:jc w:val="both"/>
      </w:pPr>
      <w:r>
        <w:rPr>
          <w:b/>
          <w:i w:val="0"/>
          <w:color w:val="12324A"/>
        </w:rPr>
        <w:t xml:space="preserve">Análise. </w:t>
      </w:r>
      <w:r>
        <w:rPr>
          <w:b w:val="0"/>
          <w:i w:val="0"/>
        </w:rPr>
        <w:t>O art. 86 limita a adesão por esfera e por quantitativo. A redação genérica do item 16.7 pode induzir órgãos de outras esferas à adesão, e o objeto não parece adequado ao uso por outros entes.</w:t>
      </w:r>
    </w:p>
    <w:p>
      <w:pPr>
        <w:spacing w:before="0" w:after="120" w:line="360" w:lineRule="auto"/>
        <w:ind w:firstLine="709"/>
        <w:jc w:val="both"/>
      </w:pPr>
      <w:r>
        <w:rPr>
          <w:b/>
          <w:i w:val="0"/>
          <w:color w:val="3D8FA6"/>
        </w:rPr>
        <w:t xml:space="preserve">Risco de manutenção. </w:t>
      </w:r>
      <w:r>
        <w:rPr>
          <w:b w:val="0"/>
          <w:i w:val="0"/>
        </w:rPr>
        <w:t>Adesões vedadas ou incoerentes com o objeto, sem utilidade prática e com risco de responsabilização.</w:t>
      </w:r>
    </w:p>
    <w:p>
      <w:pPr>
        <w:spacing w:before="0" w:after="120" w:line="360" w:lineRule="auto"/>
        <w:ind w:firstLine="709"/>
        <w:jc w:val="both"/>
      </w:pPr>
      <w:r>
        <w:rPr>
          <w:b/>
          <w:i w:val="0"/>
          <w:color w:val="12324A"/>
        </w:rPr>
        <w:t xml:space="preserve">Providência recomendada. </w:t>
      </w:r>
      <w:r>
        <w:rPr>
          <w:b w:val="0"/>
          <w:i w:val="0"/>
        </w:rPr>
        <w:t>Harmonizar o item 16.7 com o 4.1.3 (adesão apenas por órgãos municipais, sempre justificada). Avaliar a conveniência de manter adesão para esse objeto.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3.21 Registro de preços: regras obrigatórias do edital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Item 4.1.2, página 4; TR, item 9.1.5, página 81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dispõe sobre quantidade mínima (4.1.2), alteração de preços (item 19), cadastro de reserva (17.1.1, 18.1.1), vedação de participar de mais de uma ata (8.18) e cancelamento (19.4 e 19.5). A quantidade mínima a cotar é de 100% da máxima (itens 4.1.2 e TR 9.1.5), o que torna a regra do inciso IV (cotação de quantitativo inferior) implícita e contraditória. Não há declaração expressa sobre a possibilidade de cotar quantitativo inferior ao máximo. Com mínimo igual ao máximo e item único, o registro de preços perde a função do sistema.</w:t>
      </w:r>
    </w:p>
    <w:p>
      <w:pPr>
        <w:spacing w:before="0" w:after="120" w:line="360" w:lineRule="auto"/>
        <w:ind w:firstLine="709"/>
        <w:jc w:val="both"/>
      </w:pPr>
      <w:r>
        <w:rPr>
          <w:b w:val="0"/>
          <w:i w:val="0"/>
        </w:rPr>
        <w:t>O documento dispõe: “A quantidade mínima de unidades de bens a ser cotada corresponde a 100 % (cem por” (Item 4.1.2, página 4; TR, item 9.1.5, página 81).</w:t>
      </w:r>
    </w:p>
    <w:p>
      <w:pPr>
        <w:spacing w:before="0" w:after="80" w:line="360" w:lineRule="auto"/>
        <w:ind w:firstLine="709"/>
        <w:jc w:val="both"/>
      </w:pPr>
      <w:r>
        <w:rPr>
          <w:b/>
          <w:i w:val="0"/>
          <w:color w:val="12324A"/>
        </w:rPr>
        <w:t xml:space="preserve">Dispositivo aplicável. </w:t>
      </w:r>
      <w:r>
        <w:rPr>
          <w:b w:val="0"/>
          <w:i w:val="0"/>
        </w:rPr>
        <w:t>A matéria é disciplinada pelo art. 82, inciso II, pelo art. 82, inciso IV, pelo art. 82, inciso VI, pelo art. 82, inciso VII, pelo art. 82, inciso VIII e pelo art. 82, inciso IX, da Lei 14.133/2021, que assim dispõem:</w:t>
      </w:r>
    </w:p>
    <w:p>
      <w:pPr>
        <w:spacing w:before="80" w:after="200" w:line="240" w:lineRule="auto"/>
        <w:ind w:firstLine="0" w:left="2268"/>
        <w:jc w:val="both"/>
      </w:pPr>
      <w:r>
        <w:rPr>
          <w:b w:val="0"/>
          <w:i w:val="0"/>
          <w:sz w:val="20"/>
        </w:rPr>
        <w:t>O edital de licitação para registro de preços observará as regras gerais desta Lei e deverá dispor sobre: […] a quantidade mínima a ser cotada de unidades de bens ou, no caso de serviços, de unidades de medida;</w:t>
      </w:r>
      <w:r>
        <w:rPr>
          <w:b w:val="0"/>
          <w:i w:val="0"/>
          <w:sz w:val="20"/>
        </w:rPr>
        <w:t xml:space="preserve"> (BRASIL, 2021, art. 82, inciso II)</w:t>
      </w:r>
    </w:p>
    <w:p>
      <w:pPr>
        <w:spacing w:before="80" w:after="200" w:line="240" w:lineRule="auto"/>
        <w:ind w:firstLine="0" w:left="2268"/>
        <w:jc w:val="both"/>
      </w:pPr>
      <w:r>
        <w:rPr>
          <w:b w:val="0"/>
          <w:i w:val="0"/>
          <w:sz w:val="20"/>
        </w:rPr>
        <w:t>O edital de licitação para registro de preços observará as regras gerais desta Lei e deverá dispor sobre: […] a possibilidade de o licitante oferecer ou não proposta em quantitativo inferior ao máximo previsto no edital, obrigando-se nos limites dela;</w:t>
      </w:r>
      <w:r>
        <w:rPr>
          <w:b w:val="0"/>
          <w:i w:val="0"/>
          <w:sz w:val="20"/>
        </w:rPr>
        <w:t xml:space="preserve"> (BRASIL, 2021, art. 82, inciso IV)</w:t>
      </w:r>
    </w:p>
    <w:p>
      <w:pPr>
        <w:spacing w:before="80" w:after="200" w:line="240" w:lineRule="auto"/>
        <w:ind w:firstLine="0" w:left="2268"/>
        <w:jc w:val="both"/>
      </w:pPr>
      <w:r>
        <w:rPr>
          <w:b w:val="0"/>
          <w:i w:val="0"/>
          <w:sz w:val="20"/>
        </w:rPr>
        <w:t>O edital de licitação para registro de preços observará as regras gerais desta Lei e deverá dispor sobre: […] as condições para alteração de preços registrados;</w:t>
      </w:r>
      <w:r>
        <w:rPr>
          <w:b w:val="0"/>
          <w:i w:val="0"/>
          <w:sz w:val="20"/>
        </w:rPr>
        <w:t xml:space="preserve"> (BRASIL, 2021, art. 82, inciso VI)</w:t>
      </w:r>
    </w:p>
    <w:p>
      <w:pPr>
        <w:spacing w:before="80" w:after="200" w:line="240" w:lineRule="auto"/>
        <w:ind w:firstLine="0" w:left="2268"/>
        <w:jc w:val="both"/>
      </w:pPr>
      <w:r>
        <w:rPr>
          <w:b w:val="0"/>
          <w:i w:val="0"/>
          <w:sz w:val="20"/>
        </w:rPr>
        <w:t>O edital de licitação para registro de preços observará as regras gerais desta Lei e deverá dispor sobre: […] o registro de mais de um fornecedor ou prestador de serviço, desde que aceitem cotar o objeto em preço igual ao do licitante vencedor, assegurada a preferência de contratação de acordo com a ordem de classificação;</w:t>
      </w:r>
      <w:r>
        <w:rPr>
          <w:b w:val="0"/>
          <w:i w:val="0"/>
          <w:sz w:val="20"/>
        </w:rPr>
        <w:t xml:space="preserve"> (BRASIL, 2021, art. 82, inciso VII)</w:t>
      </w:r>
    </w:p>
    <w:p>
      <w:pPr>
        <w:spacing w:before="80" w:after="200" w:line="240" w:lineRule="auto"/>
        <w:ind w:firstLine="0" w:left="2268"/>
        <w:jc w:val="both"/>
      </w:pPr>
      <w:r>
        <w:rPr>
          <w:b w:val="0"/>
          <w:i w:val="0"/>
          <w:sz w:val="20"/>
        </w:rPr>
        <w:t>O edital de licitação para registro de preços observará as regras gerais desta Lei e deverá dispor sobre: […] a vedação à participação do órgão ou entidade em mais de uma ata de registro de preços com o mesmo objeto no prazo de validade daquela de que já tiver participado, salvo na ocorrência de ata que tenha registrado quantitativo inferior ao máximo previsto no edital;</w:t>
      </w:r>
      <w:r>
        <w:rPr>
          <w:b w:val="0"/>
          <w:i w:val="0"/>
          <w:sz w:val="20"/>
        </w:rPr>
        <w:t xml:space="preserve"> (BRASIL, 2021, art. 82, inciso VIII)</w:t>
      </w:r>
    </w:p>
    <w:p>
      <w:pPr>
        <w:spacing w:before="80" w:after="200" w:line="240" w:lineRule="auto"/>
        <w:ind w:firstLine="0" w:left="2268"/>
        <w:jc w:val="both"/>
      </w:pPr>
      <w:r>
        <w:rPr>
          <w:b w:val="0"/>
          <w:i w:val="0"/>
          <w:sz w:val="20"/>
        </w:rPr>
        <w:t>O edital de licitação para registro de preços observará as regras gerais desta Lei e deverá dispor sobre: […] as hipóteses de cancelamento da ata de registro de preços e suas consequências.</w:t>
      </w:r>
      <w:r>
        <w:rPr>
          <w:b w:val="0"/>
          <w:i w:val="0"/>
          <w:sz w:val="20"/>
        </w:rPr>
        <w:t xml:space="preserve"> (BRASIL, 2021, art. 82, inciso IX)</w:t>
      </w:r>
    </w:p>
    <w:p>
      <w:pPr>
        <w:spacing w:before="0" w:after="120" w:line="360" w:lineRule="auto"/>
        <w:ind w:firstLine="709"/>
        <w:jc w:val="both"/>
      </w:pPr>
      <w:r>
        <w:rPr>
          <w:b/>
          <w:i w:val="0"/>
          <w:color w:val="12324A"/>
        </w:rPr>
        <w:t xml:space="preserve">Análise. </w:t>
      </w:r>
      <w:r>
        <w:rPr>
          <w:b w:val="0"/>
          <w:i w:val="0"/>
        </w:rPr>
        <w:t>O art. 82, II e IV, exige que o edital trate da quantidade mínima a cotar e da possibilidade de oferta em quantitativo inferior ao máximo.</w:t>
      </w:r>
    </w:p>
    <w:p>
      <w:pPr>
        <w:spacing w:before="0" w:after="120" w:line="360" w:lineRule="auto"/>
        <w:ind w:firstLine="709"/>
        <w:jc w:val="both"/>
      </w:pPr>
      <w:r>
        <w:rPr>
          <w:b/>
          <w:i w:val="0"/>
          <w:color w:val="3D8FA6"/>
        </w:rPr>
        <w:t xml:space="preserve">Risco de manutenção. </w:t>
      </w:r>
      <w:r>
        <w:rPr>
          <w:b w:val="0"/>
          <w:i w:val="0"/>
        </w:rPr>
        <w:t>Dúvida sobre a validade de propostas parciais e uso do SRP para objeto pontual.</w:t>
      </w:r>
    </w:p>
    <w:p>
      <w:pPr>
        <w:spacing w:before="0" w:after="120" w:line="360" w:lineRule="auto"/>
        <w:ind w:firstLine="709"/>
        <w:jc w:val="both"/>
      </w:pPr>
      <w:r>
        <w:rPr>
          <w:b/>
          <w:i w:val="0"/>
          <w:color w:val="12324A"/>
        </w:rPr>
        <w:t xml:space="preserve">Providência recomendada. </w:t>
      </w:r>
      <w:r>
        <w:rPr>
          <w:b w:val="0"/>
          <w:i w:val="0"/>
        </w:rPr>
        <w:t>Declarar expressamente que não se admite cotação inferior ao máximo (ou admiti-la) e reavaliar se o SRP é o instrumento adequado, dado que o objeto é pontual e a quantidade mínima é igual à máxima.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3.22 Publicação do contrato no PNCP às expensas da contratada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Minuta de contrato, cláusula vigésima segunda, página 140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cláusula vigésima segunda da minuta determina que a divulgação no PNCP é feita "às expensas da CONTRATADA". A publicação no PNCP é obrigação da Administração e não tem custo.</w:t>
      </w:r>
    </w:p>
    <w:p>
      <w:pPr>
        <w:spacing w:before="0" w:after="120" w:line="360" w:lineRule="auto"/>
        <w:ind w:firstLine="709"/>
        <w:jc w:val="both"/>
      </w:pPr>
      <w:r>
        <w:rPr>
          <w:b w:val="0"/>
          <w:i w:val="0"/>
        </w:rPr>
        <w:t>O documento dispõe: “14.133/2021, às expensas da CONTRATADA.” (Minuta de contrato, cláusula vigésima segunda, página 140).</w:t>
      </w:r>
    </w:p>
    <w:p>
      <w:pPr>
        <w:spacing w:before="0" w:after="80" w:line="360" w:lineRule="auto"/>
        <w:ind w:firstLine="709"/>
        <w:jc w:val="both"/>
      </w:pPr>
      <w:r>
        <w:rPr>
          <w:b/>
          <w:i w:val="0"/>
          <w:color w:val="12324A"/>
        </w:rPr>
        <w:t xml:space="preserve">Dispositivo aplicável. </w:t>
      </w:r>
      <w:r>
        <w:rPr>
          <w:b w:val="0"/>
          <w:i w:val="0"/>
        </w:rPr>
        <w:t>A matéria é disciplinada pelo art. 94, da Lei 14.133/2021, que assim dispõe:</w:t>
      </w:r>
    </w:p>
    <w:p>
      <w:pPr>
        <w:spacing w:before="80" w:after="200" w:line="240" w:lineRule="auto"/>
        <w:ind w:firstLine="0" w:left="2268"/>
        <w:jc w:val="both"/>
      </w:pPr>
      <w:r>
        <w:rPr>
          <w:b w:val="0"/>
          <w:i w:val="0"/>
          <w:sz w:val="20"/>
        </w:rPr>
        <w:t>A divulgação no Portal Nacional de Contratações Públicas (PNCP) é condição indispensável para a eficácia do contrato e de seus aditamentos e deverá ocorrer nos seguintes prazos, contados da data de sua assinatura: […]</w:t>
      </w:r>
      <w:r>
        <w:rPr>
          <w:b w:val="0"/>
          <w:i w:val="0"/>
          <w:sz w:val="20"/>
        </w:rPr>
        <w:t xml:space="preserve"> (BRASIL, 2021, art. 94)</w:t>
      </w:r>
    </w:p>
    <w:p>
      <w:pPr>
        <w:spacing w:before="0" w:after="120" w:line="360" w:lineRule="auto"/>
        <w:ind w:firstLine="709"/>
        <w:jc w:val="both"/>
      </w:pPr>
      <w:r>
        <w:rPr>
          <w:b/>
          <w:i w:val="0"/>
          <w:color w:val="12324A"/>
        </w:rPr>
        <w:t xml:space="preserve">Análise. </w:t>
      </w:r>
      <w:r>
        <w:rPr>
          <w:b w:val="0"/>
          <w:i w:val="0"/>
        </w:rPr>
        <w:t>O art. 94 prevê a divulgação no PNCP como condição de eficácia do contrato, a cargo da Administração. A transferência de custos, especialmente de publicação em jornal oficial, deve ter base normativa e estar considerada na proposta.</w:t>
      </w:r>
    </w:p>
    <w:p>
      <w:pPr>
        <w:spacing w:before="0" w:after="120" w:line="360" w:lineRule="auto"/>
        <w:ind w:firstLine="709"/>
        <w:jc w:val="both"/>
      </w:pPr>
      <w:r>
        <w:rPr>
          <w:b/>
          <w:i w:val="0"/>
          <w:color w:val="3D8FA6"/>
        </w:rPr>
        <w:t xml:space="preserve">Risco de manutenção. </w:t>
      </w:r>
      <w:r>
        <w:rPr>
          <w:b w:val="0"/>
          <w:i w:val="0"/>
        </w:rPr>
        <w:t>Discussão sobre cobrança indevida e sobre custos não previstos na proposta.</w:t>
      </w:r>
    </w:p>
    <w:p>
      <w:pPr>
        <w:spacing w:before="0" w:after="120" w:line="360" w:lineRule="auto"/>
        <w:ind w:firstLine="709"/>
        <w:jc w:val="both"/>
      </w:pPr>
      <w:r>
        <w:rPr>
          <w:b/>
          <w:i w:val="0"/>
          <w:color w:val="12324A"/>
        </w:rPr>
        <w:t xml:space="preserve">Providência recomendada. </w:t>
      </w:r>
      <w:r>
        <w:rPr>
          <w:b w:val="0"/>
          <w:i w:val="0"/>
        </w:rPr>
        <w:t>Esclarecer que a divulgação no PNCP é feita pela Administração e eliminar a repasse de custo, ou indicar a norma local que o autoriza (por exemplo, taxa do jornal oficial).</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3.23 Resíduos de modelo padrão sem pertinência com o objeto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Item 10.4, página 13; item 12.4, h, página 17; minuta, cláusula décima primeira, páginas 128 a 130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o TR e a minuta contêm cláusulas de modelo para outros objetos: contribuição previdenciária sobre a proposta (cessão de mão de obra, item 10.4), "substituição dos materiais recusados" (item 21.6 e 21.9), obrigações de dedicação exclusiva (minuta, cláusula 11, X a XII), exigência de "cartão de CNPJ" e outras. O Anexo II exige marca/modelo e o item 12.4, h, desclassifica quem "não tenha indicado a marca dos produtos cotados", embora o objeto seja serviço de licenciamento e locação.</w:t>
      </w:r>
    </w:p>
    <w:p>
      <w:pPr>
        <w:spacing w:before="0" w:after="120" w:line="360" w:lineRule="auto"/>
        <w:ind w:firstLine="709"/>
        <w:jc w:val="both"/>
      </w:pPr>
      <w:r>
        <w:rPr>
          <w:b w:val="0"/>
          <w:i w:val="0"/>
        </w:rPr>
        <w:t>O documento dispõe: “O valor total da proposta, acrescido dos valores devidos a título de contribuição” (Item 10.4, página 13; item 12.4, h, página 17; minuta, cláusula décima primeira, páginas 128 a 130).</w:t>
      </w:r>
    </w:p>
    <w:p>
      <w:pPr>
        <w:spacing w:before="0" w:after="80" w:line="360" w:lineRule="auto"/>
        <w:ind w:firstLine="709"/>
        <w:jc w:val="both"/>
      </w:pPr>
      <w:r>
        <w:rPr>
          <w:b/>
          <w:i w:val="0"/>
          <w:color w:val="12324A"/>
        </w:rPr>
        <w:t xml:space="preserve">Dispositivo aplicável. </w:t>
      </w:r>
      <w:r>
        <w:rPr>
          <w:b w:val="0"/>
          <w:i w:val="0"/>
        </w:rPr>
        <w:t>A matéria é disciplinada pelo art. 25, da Lei 14.133/2021, que assim dispõe:</w:t>
      </w:r>
    </w:p>
    <w:p>
      <w:pPr>
        <w:spacing w:before="80" w:after="200" w:line="240" w:lineRule="auto"/>
        <w:ind w:firstLine="0" w:left="2268"/>
        <w:jc w:val="both"/>
      </w:pPr>
      <w:r>
        <w:rPr>
          <w:b w:val="0"/>
          <w:i w:val="0"/>
          <w:sz w:val="20"/>
        </w:rPr>
        <w:t>O edital deverá conter o objeto da licitação e as regras relativas à convocação, ao julgamento, à habilitação, aos recursos e às penalidades da licitação, à fiscalização e à gestão do contrato, à entrega do objeto e às condições de pagamento.</w:t>
      </w:r>
      <w:r>
        <w:rPr>
          <w:b w:val="0"/>
          <w:i w:val="0"/>
          <w:sz w:val="20"/>
        </w:rPr>
        <w:t xml:space="preserve"> (BRASIL, 2021, art. 25)</w:t>
      </w:r>
    </w:p>
    <w:p>
      <w:pPr>
        <w:spacing w:before="0" w:after="120" w:line="360" w:lineRule="auto"/>
        <w:ind w:firstLine="709"/>
        <w:jc w:val="both"/>
      </w:pPr>
      <w:r>
        <w:rPr>
          <w:b/>
          <w:i w:val="0"/>
          <w:color w:val="12324A"/>
        </w:rPr>
        <w:t xml:space="preserve">Análise. </w:t>
      </w:r>
      <w:r>
        <w:rPr>
          <w:b w:val="0"/>
          <w:i w:val="0"/>
        </w:rPr>
        <w:t>Regras que não se aplicam ao objeto geram dúvida de interpretação e podem fundamentar desclassificação ou exigência indevida (por exemplo, por falta de marca em serviço).</w:t>
      </w:r>
    </w:p>
    <w:p>
      <w:pPr>
        <w:spacing w:before="0" w:after="120" w:line="360" w:lineRule="auto"/>
        <w:ind w:firstLine="709"/>
        <w:jc w:val="both"/>
      </w:pPr>
      <w:r>
        <w:rPr>
          <w:b/>
          <w:i w:val="0"/>
          <w:color w:val="3D8FA6"/>
        </w:rPr>
        <w:t xml:space="preserve">Risco de manutenção. </w:t>
      </w:r>
      <w:r>
        <w:rPr>
          <w:b w:val="0"/>
          <w:i w:val="0"/>
        </w:rPr>
        <w:t>Impugnação e aplicação equivocada de regras de modelo durante a execução.</w:t>
      </w:r>
    </w:p>
    <w:p>
      <w:pPr>
        <w:spacing w:before="0" w:after="120" w:line="360" w:lineRule="auto"/>
        <w:ind w:firstLine="709"/>
        <w:jc w:val="both"/>
      </w:pPr>
      <w:r>
        <w:rPr>
          <w:b/>
          <w:i w:val="0"/>
          <w:color w:val="12324A"/>
        </w:rPr>
        <w:t xml:space="preserve">Providência recomendada. </w:t>
      </w:r>
      <w:r>
        <w:rPr>
          <w:b w:val="0"/>
          <w:i w:val="0"/>
        </w:rPr>
        <w:t>Revisar o modelo e excluir as cláusulas sem pertinência com o objeto antes dos próximos certames e da formalização dos contratos.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3.24 Exigência de via física original ou autenticada, firma reconhecida e cópia autenticada (trilha t-autenticacao)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Item 12.13, página 22; item 21.3, página 42; minuta, cláusula nona, página 124</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12.13 exige, após a sessão, a via física original ou autenticada da documentação enviada em cópia simples, no prazo de 2 dias úteis. O item 21.3 exige procuração com firma reconhecida e a minuta (garantia) exige cópia autenticada das apólices e firma reconhecida na fiança. O item 13.1 remete ao "item 12.13" para julgamento da habilitação, remissão sem correspondência com o conteúdo.</w:t>
      </w:r>
    </w:p>
    <w:p>
      <w:pPr>
        <w:spacing w:before="0" w:after="120" w:line="360" w:lineRule="auto"/>
        <w:ind w:firstLine="709"/>
        <w:jc w:val="both"/>
      </w:pPr>
      <w:r>
        <w:rPr>
          <w:b w:val="0"/>
          <w:i w:val="0"/>
        </w:rPr>
        <w:t>O documento dispõe: “a via física original ou autenticada, no prazo de 2 (dois) dias úteis.” (Item 12.13, página 22; item 21.3, página 42; minuta, cláusula nona, página 124).</w:t>
      </w:r>
    </w:p>
    <w:p>
      <w:pPr>
        <w:spacing w:before="0" w:after="80" w:line="360" w:lineRule="auto"/>
        <w:ind w:firstLine="709"/>
        <w:jc w:val="both"/>
      </w:pPr>
      <w:r>
        <w:rPr>
          <w:b/>
          <w:i w:val="0"/>
          <w:color w:val="12324A"/>
        </w:rPr>
        <w:t xml:space="preserve">Dispositivo aplicável. </w:t>
      </w:r>
      <w:r>
        <w:rPr>
          <w:b w:val="0"/>
          <w:i w:val="0"/>
        </w:rPr>
        <w:t>A matéria é disciplinada pelo art. 12, inciso IV e pelo art. 12, inciso V, da Lei 14.133/2021, que assim dispõem:</w:t>
      </w:r>
    </w:p>
    <w:p>
      <w:pPr>
        <w:spacing w:before="80" w:after="200" w:line="240" w:lineRule="auto"/>
        <w:ind w:firstLine="0" w:left="2268"/>
        <w:jc w:val="both"/>
      </w:pPr>
      <w:r>
        <w:rPr>
          <w:b w:val="0"/>
          <w:i w:val="0"/>
          <w:sz w:val="20"/>
        </w:rPr>
        <w:t>No processo licitatório, observar-se-á o seguinte: […] a prova de autenticidade de cópia de documento público ou particular poderá ser feita perante agente da Administração, mediante apresentação de original ou de declaração de autenticidade por advogado, sob sua responsabilidade pessoal;</w:t>
      </w:r>
      <w:r>
        <w:rPr>
          <w:b w:val="0"/>
          <w:i w:val="0"/>
          <w:sz w:val="20"/>
        </w:rPr>
        <w:t xml:space="preserve"> (BRASIL, 2021, art. 12, inciso IV)</w:t>
      </w:r>
    </w:p>
    <w:p>
      <w:pPr>
        <w:spacing w:before="80" w:after="200" w:line="240" w:lineRule="auto"/>
        <w:ind w:firstLine="0" w:left="2268"/>
        <w:jc w:val="both"/>
      </w:pPr>
      <w:r>
        <w:rPr>
          <w:b w:val="0"/>
          <w:i w:val="0"/>
          <w:sz w:val="20"/>
        </w:rPr>
        <w:t>No processo licitatório, observar-se-á o seguinte: […] o reconhecimento de firma somente será exigido quando houver dúvida de autenticidade, salvo imposição legal;</w:t>
      </w:r>
      <w:r>
        <w:rPr>
          <w:b w:val="0"/>
          <w:i w:val="0"/>
          <w:sz w:val="20"/>
        </w:rPr>
        <w:t xml:space="preserve"> (BRASIL, 2021, art. 12, inciso V)</w:t>
      </w:r>
    </w:p>
    <w:p>
      <w:pPr>
        <w:spacing w:before="0" w:after="120" w:line="360" w:lineRule="auto"/>
        <w:ind w:firstLine="709"/>
        <w:jc w:val="both"/>
      </w:pPr>
      <w:r>
        <w:rPr>
          <w:b/>
          <w:i w:val="0"/>
          <w:color w:val="12324A"/>
        </w:rPr>
        <w:t xml:space="preserve">Análise. </w:t>
      </w:r>
      <w:r>
        <w:rPr>
          <w:b w:val="0"/>
          <w:i w:val="0"/>
        </w:rPr>
        <w:t>Em processo eletrônico, a exigência de documentos físicos autenticados é formalismo desnecessário, podendo gerar inabilitação indevida e barreira à participação de licitantes de outros locais.</w:t>
      </w:r>
    </w:p>
    <w:p>
      <w:pPr>
        <w:spacing w:before="0" w:after="120" w:line="360" w:lineRule="auto"/>
        <w:ind w:firstLine="709"/>
        <w:jc w:val="both"/>
      </w:pPr>
      <w:r>
        <w:rPr>
          <w:b/>
          <w:i w:val="0"/>
          <w:color w:val="3D8FA6"/>
        </w:rPr>
        <w:t xml:space="preserve">Risco de manutenção. </w:t>
      </w:r>
      <w:r>
        <w:rPr>
          <w:b w:val="0"/>
          <w:i w:val="0"/>
        </w:rPr>
        <w:t>Inabilitação por falha formal e custo adicional para os licitantes.</w:t>
      </w:r>
    </w:p>
    <w:p>
      <w:pPr>
        <w:spacing w:before="0" w:after="120" w:line="360" w:lineRule="auto"/>
        <w:ind w:firstLine="709"/>
        <w:jc w:val="both"/>
      </w:pPr>
      <w:r>
        <w:rPr>
          <w:b/>
          <w:i w:val="0"/>
          <w:color w:val="12324A"/>
        </w:rPr>
        <w:t xml:space="preserve">Providência recomendada. </w:t>
      </w:r>
      <w:r>
        <w:rPr>
          <w:b w:val="0"/>
          <w:i w:val="0"/>
        </w:rPr>
        <w:t>Admitir documentos digitais com verificação eletrônica de autenticidade, e exigir o original somente em caso de dúvida fundamentada. Corrigir a remissão do item 13.1.</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1"/>
        <w:keepNext/>
        <w:spacing w:before="360" w:after="160" w:line="360" w:lineRule="auto"/>
        <w:ind w:firstLine="0"/>
        <w:jc w:val="left"/>
      </w:pPr>
      <w:r>
        <w:rPr>
          <w:rFonts w:ascii="Arial" w:hAnsi="Arial"/>
          <w:b/>
          <w:i w:val="0"/>
          <w:color w:val="12324A"/>
          <w:sz w:val="24"/>
        </w:rPr>
        <w:t>4 ANÁLISE DE PREÇOS</w:t>
      </w:r>
    </w:p>
    <w:p>
      <w:pPr>
        <w:spacing w:before="0" w:after="120" w:line="360" w:lineRule="auto"/>
        <w:ind w:firstLine="709"/>
        <w:jc w:val="both"/>
      </w:pPr>
      <w:r>
        <w:rPr>
          <w:b w:val="0"/>
          <w:i w:val="0"/>
        </w:rPr>
        <w:t>O orçamento estimado foi confrontado com preços de contratações similares publicadas no Portal Nacional de Contratações Públicas (PNCP), conforme o parâmetro do art. 23, § 1º, II, da Lei nº 14.133/2021. Critérios adotados: objeto equivalente (descrição compatível e mesma unidade de medida); contratações homologadas nos 365 dias anteriores a 20/02/2026; órgãos e entidades localizados no estado (RJ); contratações regidas pela Lei nº 14.133/2021; preço de comparação igual ao valor unitário homologado. Calcula-se a mediana de, no mínimo, 3 preços, após o descarte de valores extremos pelo intervalo interquartil. Considera-se indício de sobrepreço o valor estimado superior à mediana em mais de 25%, e ponto de atenção o excesso entre 10% e 25%.</w:t>
      </w:r>
    </w:p>
    <w:p>
      <w:pPr>
        <w:spacing w:before="0" w:after="120" w:line="360" w:lineRule="auto"/>
        <w:ind w:firstLine="709"/>
        <w:jc w:val="both"/>
      </w:pPr>
      <w:r>
        <w:rPr>
          <w:b w:val="0"/>
          <w:i w:val="0"/>
        </w:rPr>
        <w:t>Foram analisados 6 dos 6 itens do orçamento, que representam 100% do valor estimado. Não foi identificado indício de sobrepreço nos itens com amostra suficiente.</w:t>
      </w:r>
    </w:p>
    <w:tbl>
      <w:tblPr>
        <w:tblW w:type="auto" w:w="0"/>
        <w:jc w:val="center"/>
        <w:tblLook w:firstColumn="1" w:firstRow="1" w:lastColumn="0" w:lastRow="0" w:noHBand="0" w:noVBand="1" w:val="04A0"/>
        <w:tblLayout w:type="fixed"/>
      </w:tblPr>
      <w:tblGrid>
        <w:gridCol w:w="567"/>
        <w:gridCol w:w="3515"/>
        <w:gridCol w:w="1360"/>
        <w:gridCol w:w="1360"/>
        <w:gridCol w:w="793"/>
        <w:gridCol w:w="1474"/>
      </w:tblGrid>
      <w:tr>
        <w:tc>
          <w:tcPr>
            <w:tcW w:type="dxa" w:w="567"/>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ITEM</w:t>
            </w:r>
          </w:p>
        </w:tc>
        <w:tc>
          <w:tcPr>
            <w:tcW w:type="dxa" w:w="3515"/>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DESCRIÇÃO</w:t>
            </w:r>
          </w:p>
        </w:tc>
        <w:tc>
          <w:tcPr>
            <w:tcW w:type="dxa" w:w="1361"/>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ESTIMADO</w:t>
            </w:r>
          </w:p>
        </w:tc>
        <w:tc>
          <w:tcPr>
            <w:tcW w:type="dxa" w:w="1361"/>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MEDIANA</w:t>
            </w:r>
          </w:p>
        </w:tc>
        <w:tc>
          <w:tcPr>
            <w:tcW w:type="dxa" w:w="794"/>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DESVIO</w:t>
            </w:r>
          </w:p>
        </w:tc>
        <w:tc>
          <w:tcPr>
            <w:tcW w:type="dxa" w:w="1474"/>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SITUAÇÃO</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6</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Inventário / Catalogação - Acervo Bibliográfico</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R$ 96,00</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R$ 30.870,59</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-100%</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heterogênea (3)</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1</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Inventário / Catalogação - Acervo Bibliográfico</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R$ 1.116.000,00</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R$ 30.870,59</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+3515%</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i w:val="0"/>
                <w:color w:val="B8C2C8"/>
                <w:sz w:val="16"/>
              </w:rPr>
              <w:t>Amostra heterogênea (3)</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5</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Inventário / Catalogação - Acervo Bibliográfico</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R$ 420.000,00</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R$ 30.870,59</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+1261%</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heterogênea (3)</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2</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Inventário / Catalogação - Acervo Bibliográfico</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R$ 3.840,00</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R$ 30.870,59</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-88%</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i w:val="0"/>
                <w:color w:val="B8C2C8"/>
                <w:sz w:val="16"/>
              </w:rPr>
              <w:t>Amostra heterogênea (3)</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3</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Inventário / Catalogação - Acervo Bibliográfico</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R$ 37.200,00</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R$ 30.870,59</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+20%</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heterogênea (3)</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4</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Inventário / Catalogação - Acervo Bibliográfico</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R$ 960,00</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R$ 30.870,59</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-97%</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i w:val="0"/>
                <w:color w:val="B8C2C8"/>
                <w:sz w:val="16"/>
              </w:rPr>
              <w:t>Amostra heterogênea (3)</w:t>
            </w:r>
          </w:p>
        </w:tc>
      </w:tr>
    </w:tbl>
    <w:p>
      <w:pPr>
        <w:spacing w:before="80" w:after="160" w:line="360" w:lineRule="auto"/>
        <w:ind w:firstLine="0"/>
        <w:jc w:val="both"/>
      </w:pPr>
      <w:r>
        <w:rPr>
          <w:b w:val="0"/>
          <w:i/>
          <w:color w:val="66757F"/>
          <w:sz w:val="17"/>
        </w:rPr>
        <w:t>Entre parênteses, o número de preços comparáveis encontrados. Amostra insuficiente (menos de três preços) ou heterogênea (coeficiente de variação acima de 0,5, o que sugere especificações diferentes) não permite concluir sobre sobrepreço.</w:t>
      </w:r>
    </w:p>
    <w:p>
      <w:pPr>
        <w:spacing w:before="120" w:after="120" w:line="360" w:lineRule="auto"/>
        <w:ind w:firstLine="0"/>
        <w:jc w:val="both"/>
      </w:pPr>
      <w:r>
        <w:rPr>
          <w:b w:val="0"/>
          <w:i/>
          <w:color w:val="66757F"/>
          <w:sz w:val="17"/>
        </w:rPr>
        <w:t>A análise de preços é indicativa e calculada por programa a partir de dados públicos do PNCP; a comparação depende da equivalência das especificações e não substitui a pesquisa de preços do processo (art. 23 da Lei nº 14.133/2021).</w:t>
      </w:r>
    </w:p>
    <w:p>
      <w:pPr>
        <w:pStyle w:val="Heading1"/>
        <w:keepNext/>
        <w:spacing w:before="360" w:after="160" w:line="360" w:lineRule="auto"/>
        <w:ind w:firstLine="0"/>
        <w:jc w:val="left"/>
      </w:pPr>
      <w:r>
        <w:rPr>
          <w:rFonts w:ascii="Arial" w:hAnsi="Arial"/>
          <w:b/>
          <w:i w:val="0"/>
          <w:color w:val="12324A"/>
          <w:sz w:val="24"/>
        </w:rPr>
        <w:t>5 RECOMENDAÇÕES DE MELHORIA</w:t>
      </w:r>
    </w:p>
    <w:p>
      <w:pPr>
        <w:spacing w:before="0" w:after="120" w:line="360" w:lineRule="auto"/>
        <w:ind w:firstLine="709"/>
        <w:jc w:val="both"/>
      </w:pPr>
      <w:r>
        <w:rPr>
          <w:b w:val="0"/>
          <w:i w:val="0"/>
        </w:rPr>
        <w:t>Os pontos a seguir não configuram irregularidade, mas podem ser aperfeiçoados para dar mais segurança ao processo:</w:t>
      </w:r>
    </w:p>
    <w:p>
      <w:pPr>
        <w:spacing w:before="0" w:after="120" w:line="360" w:lineRule="auto"/>
        <w:ind w:left="425" w:hanging="425"/>
        <w:jc w:val="both"/>
      </w:pPr>
      <w:r>
        <w:rPr>
          <w:b/>
          <w:i w:val="0"/>
          <w:color w:val="1F7A8C"/>
        </w:rPr>
        <w:t xml:space="preserve">a) </w:t>
      </w:r>
      <w:r>
        <w:rPr>
          <w:b/>
          <w:i w:val="0"/>
        </w:rPr>
        <w:t xml:space="preserve">Declaração de custos trabalhistas integrais: </w:t>
      </w:r>
      <w:r>
        <w:rPr>
          <w:b w:val="0"/>
          <w:i w:val="0"/>
        </w:rPr>
        <w:t>A declaração está prevista na habilitação (B.4/Anexo VIII). Convém lembrar que, como o objeto não é de mão de obra, o item B.4 tem pouco efeito prático. Não há prejuízo em mantê-la. (art. 63, § 1º, da Lei 14.133/2021).</w:t>
      </w:r>
    </w:p>
    <w:p>
      <w:pPr>
        <w:spacing w:before="0" w:after="120" w:line="360" w:lineRule="auto"/>
        <w:ind w:left="425" w:hanging="425"/>
        <w:jc w:val="both"/>
      </w:pPr>
      <w:r>
        <w:rPr>
          <w:b/>
          <w:i w:val="0"/>
          <w:color w:val="1F7A8C"/>
        </w:rPr>
        <w:t xml:space="preserve">b) </w:t>
      </w:r>
      <w:r>
        <w:rPr>
          <w:b/>
          <w:i w:val="0"/>
        </w:rPr>
        <w:t xml:space="preserve">Conteúdo mínimo do edital: </w:t>
      </w:r>
      <w:r>
        <w:rPr>
          <w:b w:val="0"/>
          <w:i w:val="0"/>
        </w:rPr>
        <w:t>O capítulo de fiscalização e gestão do edital é mínimo (item 21.10) e remete ao TR. Convém indicar expressamente que o modelo de gestão consta do Anexo III, item 27. (art. 25, da Lei 14.133/2021).</w:t>
      </w:r>
    </w:p>
    <w:p>
      <w:pPr>
        <w:spacing w:before="0" w:after="120" w:line="360" w:lineRule="auto"/>
        <w:ind w:left="425" w:hanging="425"/>
        <w:jc w:val="both"/>
      </w:pPr>
      <w:r>
        <w:rPr>
          <w:b/>
          <w:i w:val="0"/>
          <w:color w:val="1F7A8C"/>
        </w:rPr>
        <w:t xml:space="preserve">c) </w:t>
      </w:r>
      <w:r>
        <w:rPr>
          <w:b/>
          <w:i w:val="0"/>
        </w:rPr>
        <w:t xml:space="preserve">Recursos administrativos: </w:t>
      </w:r>
      <w:r>
        <w:rPr>
          <w:b w:val="0"/>
          <w:i w:val="0"/>
        </w:rPr>
        <w:t>O item 14.6 faz a autoridade superior decidir "no mesmo prazo" (3 dias úteis). O prazo legal da autoridade superior é maior (art. 165, § 2º, 10 dias úteis). Convém alinhar para evitar descumprimento do próprio edital. Também seria útil prever expressamente o recurso contra a prova de conceito, tratada como julgamento de proposta. (art. 165, inciso I, da Lei 14.133/2021; art. 165, § 1º, da Lei 14.133/2021).</w:t>
      </w:r>
    </w:p>
    <w:p>
      <w:pPr>
        <w:spacing w:before="0" w:after="120" w:line="360" w:lineRule="auto"/>
        <w:ind w:left="425" w:hanging="425"/>
        <w:jc w:val="both"/>
      </w:pPr>
      <w:r>
        <w:rPr>
          <w:b/>
          <w:i w:val="0"/>
          <w:color w:val="1F7A8C"/>
        </w:rPr>
        <w:t xml:space="preserve">d) </w:t>
      </w:r>
      <w:r>
        <w:rPr>
          <w:b/>
          <w:i w:val="0"/>
        </w:rPr>
        <w:t xml:space="preserve">Sanções e multas: </w:t>
      </w:r>
      <w:r>
        <w:rPr>
          <w:b w:val="0"/>
          <w:i w:val="0"/>
        </w:rPr>
        <w:t>O item 24.3.5 declara as multas "independentes entre si". Convém prever teto cumulativo de 30% do valor do contrato, para evitar excesso sobre o limite do art. 156, § 3º. (art. 156, da Lei 14.133/2021; art. 156, § 3º, da Lei 14.133/2021).</w:t>
      </w:r>
    </w:p>
    <w:p>
      <w:pPr>
        <w:pStyle w:val="Heading1"/>
        <w:keepNext/>
        <w:spacing w:before="360" w:after="160" w:line="360" w:lineRule="auto"/>
        <w:ind w:firstLine="0"/>
        <w:jc w:val="left"/>
      </w:pPr>
      <w:r>
        <w:rPr>
          <w:rFonts w:ascii="Arial" w:hAnsi="Arial"/>
          <w:b/>
          <w:i w:val="0"/>
          <w:color w:val="12324A"/>
          <w:sz w:val="24"/>
        </w:rPr>
        <w:t>6 CONCLUSÃO</w:t>
      </w:r>
    </w:p>
    <w:p>
      <w:pPr>
        <w:spacing w:before="0" w:after="120" w:line="360" w:lineRule="auto"/>
        <w:ind w:firstLine="709"/>
        <w:jc w:val="both"/>
      </w:pPr>
      <w:r>
        <w:rPr>
          <w:b w:val="0"/>
          <w:i w:val="0"/>
        </w:rPr>
        <w:t>O processo apresenta estrutura formal razoável, mas contém falhas relevantes de planejamento e de competitividade. As principais são o agrupamento sem justificativa, a prova de conceito restritiva, a qualificação técnica desproporcional ao objeto e o prazo de propostas possivelmente inferior ao mínimo. Há ainda incoerências documentais que afetam a segurança jurídica do certame e da futura ata.</w:t>
        <w:br/>
        <w:br/>
        <w:t>Por já ter havido homologação, recomenda-se o seguinte.</w:t>
        <w:br/>
        <w:t>(i) Esclarecer e documentar a classificação do objeto (bem ou serviço) e a contagem do prazo de propostas.</w:t>
        <w:br/>
        <w:t>(ii) Revisar valor e data do orçamento, garantia, anexos e dotação antes da formalização da ata e dos contratos.</w:t>
        <w:br/>
        <w:t>(iii) Completar a minuta de contrato, retirando as cláusulas de modelo sem pertinência com o objeto.</w:t>
        <w:br/>
        <w:t>(iv) Reavaliar o quantitativo de 145.000 licenças e a forma de pagamento antes de qualquer contratação ou adesão.</w:t>
        <w:br/>
        <w:t>(v) Corrigir esses pontos nos próximos certames.</w:t>
        <w:br/>
        <w:br/>
        <w:t>O parecer é opinativo, e a decisão de manter ou ajustar cada ponto cabe à autoridade competente.</w:t>
      </w:r>
    </w:p>
    <w:p>
      <w:pPr>
        <w:spacing w:before="0" w:after="80" w:line="360" w:lineRule="auto"/>
        <w:ind w:firstLine="709"/>
        <w:jc w:val="both"/>
      </w:pPr>
      <w:r>
        <w:rPr>
          <w:b w:val="0"/>
          <w:i w:val="0"/>
        </w:rPr>
        <w:t>Recomendam-se, por ordem de prioridade, as seguintes providências:</w:t>
      </w:r>
    </w:p>
    <w:p>
      <w:pPr>
        <w:spacing w:before="0" w:after="80" w:line="360" w:lineRule="auto"/>
        <w:ind w:left="425" w:hanging="425"/>
        <w:jc w:val="both"/>
      </w:pPr>
      <w:r>
        <w:rPr>
          <w:b/>
          <w:i w:val="0"/>
          <w:color w:val="B23A48"/>
        </w:rPr>
        <w:t xml:space="preserve">1. </w:t>
      </w:r>
      <w:r>
        <w:rPr>
          <w:b/>
          <w:i w:val="0"/>
        </w:rPr>
        <w:t xml:space="preserve">Prazo mínimo para apresentação de propostas </w:t>
      </w:r>
      <w:r>
        <w:rPr>
          <w:b w:val="0"/>
          <w:i w:val="0"/>
          <w:color w:val="B23A48"/>
        </w:rPr>
        <w:t xml:space="preserve">(gravidade alta, item 3.1): </w:t>
      </w:r>
      <w:r>
        <w:rPr>
          <w:b w:val="0"/>
          <w:i w:val="0"/>
        </w:rPr>
        <w:t>Definir e registrar formalmente a natureza do objeto (bem, serviço comum, serviço especial de engenharia) e o prazo mínimo correspondente. Como o certame já foi homologado, documentar o número de propostas e a ausência de prejuízo, avaliar a necessidade de saneamento com a assessoria jurídica e conferir feriados locais. Nos próximos certames, calcular o prazo em dias úteis a partir do primeiro dia útil seguinte à divulgação e com margem de segurança.</w:t>
      </w:r>
    </w:p>
    <w:p>
      <w:pPr>
        <w:spacing w:before="0" w:after="80" w:line="360" w:lineRule="auto"/>
        <w:ind w:left="425" w:hanging="425"/>
        <w:jc w:val="both"/>
      </w:pPr>
      <w:r>
        <w:rPr>
          <w:b/>
          <w:i w:val="0"/>
          <w:color w:val="B23A48"/>
        </w:rPr>
        <w:t xml:space="preserve">2. </w:t>
      </w:r>
      <w:r>
        <w:rPr>
          <w:b/>
          <w:i w:val="0"/>
        </w:rPr>
        <w:t xml:space="preserve">Qualificação técnica proporcional </w:t>
      </w:r>
      <w:r>
        <w:rPr>
          <w:b w:val="0"/>
          <w:i w:val="0"/>
          <w:color w:val="B23A48"/>
        </w:rPr>
        <w:t xml:space="preserve">(gravidade alta, item 3.2): </w:t>
      </w:r>
      <w:r>
        <w:rPr>
          <w:b w:val="0"/>
          <w:i w:val="0"/>
        </w:rPr>
        <w:t>Listar, com percentuais do orçamento, as parcelas de maior relevância (por exemplo, licenças/aplicativo e instalação das salas). Definir objetivamente as características mínimas exigidas, limitar quantitativos a 50% e justificar no ETP a exigência de CREA e de engenheiros para um objeto majoritariamente de software. Considerar permitir comprovação por subcontratação ou parceria da parcela de engenharia.</w:t>
      </w:r>
    </w:p>
    <w:p>
      <w:pPr>
        <w:spacing w:before="0" w:after="80" w:line="360" w:lineRule="auto"/>
        <w:ind w:left="425" w:hanging="425"/>
        <w:jc w:val="both"/>
      </w:pPr>
      <w:r>
        <w:rPr>
          <w:b/>
          <w:i w:val="0"/>
          <w:color w:val="B23A48"/>
        </w:rPr>
        <w:t xml:space="preserve">3. </w:t>
      </w:r>
      <w:r>
        <w:rPr>
          <w:b/>
          <w:i w:val="0"/>
        </w:rPr>
        <w:t xml:space="preserve">Registro de preços: julgamento por lote (grupo de itens) </w:t>
      </w:r>
      <w:r>
        <w:rPr>
          <w:b w:val="0"/>
          <w:i w:val="0"/>
          <w:color w:val="B23A48"/>
        </w:rPr>
        <w:t xml:space="preserve">(gravidade alta, item 3.3): </w:t>
      </w:r>
      <w:r>
        <w:rPr>
          <w:b w:val="0"/>
          <w:i w:val="0"/>
        </w:rPr>
        <w:t>Juntar ao processo a justificativa do agrupamento, ou separar em lotes/itens. Em qualquer caso, definir preços unitários máximos por item no edital e na ata. Para a ata em vigor, não autorizar contratações parciais sem a pesquisa e a demonstração de vantagem do art. 82, § 2º. Nos próximos certames, licitar por item ou por lotes coerentes.</w:t>
      </w:r>
    </w:p>
    <w:p>
      <w:pPr>
        <w:spacing w:before="0" w:after="80" w:line="360" w:lineRule="auto"/>
        <w:ind w:left="425" w:hanging="425"/>
        <w:jc w:val="both"/>
      </w:pPr>
      <w:r>
        <w:rPr>
          <w:b/>
          <w:i w:val="0"/>
          <w:color w:val="B23A48"/>
        </w:rPr>
        <w:t xml:space="preserve">4. </w:t>
      </w:r>
      <w:r>
        <w:rPr>
          <w:b/>
          <w:i w:val="0"/>
        </w:rPr>
        <w:t xml:space="preserve">Prova de conceito inserida na habilitação e com exigência de aplicativo já publicado nas lojas </w:t>
      </w:r>
      <w:r>
        <w:rPr>
          <w:b w:val="0"/>
          <w:i w:val="0"/>
          <w:color w:val="B23A48"/>
        </w:rPr>
        <w:t xml:space="preserve">(gravidade alta, item 3.4): </w:t>
      </w:r>
      <w:r>
        <w:rPr>
          <w:b w:val="0"/>
          <w:i w:val="0"/>
        </w:rPr>
        <w:t>Revisar a PoC para aferir apenas requisitos essenciais, com critérios objetivos, prazo razoável para adequação e sem exigir publicação prévia nas lojas. Tratar a PoC como etapa de julgamento da proposta, não de habilitação. Examinar, para a ata em vigor, o resultado e as atas da PoC, verificando o tratamento isonômico dos licitantes.</w:t>
      </w:r>
    </w:p>
    <w:p>
      <w:pPr>
        <w:spacing w:before="0" w:after="80" w:line="360" w:lineRule="auto"/>
        <w:ind w:left="425" w:hanging="425"/>
        <w:jc w:val="both"/>
      </w:pPr>
      <w:r>
        <w:rPr>
          <w:b/>
          <w:i w:val="0"/>
          <w:color w:val="C9781E"/>
        </w:rPr>
        <w:t xml:space="preserve">5. </w:t>
      </w:r>
      <w:r>
        <w:rPr>
          <w:b/>
          <w:i w:val="0"/>
        </w:rPr>
        <w:t xml:space="preserve">Conferência aritmética da planilha </w:t>
      </w:r>
      <w:r>
        <w:rPr>
          <w:b w:val="0"/>
          <w:i w:val="0"/>
          <w:color w:val="C9781E"/>
        </w:rPr>
        <w:t xml:space="preserve">(gravidade média, item 3.5): </w:t>
      </w:r>
      <w:r>
        <w:rPr>
          <w:b w:val="0"/>
          <w:i w:val="0"/>
        </w:rPr>
        <w:t>Identificar o valor correto, uniformizar edital, TR, Anexo I e Anexo A, e registrar a retificação ou o saneamento no processo e na ata. Anexar a planilha em Excel com fórmulas para conferência automática.</w:t>
      </w:r>
    </w:p>
    <w:p>
      <w:pPr>
        <w:spacing w:before="0" w:after="80" w:line="360" w:lineRule="auto"/>
        <w:ind w:left="425" w:hanging="425"/>
        <w:jc w:val="both"/>
      </w:pPr>
      <w:r>
        <w:rPr>
          <w:b/>
          <w:i w:val="0"/>
          <w:color w:val="C9781E"/>
        </w:rPr>
        <w:t xml:space="preserve">6. </w:t>
      </w:r>
      <w:r>
        <w:rPr>
          <w:b/>
          <w:i w:val="0"/>
        </w:rPr>
        <w:t xml:space="preserve">Índice de reajuste com data-base no orçamento </w:t>
      </w:r>
      <w:r>
        <w:rPr>
          <w:b w:val="0"/>
          <w:i w:val="0"/>
          <w:color w:val="C9781E"/>
        </w:rPr>
        <w:t xml:space="preserve">(gravidade média, item 3.6): </w:t>
      </w:r>
      <w:r>
        <w:rPr>
          <w:b w:val="0"/>
          <w:i w:val="0"/>
        </w:rPr>
        <w:t>Apurar a data real da pesquisa/orçamento, retificar o Anexo I e preencher a minuta com o prazo (12 meses) e o índice. Registrar na ata e no contrato o mês-base Io.</w:t>
      </w:r>
    </w:p>
    <w:p>
      <w:pPr>
        <w:spacing w:before="0" w:after="80" w:line="360" w:lineRule="auto"/>
        <w:ind w:left="425" w:hanging="425"/>
        <w:jc w:val="both"/>
      </w:pPr>
      <w:r>
        <w:rPr>
          <w:b/>
          <w:i w:val="0"/>
          <w:color w:val="C9781E"/>
        </w:rPr>
        <w:t xml:space="preserve">7. </w:t>
      </w:r>
      <w:r>
        <w:rPr>
          <w:b/>
          <w:i w:val="0"/>
        </w:rPr>
        <w:t xml:space="preserve">Garantia de proposta e garantia contratual </w:t>
      </w:r>
      <w:r>
        <w:rPr>
          <w:b w:val="0"/>
          <w:i w:val="0"/>
          <w:color w:val="C9781E"/>
        </w:rPr>
        <w:t xml:space="preserve">(gravidade média, item 3.7): </w:t>
      </w:r>
      <w:r>
        <w:rPr>
          <w:b w:val="0"/>
          <w:i w:val="0"/>
        </w:rPr>
        <w:t>Unificar o percentual (2% ou outro dentro de 5%, com justificativa se majorado até 10%) no edital, TR e minuta. Definir na minuta a modalidade efetivamente admitida e eliminar as instruções de modelo.</w:t>
      </w:r>
    </w:p>
    <w:p>
      <w:pPr>
        <w:spacing w:before="0" w:after="80" w:line="360" w:lineRule="auto"/>
        <w:ind w:left="425" w:hanging="425"/>
        <w:jc w:val="both"/>
      </w:pPr>
      <w:r>
        <w:rPr>
          <w:b/>
          <w:i w:val="0"/>
          <w:color w:val="C9781E"/>
        </w:rPr>
        <w:t xml:space="preserve">8. </w:t>
      </w:r>
      <w:r>
        <w:rPr>
          <w:b/>
          <w:i w:val="0"/>
        </w:rPr>
        <w:t xml:space="preserve">Minuta de contrato como anexo e cláusulas necessárias </w:t>
      </w:r>
      <w:r>
        <w:rPr>
          <w:b w:val="0"/>
          <w:i w:val="0"/>
          <w:color w:val="C9781E"/>
        </w:rPr>
        <w:t xml:space="preserve">(gravidade média, item 3.8): </w:t>
      </w:r>
      <w:r>
        <w:rPr>
          <w:b w:val="0"/>
          <w:i w:val="0"/>
        </w:rPr>
        <w:t>Antes de formalizar os contratos decorrentes da ata, preencher os campos, excluir as cláusulas de modelo sem pertinência, adaptar a redação ao objeto (software e locação) e considerar uma matriz de riscos. Na minuta futura, publicar o modelo já adaptado ao objeto.</w:t>
      </w:r>
    </w:p>
    <w:p>
      <w:pPr>
        <w:spacing w:before="0" w:after="80" w:line="360" w:lineRule="auto"/>
        <w:ind w:left="425" w:hanging="425"/>
        <w:jc w:val="both"/>
      </w:pPr>
      <w:r>
        <w:rPr>
          <w:b/>
          <w:i w:val="0"/>
          <w:color w:val="C9781E"/>
        </w:rPr>
        <w:t xml:space="preserve">9. </w:t>
      </w:r>
      <w:r>
        <w:rPr>
          <w:b/>
          <w:i w:val="0"/>
        </w:rPr>
        <w:t xml:space="preserve">Registro de preços: quantidades e vigência da ata </w:t>
      </w:r>
      <w:r>
        <w:rPr>
          <w:b w:val="0"/>
          <w:i w:val="0"/>
          <w:color w:val="C9781E"/>
        </w:rPr>
        <w:t xml:space="preserve">(gravidade média, item 3.9): </w:t>
      </w:r>
      <w:r>
        <w:rPr>
          <w:b w:val="0"/>
          <w:i w:val="0"/>
        </w:rPr>
        <w:t>Juntar ao processo a memória de cálculo de cada quantidade, indicando a fonte da estimativa de 145 mil usuários. Revisar a possibilidade de renovação de quantitativo na prorrogação e, se mantida, justificar a base legal. Avaliar o pagamento por licença efetivamente ativa, e não fixo.</w:t>
      </w:r>
    </w:p>
    <w:p>
      <w:pPr>
        <w:spacing w:before="0" w:after="80" w:line="360" w:lineRule="auto"/>
        <w:ind w:left="425" w:hanging="425"/>
        <w:jc w:val="both"/>
      </w:pPr>
      <w:r>
        <w:rPr>
          <w:b/>
          <w:i w:val="0"/>
          <w:color w:val="C9781E"/>
        </w:rPr>
        <w:t xml:space="preserve">10. </w:t>
      </w:r>
      <w:r>
        <w:rPr>
          <w:b/>
          <w:i w:val="0"/>
        </w:rPr>
        <w:t xml:space="preserve">Coerência interna do edital e dos anexos </w:t>
      </w:r>
      <w:r>
        <w:rPr>
          <w:b w:val="0"/>
          <w:i w:val="0"/>
          <w:color w:val="C9781E"/>
        </w:rPr>
        <w:t xml:space="preserve">(gravidade média, item 3.10): </w:t>
      </w:r>
      <w:r>
        <w:rPr>
          <w:b w:val="0"/>
          <w:i w:val="0"/>
        </w:rPr>
        <w:t>Fazer revisão cruzada de edital, TR, anexos e minutas e retificar o saneamento na ata e nos contratos. Preferir tabela única de valor, datas, garantia, dotação e numeração de anexos nos próximos editais.</w:t>
      </w:r>
    </w:p>
    <w:p>
      <w:pPr>
        <w:spacing w:before="0" w:after="80" w:line="360" w:lineRule="auto"/>
        <w:ind w:left="425" w:hanging="425"/>
        <w:jc w:val="both"/>
      </w:pPr>
      <w:r>
        <w:rPr>
          <w:b/>
          <w:i w:val="0"/>
          <w:color w:val="C9781E"/>
        </w:rPr>
        <w:t xml:space="preserve">11. </w:t>
      </w:r>
      <w:r>
        <w:rPr>
          <w:b/>
          <w:i w:val="0"/>
        </w:rPr>
        <w:t xml:space="preserve">Orçamento estimado sem pesquisa de preços visível e valores unitários a esclarecer </w:t>
      </w:r>
      <w:r>
        <w:rPr>
          <w:b w:val="0"/>
          <w:i w:val="0"/>
          <w:color w:val="C9781E"/>
        </w:rPr>
        <w:t xml:space="preserve">(gravidade média, item 3.11): </w:t>
      </w:r>
      <w:r>
        <w:rPr>
          <w:b w:val="0"/>
          <w:i w:val="0"/>
        </w:rPr>
        <w:t>Esclarecer junto ao órgão responsável (por exemplo, por pedido de esclarecimento, art. 164) onde está a pesquisa de preços e a composição de cada item, inclusive o que compõe o valor de R$ 93.000 por sala e a fonte do preço da licença. Em caso de ausência, refazer a pesquisa antes de contratar a partir da ata, e corrigir a data do orçamento.</w:t>
      </w:r>
    </w:p>
    <w:p>
      <w:pPr>
        <w:spacing w:before="0" w:after="80" w:line="360" w:lineRule="auto"/>
        <w:ind w:left="425" w:hanging="425"/>
        <w:jc w:val="both"/>
      </w:pPr>
      <w:r>
        <w:rPr>
          <w:b/>
          <w:i w:val="0"/>
          <w:color w:val="C9781E"/>
        </w:rPr>
        <w:t xml:space="preserve">12. </w:t>
      </w:r>
      <w:r>
        <w:rPr>
          <w:b/>
          <w:i w:val="0"/>
        </w:rPr>
        <w:t xml:space="preserve">Quantitativo de 145.000 licenças e pagamento fixo mensal desvinculado da efetiva utilização </w:t>
      </w:r>
      <w:r>
        <w:rPr>
          <w:b w:val="0"/>
          <w:i w:val="0"/>
          <w:color w:val="C9781E"/>
        </w:rPr>
        <w:t xml:space="preserve">(gravidade média, item 3.12): </w:t>
      </w:r>
      <w:r>
        <w:rPr>
          <w:b w:val="0"/>
          <w:i w:val="0"/>
        </w:rPr>
        <w:t>Pedir a fonte da estimativa de 145 mil usuários e avaliar medição por licenças ativas, ou por faixas de usuários. Alinhar o cronograma de pagamento ao cronograma real de entrega das salas e do aplicativo.</w:t>
      </w:r>
    </w:p>
    <w:p>
      <w:pPr>
        <w:spacing w:before="0" w:after="80" w:line="360" w:lineRule="auto"/>
        <w:ind w:left="425" w:hanging="425"/>
        <w:jc w:val="both"/>
      </w:pPr>
      <w:r>
        <w:rPr>
          <w:b/>
          <w:i w:val="0"/>
          <w:color w:val="C9781E"/>
        </w:rPr>
        <w:t xml:space="preserve">13. </w:t>
      </w:r>
      <w:r>
        <w:rPr>
          <w:b/>
          <w:i w:val="0"/>
        </w:rPr>
        <w:t xml:space="preserve">Vedação de participação ampla demais de servidores do Município (item 8.11) </w:t>
      </w:r>
      <w:r>
        <w:rPr>
          <w:b w:val="0"/>
          <w:i w:val="0"/>
          <w:color w:val="C9781E"/>
        </w:rPr>
        <w:t xml:space="preserve">(gravidade média, item 3.13): </w:t>
      </w:r>
      <w:r>
        <w:rPr>
          <w:b w:val="0"/>
          <w:i w:val="0"/>
        </w:rPr>
        <w:t>Limitar as vedações às hipóteses do art. 14 e do art. 9º, § 1º (servidor ou dirigente do órgão contratante, ou agente que atue na licitação ou fiscalização do contrato), ou justificar no processo a base legal da extensão.</w:t>
      </w:r>
    </w:p>
    <w:p>
      <w:pPr>
        <w:spacing w:before="0" w:after="80" w:line="360" w:lineRule="auto"/>
        <w:ind w:left="425" w:hanging="425"/>
        <w:jc w:val="both"/>
      </w:pPr>
      <w:r>
        <w:rPr>
          <w:b/>
          <w:i w:val="0"/>
          <w:color w:val="C9781E"/>
        </w:rPr>
        <w:t xml:space="preserve">14. </w:t>
      </w:r>
      <w:r>
        <w:rPr>
          <w:b/>
          <w:i w:val="0"/>
        </w:rPr>
        <w:t xml:space="preserve">Inabilitação do licitante por indisponibilidade dos meios de consulta da Administração </w:t>
      </w:r>
      <w:r>
        <w:rPr>
          <w:b w:val="0"/>
          <w:i w:val="0"/>
          <w:color w:val="C9781E"/>
        </w:rPr>
        <w:t xml:space="preserve">(gravidade média, item 3.14): </w:t>
      </w:r>
      <w:r>
        <w:rPr>
          <w:b w:val="0"/>
          <w:i w:val="0"/>
        </w:rPr>
        <w:t>Substituir por regra de suspensão/diligência e consulta posterior, ou permitir a apresentação direta dos documentos pelo licitante.</w:t>
      </w:r>
    </w:p>
    <w:p>
      <w:pPr>
        <w:spacing w:before="0" w:after="80" w:line="360" w:lineRule="auto"/>
        <w:ind w:left="425" w:hanging="425"/>
        <w:jc w:val="both"/>
      </w:pPr>
      <w:r>
        <w:rPr>
          <w:b/>
          <w:i w:val="0"/>
          <w:color w:val="3D8FA6"/>
        </w:rPr>
        <w:t xml:space="preserve">15. </w:t>
      </w:r>
      <w:r>
        <w:rPr>
          <w:b/>
          <w:i w:val="0"/>
        </w:rPr>
        <w:t xml:space="preserve">Critério de reajuste em serviços contínuos </w:t>
      </w:r>
      <w:r>
        <w:rPr>
          <w:b w:val="0"/>
          <w:i w:val="0"/>
          <w:color w:val="3D8FA6"/>
        </w:rPr>
        <w:t xml:space="preserve">(gravidade baixa, item 3.15): </w:t>
      </w:r>
      <w:r>
        <w:rPr>
          <w:b w:val="0"/>
          <w:i w:val="0"/>
        </w:rPr>
        <w:t>Excluir da minuta os parágrafos de dedicação exclusiva e os de escopo. Avaliar índice setorial para locação e telecom, justificando a escolha do IPCA se mantido.</w:t>
      </w:r>
    </w:p>
    <w:p>
      <w:pPr>
        <w:spacing w:before="0" w:after="80" w:line="360" w:lineRule="auto"/>
        <w:ind w:left="425" w:hanging="425"/>
        <w:jc w:val="both"/>
      </w:pPr>
      <w:r>
        <w:rPr>
          <w:b/>
          <w:i w:val="0"/>
          <w:color w:val="3D8FA6"/>
        </w:rPr>
        <w:t xml:space="preserve">16. </w:t>
      </w:r>
      <w:r>
        <w:rPr>
          <w:b/>
          <w:i w:val="0"/>
        </w:rPr>
        <w:t xml:space="preserve">Qualificação econômico-financeira </w:t>
      </w:r>
      <w:r>
        <w:rPr>
          <w:b w:val="0"/>
          <w:i w:val="0"/>
          <w:color w:val="3D8FA6"/>
        </w:rPr>
        <w:t xml:space="preserve">(gravidade baixa, item 3.16): </w:t>
      </w:r>
      <w:r>
        <w:rPr>
          <w:b w:val="0"/>
          <w:i w:val="0"/>
        </w:rPr>
        <w:t>Juntar ao processo a justificativa do ILG igual ou maior que 1 e do PL de 10%. Uniformizar edital e TR quanto à declaração do contador. Revisar a regra do consórcio quanto a ME/EPP.</w:t>
      </w:r>
    </w:p>
    <w:p>
      <w:pPr>
        <w:spacing w:before="0" w:after="80" w:line="360" w:lineRule="auto"/>
        <w:ind w:left="425" w:hanging="425"/>
        <w:jc w:val="both"/>
      </w:pPr>
      <w:r>
        <w:rPr>
          <w:b/>
          <w:i w:val="0"/>
          <w:color w:val="3D8FA6"/>
        </w:rPr>
        <w:t xml:space="preserve">17. </w:t>
      </w:r>
      <w:r>
        <w:rPr>
          <w:b/>
          <w:i w:val="0"/>
        </w:rPr>
        <w:t xml:space="preserve">Tratamento diferenciado a ME e EPP </w:t>
      </w:r>
      <w:r>
        <w:rPr>
          <w:b w:val="0"/>
          <w:i w:val="0"/>
          <w:color w:val="3D8FA6"/>
        </w:rPr>
        <w:t xml:space="preserve">(gravidade baixa, item 3.17): </w:t>
      </w:r>
      <w:r>
        <w:rPr>
          <w:b w:val="0"/>
          <w:i w:val="0"/>
        </w:rPr>
        <w:t>Explicitar no edital se o § 1º do art. 4º incide (e por quê) ou excluir a observação genérica. Atualizar o modelo do Anexo XII (referência a 2023).</w:t>
      </w:r>
    </w:p>
    <w:p>
      <w:pPr>
        <w:spacing w:before="0" w:after="80" w:line="360" w:lineRule="auto"/>
        <w:ind w:left="425" w:hanging="425"/>
        <w:jc w:val="both"/>
      </w:pPr>
      <w:r>
        <w:rPr>
          <w:b/>
          <w:i w:val="0"/>
          <w:color w:val="3D8FA6"/>
        </w:rPr>
        <w:t xml:space="preserve">18. </w:t>
      </w:r>
      <w:r>
        <w:rPr>
          <w:b/>
          <w:i w:val="0"/>
        </w:rPr>
        <w:t xml:space="preserve">Impugnação e esclarecimentos </w:t>
      </w:r>
      <w:r>
        <w:rPr>
          <w:b w:val="0"/>
          <w:i w:val="0"/>
          <w:color w:val="3D8FA6"/>
        </w:rPr>
        <w:t xml:space="preserve">(gravidade baixa, item 3.18): </w:t>
      </w:r>
      <w:r>
        <w:rPr>
          <w:b w:val="0"/>
          <w:i w:val="0"/>
        </w:rPr>
        <w:t>Incluir o limite do último dia útil anterior e a divulgação da resposta no sistema/PNCP. Indicar canal institucional (sistema Compras.gov) para protocolo.</w:t>
      </w:r>
    </w:p>
    <w:p>
      <w:pPr>
        <w:spacing w:before="0" w:after="80" w:line="360" w:lineRule="auto"/>
        <w:ind w:left="425" w:hanging="425"/>
        <w:jc w:val="both"/>
      </w:pPr>
      <w:r>
        <w:rPr>
          <w:b/>
          <w:i w:val="0"/>
          <w:color w:val="3D8FA6"/>
        </w:rPr>
        <w:t xml:space="preserve">19. </w:t>
      </w:r>
      <w:r>
        <w:rPr>
          <w:b/>
          <w:i w:val="0"/>
        </w:rPr>
        <w:t xml:space="preserve">Vigência e prorrogação de serviços contínuos </w:t>
      </w:r>
      <w:r>
        <w:rPr>
          <w:b w:val="0"/>
          <w:i w:val="0"/>
          <w:color w:val="3D8FA6"/>
        </w:rPr>
        <w:t xml:space="preserve">(gravidade baixa, item 3.19): </w:t>
      </w:r>
      <w:r>
        <w:rPr>
          <w:b w:val="0"/>
          <w:i w:val="0"/>
        </w:rPr>
        <w:t>Prever expressamente a condição de vantajosidade e uniformizar o marco inicial (assinatura ou ordem de início). Justificar no ETP o caráter contínuo de cada item.</w:t>
      </w:r>
    </w:p>
    <w:p>
      <w:pPr>
        <w:spacing w:before="0" w:after="80" w:line="360" w:lineRule="auto"/>
        <w:ind w:left="425" w:hanging="425"/>
        <w:jc w:val="both"/>
      </w:pPr>
      <w:r>
        <w:rPr>
          <w:b/>
          <w:i w:val="0"/>
          <w:color w:val="3D8FA6"/>
        </w:rPr>
        <w:t xml:space="preserve">20. </w:t>
      </w:r>
      <w:r>
        <w:rPr>
          <w:b/>
          <w:i w:val="0"/>
        </w:rPr>
        <w:t xml:space="preserve">Registro de preços: quem pode aderir à ata </w:t>
      </w:r>
      <w:r>
        <w:rPr>
          <w:b w:val="0"/>
          <w:i w:val="0"/>
          <w:color w:val="3D8FA6"/>
        </w:rPr>
        <w:t xml:space="preserve">(gravidade baixa, item 3.20): </w:t>
      </w:r>
      <w:r>
        <w:rPr>
          <w:b w:val="0"/>
          <w:i w:val="0"/>
        </w:rPr>
        <w:t>Harmonizar o item 16.7 com o 4.1.3 (adesão apenas por órgãos municipais, sempre justificada). Avaliar a conveniência de manter adesão para esse objeto.</w:t>
      </w:r>
    </w:p>
    <w:p>
      <w:pPr>
        <w:spacing w:before="0" w:after="80" w:line="360" w:lineRule="auto"/>
        <w:ind w:left="425" w:hanging="425"/>
        <w:jc w:val="both"/>
      </w:pPr>
      <w:r>
        <w:rPr>
          <w:b/>
          <w:i w:val="0"/>
          <w:color w:val="3D8FA6"/>
        </w:rPr>
        <w:t xml:space="preserve">21. </w:t>
      </w:r>
      <w:r>
        <w:rPr>
          <w:b/>
          <w:i w:val="0"/>
        </w:rPr>
        <w:t xml:space="preserve">Registro de preços: regras obrigatórias do edital </w:t>
      </w:r>
      <w:r>
        <w:rPr>
          <w:b w:val="0"/>
          <w:i w:val="0"/>
          <w:color w:val="3D8FA6"/>
        </w:rPr>
        <w:t xml:space="preserve">(gravidade baixa, item 3.21): </w:t>
      </w:r>
      <w:r>
        <w:rPr>
          <w:b w:val="0"/>
          <w:i w:val="0"/>
        </w:rPr>
        <w:t>Declarar expressamente que não se admite cotação inferior ao máximo (ou admiti-la) e reavaliar se o SRP é o instrumento adequado, dado que o objeto é pontual e a quantidade mínima é igual à máxima.</w:t>
      </w:r>
    </w:p>
    <w:p>
      <w:pPr>
        <w:spacing w:before="0" w:after="80" w:line="360" w:lineRule="auto"/>
        <w:ind w:left="425" w:hanging="425"/>
        <w:jc w:val="both"/>
      </w:pPr>
      <w:r>
        <w:rPr>
          <w:b/>
          <w:i w:val="0"/>
          <w:color w:val="3D8FA6"/>
        </w:rPr>
        <w:t xml:space="preserve">22. </w:t>
      </w:r>
      <w:r>
        <w:rPr>
          <w:b/>
          <w:i w:val="0"/>
        </w:rPr>
        <w:t xml:space="preserve">Publicação do contrato no PNCP às expensas da contratada </w:t>
      </w:r>
      <w:r>
        <w:rPr>
          <w:b w:val="0"/>
          <w:i w:val="0"/>
          <w:color w:val="3D8FA6"/>
        </w:rPr>
        <w:t xml:space="preserve">(gravidade baixa, item 3.22): </w:t>
      </w:r>
      <w:r>
        <w:rPr>
          <w:b w:val="0"/>
          <w:i w:val="0"/>
        </w:rPr>
        <w:t>Esclarecer que a divulgação no PNCP é feita pela Administração e eliminar a repasse de custo, ou indicar a norma local que o autoriza (por exemplo, taxa do jornal oficial).</w:t>
      </w:r>
    </w:p>
    <w:p>
      <w:pPr>
        <w:spacing w:before="0" w:after="80" w:line="360" w:lineRule="auto"/>
        <w:ind w:left="425" w:hanging="425"/>
        <w:jc w:val="both"/>
      </w:pPr>
      <w:r>
        <w:rPr>
          <w:b/>
          <w:i w:val="0"/>
          <w:color w:val="3D8FA6"/>
        </w:rPr>
        <w:t xml:space="preserve">23. </w:t>
      </w:r>
      <w:r>
        <w:rPr>
          <w:b/>
          <w:i w:val="0"/>
        </w:rPr>
        <w:t xml:space="preserve">Resíduos de modelo padrão sem pertinência com o objeto </w:t>
      </w:r>
      <w:r>
        <w:rPr>
          <w:b w:val="0"/>
          <w:i w:val="0"/>
          <w:color w:val="3D8FA6"/>
        </w:rPr>
        <w:t xml:space="preserve">(gravidade baixa, item 3.23): </w:t>
      </w:r>
      <w:r>
        <w:rPr>
          <w:b w:val="0"/>
          <w:i w:val="0"/>
        </w:rPr>
        <w:t>Revisar o modelo e excluir as cláusulas sem pertinência com o objeto antes dos próximos certames e da formalização dos contratos.</w:t>
      </w:r>
    </w:p>
    <w:p>
      <w:pPr>
        <w:spacing w:before="0" w:after="80" w:line="360" w:lineRule="auto"/>
        <w:ind w:left="425" w:hanging="425"/>
        <w:jc w:val="both"/>
      </w:pPr>
      <w:r>
        <w:rPr>
          <w:b/>
          <w:i w:val="0"/>
          <w:color w:val="3D8FA6"/>
        </w:rPr>
        <w:t xml:space="preserve">24. </w:t>
      </w:r>
      <w:r>
        <w:rPr>
          <w:b/>
          <w:i w:val="0"/>
        </w:rPr>
        <w:t xml:space="preserve">Exigência de via física original ou autenticada, firma reconhecida e cópia autenticada (trilha t-autenticacao) </w:t>
      </w:r>
      <w:r>
        <w:rPr>
          <w:b w:val="0"/>
          <w:i w:val="0"/>
          <w:color w:val="3D8FA6"/>
        </w:rPr>
        <w:t xml:space="preserve">(gravidade baixa, item 3.24): </w:t>
      </w:r>
      <w:r>
        <w:rPr>
          <w:b w:val="0"/>
          <w:i w:val="0"/>
        </w:rPr>
        <w:t>Admitir documentos digitais com verificação eletrônica de autenticidade, e exigir o original somente em caso de dúvida fundamentada. Corrigir a remissão do item 13.1.</w:t>
      </w:r>
    </w:p>
    <w:p>
      <w:pPr>
        <w:spacing w:before="120" w:after="120" w:line="360" w:lineRule="auto"/>
        <w:ind w:firstLine="709"/>
        <w:jc w:val="both"/>
      </w:pPr>
      <w:r>
        <w:rPr>
          <w:b w:val="0"/>
          <w:i w:val="0"/>
        </w:rPr>
        <w:t>Todos os aspectos identificados foram informados, inclusive os de baixa vulnerabilidade, para que o destinatário disponha de visão completa do processo. Trata-se de parecer técnico de natureza opinativa: as recomendações não o vinculam, e a decisão de promover os ajustes ou manter os documentos como estão compete exclusivamente a quem recebe este parecer, sob sua responsabilidade (STF, MS 24.631/DF; art. 28 do Decreto-Lei nº 4.657/1942). Este parecer não substitui o parecer jurídico de controle prévio de legalidade (art. 53 da Lei nº 14.133/2021).</w:t>
      </w:r>
    </w:p>
    <w:p>
      <w:pPr>
        <w:spacing w:before="0" w:after="360" w:line="360" w:lineRule="auto"/>
        <w:ind w:firstLine="709"/>
        <w:jc w:val="both"/>
      </w:pPr>
      <w:r>
        <w:rPr>
          <w:b w:val="0"/>
          <w:i w:val="0"/>
        </w:rPr>
        <w:t>É o parecer técnico, de caráter opinativo, salvo melhor juízo.</w:t>
      </w:r>
    </w:p>
    <w:p>
      <w:pPr>
        <w:spacing w:before="0" w:after="720" w:line="360" w:lineRule="auto"/>
        <w:ind w:firstLine="0"/>
        <w:jc w:val="right"/>
      </w:pPr>
      <w:r>
        <w:rPr>
          <w:b w:val="0"/>
          <w:i w:val="0"/>
        </w:rPr>
        <w:t>Maricá (RJ), 29 de outubro de 2026.</w:t>
      </w:r>
    </w:p>
    <w:p>
      <w:pPr>
        <w:spacing w:before="0" w:after="0" w:line="240" w:lineRule="auto"/>
        <w:ind w:firstLine="0"/>
        <w:jc w:val="center"/>
      </w:pPr>
      <w:r>
        <w:rPr>
          <w:b w:val="0"/>
          <w:i w:val="0"/>
          <w:color w:val="D9DEE2"/>
        </w:rPr>
        <w:t>__________________________________________</w:t>
      </w:r>
    </w:p>
    <w:p>
      <w:pPr>
        <w:spacing w:before="0" w:after="0" w:line="276" w:lineRule="auto"/>
        <w:ind w:firstLine="0"/>
        <w:jc w:val="center"/>
      </w:pPr>
      <w:r>
        <w:rPr>
          <w:b/>
          <w:i w:val="0"/>
          <w:sz w:val="22"/>
        </w:rPr>
        <w:t>Agente Licitacon</w:t>
      </w:r>
    </w:p>
    <w:p>
      <w:pPr>
        <w:spacing w:before="0" w:after="0" w:line="276" w:lineRule="auto"/>
        <w:ind w:firstLine="0"/>
        <w:jc w:val="center"/>
      </w:pPr>
      <w:r>
        <w:rPr>
          <w:b w:val="0"/>
          <w:i w:val="0"/>
          <w:color w:val="66757F"/>
          <w:sz w:val="19"/>
        </w:rPr>
        <w:t>Análise técnica automatizada em licitações e contratos</w:t>
      </w:r>
    </w:p>
    <w:p>
      <w:r>
        <w:br w:type="page"/>
      </w:r>
    </w:p>
    <w:p>
      <w:pPr>
        <w:pStyle w:val="Heading1"/>
        <w:keepNext/>
        <w:spacing w:before="360" w:after="160" w:line="360" w:lineRule="auto"/>
        <w:ind w:firstLine="0"/>
        <w:jc w:val="center"/>
      </w:pPr>
      <w:r>
        <w:rPr>
          <w:rFonts w:ascii="Arial" w:hAnsi="Arial"/>
          <w:b/>
          <w:i w:val="0"/>
          <w:color w:val="12324A"/>
          <w:sz w:val="24"/>
        </w:rPr>
        <w:t>REFERÊNCIAS</w:t>
      </w:r>
    </w:p>
    <w:p>
      <w:pPr>
        <w:spacing w:before="0" w:after="240" w:line="240" w:lineRule="auto"/>
        <w:ind w:firstLine="0"/>
        <w:jc w:val="left"/>
      </w:pPr>
      <w:r>
        <w:rPr>
          <w:b w:val="0"/>
          <w:i w:val="0"/>
          <w:sz w:val="22"/>
        </w:rPr>
        <w:t>BRASIL. Decreto-Lei nº 4.657, de 4 de setembro de 1942. Lei de Introdução às Normas do Direito Brasileiro. Redação dada pela Lei nº 13.655, de 25 de abril de 2018. Disponível em: https://www.planalto.gov.br/ccivil_03/decreto-lei/del4657compilado.htm. Acesso em: 29 out. 2026.</w:t>
      </w:r>
    </w:p>
    <w:p>
      <w:pPr>
        <w:spacing w:before="0" w:after="240" w:line="240" w:lineRule="auto"/>
        <w:ind w:firstLine="0"/>
        <w:jc w:val="left"/>
      </w:pPr>
      <w:r>
        <w:rPr>
          <w:b w:val="0"/>
          <w:i w:val="0"/>
          <w:sz w:val="22"/>
        </w:rPr>
        <w:t>BRASIL. Lei nº 14.133, de 1º de abril de 2021. Lei de Licitações e Contratos Administrativos. Diário Oficial da União: seção 1, Brasília, DF, 1 abr. 2021. Disponível em: https://www.planalto.gov.br/ccivil_03/_ato2019-2022/2021/lei/l14133.htm. Acesso em: 29 out. 2026.</w:t>
      </w:r>
    </w:p>
    <w:p>
      <w:pPr>
        <w:spacing w:before="0" w:after="240" w:line="240" w:lineRule="auto"/>
        <w:ind w:firstLine="0"/>
        <w:jc w:val="left"/>
      </w:pPr>
      <w:r>
        <w:rPr>
          <w:b w:val="0"/>
          <w:i w:val="0"/>
          <w:sz w:val="22"/>
        </w:rPr>
        <w:t>BRASIL. Lei nº 9.784, de 29 de janeiro de 1999. Regula o processo administrativo no âmbito da Administração Pública Federal. Disponível em: https://www.planalto.gov.br/ccivil_03/leis/l9784.htm. Acesso em: 29 out. 2026.</w:t>
      </w:r>
    </w:p>
    <w:p>
      <w:pPr>
        <w:spacing w:before="0" w:after="240" w:line="240" w:lineRule="auto"/>
        <w:ind w:firstLine="0"/>
        <w:jc w:val="left"/>
      </w:pPr>
      <w:r>
        <w:rPr>
          <w:b w:val="0"/>
          <w:i w:val="0"/>
          <w:sz w:val="22"/>
        </w:rPr>
        <w:t>BRASIL. Supremo Tribunal Federal (Plenário). Mandado de Segurança nº 24.631/DF. Relator: Min. Joaquim Barbosa. Julgado em 9 ago. 2007. Diário da Justiça, Brasília, DF, 1 fev. 2008.</w:t>
      </w:r>
    </w:p>
    <w:p>
      <w:pPr>
        <w:spacing w:before="0" w:after="240" w:line="240" w:lineRule="auto"/>
        <w:ind w:firstLine="0"/>
        <w:jc w:val="left"/>
      </w:pPr>
      <w:r>
        <w:rPr>
          <w:b w:val="0"/>
          <w:i w:val="0"/>
          <w:sz w:val="22"/>
        </w:rPr>
        <w:t>BRASIL. Tribunal de Contas da União (Plenário). Acórdão 1742/2026-Plenário. Relator: Ministro(a) Benjamin Zymler. Julgado em 1 jul. 2026. TCU – Jurisprudência Selecionada (BJ nº 592 de 20/07/2026). Disponível em: https://pesquisa.apps.tcu.gov.br/documento/jurisprudencia-selecionada/*/KEY%253AJURISPRUDENCIA-SELECIONADA-205696/score%2520desc/0. Acesso em: 29 out. 2026.</w:t>
      </w:r>
    </w:p>
    <w:p>
      <w:pPr>
        <w:spacing w:before="0" w:after="240" w:line="240" w:lineRule="auto"/>
        <w:ind w:firstLine="0"/>
        <w:jc w:val="left"/>
      </w:pPr>
      <w:r>
        <w:rPr>
          <w:b w:val="0"/>
          <w:i w:val="0"/>
          <w:sz w:val="22"/>
        </w:rPr>
        <w:t>BRASIL. Tribunal de Contas da União (Plenário). Acórdão 2921/2026-Plenário – TC 021.316/2026-0. Relator: Ministro(a) Jhonatan de Jesus. Julgado em 21 out. 2026. TCU – Pesquisa de acórdãos. Disponível em: https://pesquisa.apps.tcu.gov.br/documento/acordao-completo/*/KEY%253AACORDAO-COMPLETO-2783491/score%2520desc/0. Acesso em: 29 out. 2026.</w:t>
      </w:r>
    </w:p>
    <w:p>
      <w:pPr>
        <w:spacing w:before="0" w:after="240" w:line="240" w:lineRule="auto"/>
        <w:ind w:firstLine="0"/>
        <w:jc w:val="left"/>
      </w:pPr>
      <w:r>
        <w:rPr>
          <w:b w:val="0"/>
          <w:i w:val="0"/>
          <w:sz w:val="22"/>
        </w:rPr>
        <w:t>BRASIL. Tribunal de Contas da União (Plenário). Súmula TCU 247. Relator: Ministro(a) Marcos Vinicios Vilaça. Julgado em 1 jan. 2004. TCU – Súmulas. Disponível em: https://pesquisa.apps.tcu.gov.br/documento/sumula/*/KEY%253ASUMULA-EJURIS-34240/score%2520desc/0. Acesso em: 29 out. 2026.</w:t>
      </w:r>
    </w:p>
    <w:p>
      <w:pPr>
        <w:spacing w:before="0" w:after="240" w:line="240" w:lineRule="auto"/>
        <w:ind w:firstLine="0"/>
        <w:jc w:val="left"/>
      </w:pPr>
      <w:r>
        <w:rPr>
          <w:b w:val="0"/>
          <w:i w:val="0"/>
          <w:sz w:val="22"/>
        </w:rPr>
        <w:t>BRASIL. Tribunal de Contas da União (Plenário). Súmula TCU 289. Relator: Ministro(a) José Mucio Monteiro. Julgado em 1 jan. 2016. TCU – Súmulas. Disponível em: https://pesquisa.apps.tcu.gov.br/documento/sumula/*/KEY%253ASUMULA-EJURIS-1689/score%2520desc/0. Acesso em: 29 out. 2026.</w:t>
      </w:r>
    </w:p>
    <w:p>
      <w:pPr>
        <w:spacing w:before="0" w:after="240" w:line="240" w:lineRule="auto"/>
        <w:ind w:firstLine="0"/>
        <w:jc w:val="left"/>
      </w:pPr>
      <w:r>
        <w:rPr>
          <w:b w:val="0"/>
          <w:i w:val="0"/>
          <w:sz w:val="22"/>
        </w:rPr>
        <w:t>PREFEITURA MUNICIPAL DE MARICÁ – SECRETARIA DE CULTURA E DAS UTOPIAS. Edital e minutas (ata e contrato) — Pregão Eletrônico nº 25/2025-SRP (Processo nº 10987/2025; PNCP 29131075000193-1-000382/2025). Disponível em: https://pncp.gov.br/app/editais/29131075000193/2025/382. Acesso em: 29 out. 2026.</w:t>
      </w:r>
    </w:p>
    <w:p>
      <w:r>
        <w:br w:type="page"/>
      </w:r>
    </w:p>
    <w:p>
      <w:pPr>
        <w:pStyle w:val="Heading1"/>
        <w:keepNext/>
        <w:spacing w:before="360" w:after="160" w:line="360" w:lineRule="auto"/>
        <w:ind w:firstLine="0"/>
        <w:jc w:val="center"/>
      </w:pPr>
      <w:r>
        <w:rPr>
          <w:rFonts w:ascii="Arial" w:hAnsi="Arial"/>
          <w:b/>
          <w:i w:val="0"/>
          <w:color w:val="12324A"/>
          <w:sz w:val="24"/>
        </w:rPr>
        <w:t>APÊNDICE A – LISTA DE VERIFICAÇÃO</w:t>
      </w:r>
    </w:p>
    <w:p>
      <w:pPr>
        <w:spacing w:before="0" w:after="120" w:line="360" w:lineRule="auto"/>
        <w:ind w:firstLine="0"/>
        <w:jc w:val="both"/>
      </w:pPr>
      <w:r>
        <w:rPr>
          <w:b w:val="0"/>
          <w:i/>
          <w:color w:val="66757F"/>
          <w:sz w:val="20"/>
        </w:rPr>
        <w:t>Todos os itens do roteiro aplicados a este processo.</w:t>
      </w:r>
    </w:p>
    <w:tbl>
      <w:tblPr>
        <w:tblW w:type="auto" w:w="0"/>
        <w:jc w:val="center"/>
        <w:tblLook w:firstColumn="1" w:firstRow="1" w:lastColumn="0" w:lastRow="0" w:noHBand="0" w:noVBand="1" w:val="04A0"/>
      </w:tblPr>
      <w:tblGrid>
        <w:gridCol w:w="3515"/>
        <w:gridCol w:w="1701"/>
        <w:gridCol w:w="1587"/>
        <w:gridCol w:w="2268"/>
      </w:tblGrid>
      <w:tr>
        <w:tc>
          <w:tcPr>
            <w:tcW w:type="dxa" w:w="3515"/>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ITEM</w:t>
            </w:r>
          </w:p>
        </w:tc>
        <w:tc>
          <w:tcPr>
            <w:tcW w:type="dxa" w:w="1701"/>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DOCUMENTO</w:t>
            </w:r>
          </w:p>
        </w:tc>
        <w:tc>
          <w:tcPr>
            <w:tcW w:type="dxa" w:w="1587"/>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RESULTADO</w:t>
            </w:r>
          </w:p>
        </w:tc>
        <w:tc>
          <w:tcPr>
            <w:tcW w:type="dxa" w:w="2268"/>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FUNDAMENTO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Prazo mínimo para apresentação de propostas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55; art. 183; art. 183, § 1º, inciso 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julgamento por lote (grupo de itens)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82, § 1º; art. 82, § 2º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Conferência aritmética da planilha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18, inciso IV</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Índice de reajuste com data-base no orçamento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 7º; art. 92, § 3º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Critério de reajuste em serviços contínuos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 8º, inciso I; art. 25, § 8º, inciso II; art. 92, § 4º, inciso II; art. 135</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Qualificação técnica proporcional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67, § 1º; art. 67, § 2º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Qualificação econômico-financeira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69; art. 69, § 2º; art. 69, § 4º; art. 69, § 5º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Garantia de proposta e garantia contratual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58, § 1º; art. 98</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Tratamento diferenciado a ME e EPP</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4; art. 4,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Impugnação e esclarecimentos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164; art. 164, Parágrafo único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Minuta de contrato como anexo e cláusulas necessárias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18, inciso VI; art. 92</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Vigência e prorrogação de serviços contínuos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106; art. 107</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quem pode aderir à ata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86, § 3º; art. 86, § 3º, inciso II; art. 86, § 8º; art. 86, § 4º; art. 86, § 5º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quantidades e vigência da ata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82, inciso I; art. 84; art. 18, § 1º, inciso IV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regras obrigatórias do edital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82, inciso II; art. 82, inciso IV; art. 82, inciso VI; art. 82, inciso VII; art. 82, inciso VIII; art. 82, inciso IX</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Coerência interna do edital e dos anexos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art. 18, inciso IX</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Prova de conceito inserida na habilitação e com exigência de aplicativo já publicado nas lojas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9, inciso I; art. 67; art. 17</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Orçamento estimado sem pesquisa de preços visível e valores unitários a esclarecer</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23; art. 18, inciso IV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Quantitativo de 145.000 licenças e pagamento fixo mensal desvinculado da efetiva utilização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18, § 1º, inciso IV; art. 23</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Vedação de participação ampla demais de servidores do Município (item 8.11)</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9, inciso I; art. 14</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Inabilitação do licitante por indisponibilidade dos meios de consulta da Administração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12, inciso III; art. 64</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Publicação do contrato no PNCP às expensas da contratada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94</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Resíduos de modelo padrão sem pertinência com o objeto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Exigência de via física original ou autenticada, firma reconhecida e cópia autenticada (trilha t-autenticacao)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12, inciso IV; art. 12, inciso 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Declaração de custos trabalhistas integrais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63,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Conteúdo mínimo do edital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Recursos administrativos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165, inciso I; art. 165,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Sanções e multas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156; art. 156, § 3º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Divulgação de todos os anexos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 3º; art. 54</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Parecer jurídico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53</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Enquadramento como dedicação exclusiva de mão de obra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 inciso XVI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Convenção coletiva da categoria correta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135, inciso II; art. 135, § 5º; art. 23; art. 63,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Itens de convenção que não vinculam a Administração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135,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Garantias do cumprimento das obrigações trabalhistas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121, § 2º; art. 121, § 3º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Participação em consórcio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15</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Orçamento sigiloso motivado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24; art. 18, inciso XI</w:t>
            </w:r>
          </w:p>
        </w:tc>
      </w:tr>
    </w:tbl>
    <w:p>
      <w:pPr>
        <w:spacing w:before="0" w:after="120" w:line="360" w:lineRule="auto"/>
        <w:ind w:firstLine="0"/>
        <w:jc w:val="both"/>
      </w:pPr>
    </w:p>
    <w:p>
      <w:pPr>
        <w:pStyle w:val="Heading1"/>
        <w:keepNext/>
        <w:spacing w:before="360" w:after="160" w:line="360" w:lineRule="auto"/>
        <w:ind w:firstLine="0"/>
        <w:jc w:val="center"/>
      </w:pPr>
      <w:r>
        <w:rPr>
          <w:rFonts w:ascii="Arial" w:hAnsi="Arial"/>
          <w:b/>
          <w:i w:val="0"/>
          <w:color w:val="12324A"/>
          <w:sz w:val="24"/>
        </w:rPr>
        <w:t>APÊNDICE B – METODOLOGIA E LIMITES</w:t>
      </w:r>
    </w:p>
    <w:p>
      <w:pPr>
        <w:spacing w:before="0" w:after="120" w:line="360" w:lineRule="auto"/>
        <w:ind w:left="425" w:hanging="425"/>
        <w:jc w:val="both"/>
      </w:pPr>
      <w:r>
        <w:rPr>
          <w:b/>
          <w:i w:val="0"/>
          <w:color w:val="1F7A8C"/>
        </w:rPr>
        <w:t xml:space="preserve">a) </w:t>
      </w:r>
      <w:r>
        <w:rPr>
          <w:b w:val="0"/>
          <w:i w:val="0"/>
        </w:rPr>
        <w:t>Cada item do roteiro de verificação foi conferido nos documentos enviados; o trecho transcrito indica onde a constatação foi feita.</w:t>
      </w:r>
    </w:p>
    <w:p>
      <w:pPr>
        <w:spacing w:before="0" w:after="120" w:line="360" w:lineRule="auto"/>
        <w:ind w:left="425" w:hanging="425"/>
        <w:jc w:val="both"/>
      </w:pPr>
      <w:r>
        <w:rPr>
          <w:b/>
          <w:i w:val="0"/>
          <w:color w:val="1F7A8C"/>
        </w:rPr>
        <w:t xml:space="preserve">b) </w:t>
      </w:r>
      <w:r>
        <w:rPr>
          <w:b w:val="0"/>
          <w:i w:val="0"/>
        </w:rPr>
        <w:t>Os dispositivos legais reproduzem o texto oficial vigente constante da base normativa do Licitacon na data da análise, conferido automaticamente quanto à existência, revogação e veto.</w:t>
      </w:r>
    </w:p>
    <w:p>
      <w:pPr>
        <w:spacing w:before="0" w:after="120" w:line="360" w:lineRule="auto"/>
        <w:ind w:left="425" w:hanging="425"/>
        <w:jc w:val="both"/>
      </w:pPr>
      <w:r>
        <w:rPr>
          <w:b/>
          <w:i w:val="0"/>
          <w:color w:val="1F7A8C"/>
        </w:rPr>
        <w:t xml:space="preserve">c) </w:t>
      </w:r>
      <w:r>
        <w:rPr>
          <w:b w:val="0"/>
          <w:i w:val="0"/>
        </w:rPr>
        <w:t>Os precedentes provêm exclusivamente da Biblioteca Licitacon, com indicação da fonte oficial; a ausência de precedente listado não significa ausência de jurisprudência.</w:t>
      </w:r>
    </w:p>
    <w:p>
      <w:pPr>
        <w:spacing w:before="0" w:after="120" w:line="360" w:lineRule="auto"/>
        <w:ind w:left="425" w:hanging="425"/>
        <w:jc w:val="both"/>
      </w:pPr>
      <w:r>
        <w:rPr>
          <w:b/>
          <w:i w:val="0"/>
          <w:color w:val="1F7A8C"/>
        </w:rPr>
        <w:t xml:space="preserve">d) </w:t>
      </w:r>
      <w:r>
        <w:rPr>
          <w:b w:val="0"/>
          <w:i w:val="0"/>
        </w:rPr>
        <w:t>Cálculos de planilha são conferidos por programa a partir de arquivo em Excel; planilhas em PDF não permitem conferir fórmulas.</w:t>
      </w:r>
    </w:p>
    <w:p>
      <w:pPr>
        <w:spacing w:before="0" w:after="120" w:line="360" w:lineRule="auto"/>
        <w:ind w:left="425" w:hanging="425"/>
        <w:jc w:val="both"/>
      </w:pPr>
      <w:r>
        <w:rPr>
          <w:b/>
          <w:i w:val="0"/>
          <w:color w:val="1F7A8C"/>
        </w:rPr>
        <w:t xml:space="preserve">e) </w:t>
      </w:r>
      <w:r>
        <w:rPr>
          <w:b w:val="0"/>
          <w:i w:val="0"/>
        </w:rPr>
        <w:t>Normas estaduais e municipais, regulamentos internos e orientações locais somente são considerados quando enviados com os documentos.</w:t>
      </w:r>
    </w:p>
    <w:p>
      <w:pPr>
        <w:spacing w:before="0" w:after="120" w:line="360" w:lineRule="auto"/>
        <w:ind w:left="425" w:hanging="425"/>
        <w:jc w:val="both"/>
      </w:pPr>
      <w:r>
        <w:rPr>
          <w:b/>
          <w:i w:val="0"/>
          <w:color w:val="1F7A8C"/>
        </w:rPr>
        <w:t xml:space="preserve">f) </w:t>
      </w:r>
      <w:r>
        <w:rPr>
          <w:b w:val="0"/>
          <w:i w:val="0"/>
        </w:rPr>
        <w:t>O parecer é opinativo: aponta todos os aspectos identificados, inclusive os de baixa vulnerabilidade, e a decisão sobre cada recomendação cabe ao destinatário.</w:t>
      </w:r>
    </w:p>
    <w:p>
      <w:pPr>
        <w:spacing w:before="0" w:after="120" w:line="360" w:lineRule="auto"/>
        <w:ind w:left="425" w:hanging="425"/>
        <w:jc w:val="both"/>
      </w:pPr>
      <w:r>
        <w:rPr>
          <w:b/>
          <w:i w:val="0"/>
          <w:color w:val="1F7A8C"/>
        </w:rPr>
        <w:t xml:space="preserve">g) </w:t>
      </w:r>
      <w:r>
        <w:rPr>
          <w:b w:val="0"/>
          <w:i w:val="0"/>
        </w:rPr>
        <w:t>Trilhas automáticas, inspiradas nas tipologias do sistema ALICE (CGU/TCU), procuram no texto padrões associados a restrição de competitividade e direcionamento; cada indício é confirmado ou descartado pela análise no contexto do documento.</w:t>
      </w:r>
    </w:p>
    <w:p>
      <w:pPr>
        <w:spacing w:before="0" w:after="120" w:line="360" w:lineRule="auto"/>
        <w:ind w:left="425" w:hanging="425"/>
        <w:jc w:val="both"/>
      </w:pPr>
      <w:r>
        <w:rPr>
          <w:b/>
          <w:i w:val="0"/>
          <w:color w:val="1F7A8C"/>
        </w:rPr>
        <w:t xml:space="preserve">h) </w:t>
      </w:r>
      <w:r>
        <w:rPr>
          <w:b w:val="0"/>
          <w:i w:val="0"/>
        </w:rPr>
        <w:t>Classificação de gravidade: é alta toda irregularidade que possa comprometer a competitividade, direcionar o certame ou indicar sobrepreço ou risco de superfaturamento; média, falhas formais ou de instrução com risco moderado; baixa, imprecisões e boas práticas.</w:t>
      </w:r>
    </w:p>
    <w:p>
      <w:pPr>
        <w:spacing w:before="0" w:after="120" w:line="360" w:lineRule="auto"/>
        <w:ind w:left="425" w:hanging="425"/>
        <w:jc w:val="both"/>
      </w:pPr>
      <w:r>
        <w:rPr>
          <w:b/>
          <w:i w:val="0"/>
          <w:color w:val="1F7A8C"/>
        </w:rPr>
        <w:t xml:space="preserve">i) </w:t>
      </w:r>
      <w:r>
        <w:rPr>
          <w:b w:val="0"/>
          <w:i w:val="0"/>
        </w:rPr>
        <w:t>Apontamentos adicionais são questões relevantes encontradas no documento que não constam do roteiro padrão; seus fundamentos legais também são conferidos na base oficial.</w:t>
      </w:r>
    </w:p>
    <w:p>
      <w:pPr>
        <w:spacing w:before="0" w:after="120" w:line="360" w:lineRule="auto"/>
        <w:ind w:left="425" w:hanging="425"/>
        <w:jc w:val="both"/>
      </w:pPr>
      <w:r>
        <w:rPr>
          <w:b/>
          <w:i w:val="0"/>
          <w:color w:val="1F7A8C"/>
        </w:rPr>
        <w:t xml:space="preserve">j) </w:t>
      </w:r>
      <w:r>
        <w:rPr>
          <w:b w:val="0"/>
          <w:i w:val="0"/>
        </w:rPr>
        <w:t>O código de verificação CE1E168105 identifica o conteúdo desta análise; qualquer alteração no resultado gera código diferente.</w:t>
      </w:r>
    </w:p>
    <w:sectPr w:rsidR="00FC693F" w:rsidRPr="0006063C" w:rsidSect="00034616">
      <w:headerReference w:type="default" r:id="rId9"/>
      <w:footerReference w:type="default" r:id="rId10"/>
      <w:pgSz w:w="11906" w:h="16838"/>
      <w:pgMar w:top="1701" w:right="1134" w:bottom="1134" w:left="1701" w:header="85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b w:val="0"/>
        <w:i w:val="0"/>
        <w:color w:val="66757F"/>
        <w:sz w:val="14"/>
      </w:rPr>
      <w:t>Parecer técnico opinativo · a decisão final cabe exclusivamente ao destinatário · não substitui o parecer jurídico do art. 53 da Lei 14.133/2021 · código CE1E168105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535"/>
      <w:gridCol w:w="4535"/>
    </w:tblGrid>
    <w:tr>
      <w:tc>
        <w:tcPr>
          <w:tcW w:type="dxa" w:w="6803"/>
          <w:tcBorders>
            <w:top w:val="nil"/>
            <w:left w:val="nil"/>
            <w:bottom w:val="single" w:sz="6" w:color="D9DEE2" w:space="0"/>
            <w:right w:val="nil"/>
          </w:tcBorders>
        </w:tcPr>
        <w:p>
          <w:pPr>
            <w:spacing w:before="0" w:after="0" w:line="240" w:lineRule="auto"/>
            <w:ind w:firstLine="0"/>
            <w:jc w:val="left"/>
          </w:pPr>
          <w:r>
            <w:rPr>
              <w:b/>
              <w:i w:val="0"/>
              <w:color w:val="1F7A8C"/>
              <w:sz w:val="16"/>
            </w:rPr>
            <w:t>LICITACON</w:t>
          </w:r>
          <w:r>
            <w:rPr>
              <w:b w:val="0"/>
              <w:i w:val="0"/>
              <w:color w:val="66757F"/>
              <w:sz w:val="16"/>
            </w:rPr>
            <w:t xml:space="preserve">  ·  Parecer Técnico nº CE1E/2026</w:t>
          </w:r>
        </w:p>
      </w:tc>
      <w:tc>
        <w:tcPr>
          <w:tcW w:type="dxa" w:w="2268"/>
          <w:tcBorders>
            <w:top w:val="nil"/>
            <w:left w:val="nil"/>
            <w:bottom w:val="single" w:sz="6" w:color="D9DEE2" w:space="0"/>
            <w:right w:val="nil"/>
          </w:tcBorders>
        </w:tcPr>
        <w:p>
          <w:pPr>
            <w:spacing w:before="0" w:after="0" w:line="240" w:lineRule="auto"/>
            <w:ind w:firstLine="0"/>
            <w:jc w:val="right"/>
          </w:pPr>
          <w:r>
            <w:rPr>
              <w:color w:val="12324A"/>
              <w:sz w:val="20"/>
            </w:rPr>
            <w:fldChar w:fldCharType="begin"/>
            <w:instrText xml:space="preserve">PAGE</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1E2A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2324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232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pesquisa.apps.tcu.gov.br/documento/acordao-completo/*/KEY%253AACORDAO-COMPLETO-2783491/score%2520desc/0" TargetMode="External"/><Relationship Id="rId13" Type="http://schemas.openxmlformats.org/officeDocument/2006/relationships/hyperlink" Target="https://pesquisa.apps.tcu.gov.br/documento/jurisprudencia-selecionada/*/KEY%253AJURISPRUDENCIA-SELECIONADA-205696/score%2520desc/0" TargetMode="External"/><Relationship Id="rId14" Type="http://schemas.openxmlformats.org/officeDocument/2006/relationships/hyperlink" Target="https://pesquisa.apps.tcu.gov.br/documento/sumula/*/KEY%253ASUMULA-EJURIS-34240/score%2520desc/0" TargetMode="External"/><Relationship Id="rId15" Type="http://schemas.openxmlformats.org/officeDocument/2006/relationships/hyperlink" Target="https://pesquisa.apps.tcu.gov.br/documento/sumula/*/KEY%253ASUMULA-EJURIS-1689/score%2520des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