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340" w:type="dxa"/>
              <w:left w:w="340" w:type="dxa"/>
              <w:bottom w:w="340" w:type="dxa"/>
              <w:right w:w="34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9FD3DC"/>
                <w:sz w:val="22"/>
              </w:rPr>
              <w:t>LICITACON</w:t>
            </w:r>
            <w:r>
              <w:rPr>
                <w:b w:val="0"/>
                <w:i w:val="0"/>
                <w:color w:val="C9D6DE"/>
                <w:sz w:val="16"/>
              </w:rPr>
              <w:t xml:space="preserve">   ANÁLISE TÉCNICA EM LICITAÇÕES E CONTRATOS</w:t>
            </w:r>
          </w:p>
          <w:p>
            <w:pPr>
              <w:spacing w:before="80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52"/>
              </w:rPr>
              <w:t>PARECER TÉCNICO</w:t>
            </w:r>
          </w:p>
          <w:p>
            <w:pPr>
              <w:spacing w:before="40" w:after="600" w:line="240" w:lineRule="auto"/>
              <w:ind w:firstLine="0"/>
              <w:jc w:val="left"/>
            </w:pPr>
            <w:r>
              <w:rPr>
                <w:b w:val="0"/>
                <w:i w:val="0"/>
                <w:color w:val="9FD3DC"/>
                <w:sz w:val="26"/>
              </w:rPr>
              <w:t>nº 87CA/2026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</w:tcBorders>
            <w:shd w:val="clear" w:color="auto" w:fill="1F7A8C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21"/>
              </w:rPr>
              <w:t>Conformidade do estudo técnico preliminar com a Lei 14.133/2021</w:t>
            </w:r>
          </w:p>
        </w:tc>
      </w:tr>
    </w:tbl>
    <w:p>
      <w:pPr>
        <w:spacing w:before="720" w:after="120" w:line="276" w:lineRule="auto"/>
        <w:ind w:firstLine="0"/>
        <w:jc w:val="left"/>
      </w:pPr>
      <w:r>
        <w:rPr>
          <w:b/>
          <w:i w:val="0"/>
          <w:color w:val="1F7A8C"/>
          <w:sz w:val="16"/>
        </w:rPr>
        <w:t>OBJETO</w:t>
      </w:r>
    </w:p>
    <w:p>
      <w:pPr>
        <w:spacing w:before="0" w:after="360" w:line="288" w:lineRule="auto"/>
        <w:ind w:firstLine="0"/>
        <w:jc w:val="left"/>
      </w:pPr>
      <w:r>
        <w:rPr>
          <w:b/>
          <w:i w:val="0"/>
          <w:color w:val="12324A"/>
          <w:sz w:val="30"/>
        </w:rPr>
        <w:t>Não identificado: o texto do ETP não foi disponibilizado para análise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1"/>
        <w:gridCol w:w="7200"/>
      </w:tblGrid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INTERESSADO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Não identificado no texto enviado (CNPJ 29131075000193, conforme número de controle PNCP)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PROCESSO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PNCP 29131075000193-1-000277/2026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MODALIDADE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Dispensa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BASE LEGAL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Lei 14.133/2021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DATA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29 de outubro de 2026</w:t>
            </w:r>
          </w:p>
        </w:tc>
      </w:tr>
    </w:tbl>
    <w:p>
      <w:pPr>
        <w:spacing w:before="520" w:after="0" w:line="240" w:lineRule="auto"/>
        <w:ind w:firstLine="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6" w:color="C9781E" w:space="0"/>
              <w:bottom w:val="nil"/>
              <w:right w:val="nil"/>
            </w:tcBorders>
            <w:shd w:val="clear" w:color="auto" w:fill="FBEEDD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5"/>
              </w:rPr>
              <w:t xml:space="preserve">SITUAÇÃO GERAL  </w:t>
            </w:r>
            <w:r>
              <w:rPr>
                <w:b/>
                <w:i w:val="0"/>
                <w:color w:val="C9781E"/>
                <w:sz w:val="21"/>
              </w:rPr>
              <w:t>Há ajustes recomendados, sem falha grave identificada.</w:t>
            </w:r>
          </w:p>
        </w:tc>
      </w:tr>
    </w:tbl>
    <w:p>
      <w:pPr>
        <w:spacing w:before="160" w:after="0" w:line="276" w:lineRule="auto"/>
        <w:ind w:firstLine="0"/>
        <w:jc w:val="left"/>
      </w:pPr>
      <w:r>
        <w:rPr>
          <w:b/>
          <w:i w:val="0"/>
          <w:color w:val="1F7A8C"/>
          <w:sz w:val="15"/>
        </w:rPr>
        <w:t xml:space="preserve">PARECER OPINATIVO  </w:t>
      </w:r>
      <w:r>
        <w:rPr>
          <w:b w:val="0"/>
          <w:i w:val="0"/>
          <w:color w:val="1E2A32"/>
          <w:sz w:val="18"/>
        </w:rPr>
        <w:t>As recomendações não vinculam o destinatário; a decisão final é sempre de quem recebe este parecer.</w:t>
      </w:r>
    </w:p>
    <w:p>
      <w:pPr>
        <w:spacing w:before="1200" w:after="0" w:line="276" w:lineRule="auto"/>
        <w:ind w:firstLine="0"/>
        <w:jc w:val="center"/>
      </w:pPr>
      <w:r>
        <w:rPr>
          <w:b/>
          <w:i w:val="0"/>
          <w:sz w:val="22"/>
        </w:rPr>
        <w:t>Maricá – RJ</w:t>
      </w:r>
    </w:p>
    <w:p>
      <w:pPr>
        <w:spacing w:before="0" w:after="0" w:line="276" w:lineRule="auto"/>
        <w:ind w:firstLine="0"/>
        <w:jc w:val="center"/>
      </w:pPr>
      <w:r>
        <w:rPr>
          <w:b/>
          <w:i w:val="0"/>
          <w:sz w:val="22"/>
        </w:rPr>
        <w:t>2026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SUMÁRIO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1 PAINEL EXECUTIVO</w:t>
      </w:r>
      <w:r>
        <w:rPr>
          <w:b/>
          <w:i w:val="0"/>
          <w:sz w:val="22"/>
        </w:rPr>
        <w:tab/>
        <w:t>3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2 RELATÓRIO</w:t>
      </w:r>
      <w:r>
        <w:rPr>
          <w:b/>
          <w:i w:val="0"/>
          <w:sz w:val="22"/>
        </w:rPr>
        <w:tab/>
        <w:t>4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3 FUNDAMENTAÇÃO</w:t>
      </w:r>
      <w:r>
        <w:rPr>
          <w:b/>
          <w:i w:val="0"/>
          <w:sz w:val="22"/>
        </w:rPr>
        <w:tab/>
        <w:t>5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 Documento recebido sem conteúdo textual</w:t>
      </w:r>
      <w:r>
        <w:rPr>
          <w:b w:val="0"/>
          <w:i w:val="0"/>
          <w:sz w:val="21"/>
        </w:rPr>
        <w:tab/>
        <w:t>5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4 RECOMENDAÇÕES DE MELHORIA</w:t>
      </w:r>
      <w:r>
        <w:rPr>
          <w:b/>
          <w:i w:val="0"/>
          <w:sz w:val="22"/>
        </w:rPr>
        <w:tab/>
        <w:t>6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5 CONCLUSÃO</w:t>
      </w:r>
      <w:r>
        <w:rPr>
          <w:b/>
          <w:i w:val="0"/>
          <w:sz w:val="22"/>
        </w:rPr>
        <w:tab/>
        <w:t>6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REFERÊNCIAS</w:t>
      </w:r>
      <w:r>
        <w:rPr>
          <w:b/>
          <w:i w:val="0"/>
          <w:sz w:val="22"/>
        </w:rPr>
        <w:tab/>
        <w:t>8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APÊNDICE A – LISTA DE VERIFICAÇÃO</w:t>
      </w:r>
      <w:r>
        <w:rPr>
          <w:b/>
          <w:i w:val="0"/>
          <w:sz w:val="22"/>
        </w:rPr>
        <w:tab/>
        <w:t>9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APÊNDICE B – METODOLOGIA E LIMITES</w:t>
      </w:r>
      <w:r>
        <w:rPr>
          <w:b/>
          <w:i w:val="0"/>
          <w:sz w:val="22"/>
        </w:rPr>
        <w:tab/>
        <w:t>9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1 PAINEL EXECUTIVO</w:t>
      </w:r>
    </w:p>
    <w:p>
      <w:pPr>
        <w:spacing w:before="0" w:after="160" w:line="360" w:lineRule="auto"/>
        <w:ind w:firstLine="0"/>
        <w:jc w:val="both"/>
      </w:pPr>
      <w:r>
        <w:rPr>
          <w:b w:val="0"/>
          <w:i/>
          <w:color w:val="66757F"/>
          <w:sz w:val="20"/>
        </w:rPr>
        <w:t>Visão geral do resultado. O detalhamento, com o texto legal e os precedentes, está na seção 3.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12"/>
        <w:gridCol w:w="340"/>
        <w:gridCol w:w="2012"/>
        <w:gridCol w:w="340"/>
        <w:gridCol w:w="2012"/>
        <w:gridCol w:w="340"/>
        <w:gridCol w:w="2012"/>
      </w:tblGrid>
      <w:tr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B23A48" w:space="0"/>
              <w:left w:val="nil"/>
              <w:bottom w:val="nil"/>
              <w:right w:val="nil"/>
            </w:tcBorders>
            <w:shd w:val="clear" w:color="auto" w:fill="F8E6E8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B23A48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ALTA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C9781E" w:space="0"/>
              <w:left w:val="nil"/>
              <w:bottom w:val="nil"/>
              <w:right w:val="nil"/>
            </w:tcBorders>
            <w:shd w:val="clear" w:color="auto" w:fill="FBEEDD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48"/>
              </w:rPr>
              <w:t>1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MÉDIA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3D8FA6" w:space="0"/>
              <w:left w:val="nil"/>
              <w:bottom w:val="nil"/>
              <w:right w:val="nil"/>
            </w:tcBorders>
            <w:shd w:val="clear" w:color="auto" w:fill="E3F1F5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BAIXA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2E8B57" w:space="0"/>
              <w:left w:val="nil"/>
              <w:bottom w:val="nil"/>
              <w:right w:val="nil"/>
            </w:tcBorders>
            <w:shd w:val="clear" w:color="auto" w:fill="E3F2EA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2E8B57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MELHORIAS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ind w:firstLine="0"/>
        <w:jc w:val="left"/>
      </w:pPr>
      <w:r>
        <w:rPr>
          <w:b/>
          <w:i w:val="0"/>
          <w:color w:val="66757F"/>
          <w:sz w:val="15"/>
        </w:rPr>
        <w:t xml:space="preserve">Índice de conformidade: </w:t>
      </w:r>
      <w:r>
        <w:rPr>
          <w:b w:val="0"/>
          <w:i w:val="0"/>
          <w:color w:val="66757F"/>
          <w:sz w:val="15"/>
        </w:rPr>
        <w:t>itens conformes mais metade dos parcialmente conformes, divididos pelos itens aplicáveis e verificáveis. Indicador de leitura rápida; não substitui o exame de cada apontamento.</w:t>
      </w:r>
    </w:p>
    <w:p>
      <w:pPr>
        <w:spacing w:before="0" w:after="120" w:line="240" w:lineRule="auto"/>
        <w:ind w:firstLine="0"/>
        <w:jc w:val="both"/>
      </w:pPr>
      <w:r>
        <w:rPr>
          <w:b/>
          <w:i w:val="0"/>
          <w:color w:val="1F7A8C"/>
          <w:sz w:val="18"/>
        </w:rPr>
        <w:t>PRINCIPAIS ACHADOS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4876"/>
        <w:gridCol w:w="1474"/>
        <w:gridCol w:w="2154"/>
      </w:tblGrid>
      <w:t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ACHADO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GRAVIDADE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DISPOSITIVO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Documento recebido sem conteúdo textual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Apontamento adicional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1º e outros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257"/>
      </w:tblGrid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PARECER TÉCNICO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nº 87CA/2026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INTERESSADO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Não identificado no texto enviado (CNPJ 29131075000193, conforme número de controle PNCP)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ASSUNTO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Análise de conformidade — Não identificado: o texto do ETP não foi disponibilizado para análise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REFERÊNCIA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PNCP 29131075000193-1-000277/2026</w:t>
            </w:r>
          </w:p>
        </w:tc>
      </w:tr>
    </w:tbl>
    <w:p>
      <w:pPr>
        <w:spacing w:before="0" w:after="200" w:line="240" w:lineRule="auto"/>
        <w:ind w:firstLine="0"/>
        <w:jc w:val="both"/>
      </w:pPr>
    </w:p>
    <w:p>
      <w:pPr>
        <w:spacing w:before="0" w:after="80" w:line="240" w:lineRule="auto"/>
        <w:ind w:firstLine="0" w:left="3402"/>
        <w:jc w:val="both"/>
      </w:pPr>
      <w:r>
        <w:rPr>
          <w:b/>
          <w:i w:val="0"/>
          <w:color w:val="12324A"/>
          <w:sz w:val="20"/>
        </w:rPr>
        <w:t xml:space="preserve">EMENTA: </w:t>
      </w:r>
      <w:r>
        <w:rPr>
          <w:b/>
          <w:i w:val="0"/>
          <w:sz w:val="20"/>
        </w:rPr>
        <w:t xml:space="preserve">ESTUDO TÉCNICO PRELIMINAR. DISPENSA. DOCUMENTO SEM TEXTO. ANÁLISE NÃO VERIFICÁVEL. ART. 18, § 1º, LEI 14.133/2021. HOMOLOGADO </w:t>
      </w:r>
      <w:r>
        <w:rPr>
          <w:b w:val="0"/>
          <w:i w:val="0"/>
          <w:sz w:val="20"/>
        </w:rPr>
        <w:t>O documento enviado como ETP (indicado com 3 páginas) chegou sem conteúdo textual. Por isso, nenhum dos 14 itens do roteiro pôde ser verificado. Recomenda-se reenviar o arquivo em formato legível, ou digitalizado com reconhecimento de texto, para nova análise.</w:t>
      </w:r>
    </w:p>
    <w:p>
      <w:pPr>
        <w:spacing w:before="0" w:after="120" w:line="240" w:lineRule="auto"/>
        <w:ind w:firstLine="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1F7A8C" w:space="0"/>
              <w:bottom w:val="nil"/>
              <w:right w:val="nil"/>
            </w:tcBorders>
            <w:shd w:val="clear" w:color="auto" w:fill="EEF4F6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80" w:line="264" w:lineRule="auto"/>
              <w:ind w:firstLine="0"/>
              <w:jc w:val="left"/>
            </w:pPr>
            <w:r>
              <w:rPr>
                <w:b/>
                <w:i w:val="0"/>
                <w:color w:val="1F7A8C"/>
                <w:sz w:val="18"/>
              </w:rPr>
              <w:t>NATUREZA OPINATIVA DESTE PARECER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Este parecer técnico tem natureza exclusivamente opinativa. Ele expõe a análise de conformidade dos documentos examinados, aponta todos os aspectos identificados — dos críticos aos de baixa vulnerabilidade — e recomenda providências, mas não vincula quem o recebe.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A decisão de adotar, total ou parcialmente, as recomendações, ou de manter o documento como está, é de competência e responsabilidade exclusivas do destinatário (o agente público, a autoridade competente ou o contratante), que deve ponderá-las com os demais elementos do processo.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Fundamento: o Supremo Tribunal Federal distingue o parecer facultativo, o obrigatório e o vinculante; no parecer facultativo e no obrigatório não vinculante, a autoridade não fica adstrita à opinião emitida e responde pela decisão que tomar (STF, MS 24.631/DF, Plenário, rel. Min. Joaquim Barbosa, j. 9 ago. 2007). A distinção entre parecer vinculante e não vinculante também consta da Lei nº 9.784/1999 (art. 42, §§ 1º e 2º). A Lei de Introdução às Normas do Direito Brasileiro estabelece que o agente público responde pessoalmente por suas decisões ou opiniões técnicas em caso de dolo ou erro grosseiro (art. 28).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Este parecer, contratado livremente e sem previsão legal que o torne obrigatório ou vinculante, não substitui o parecer jurídico de controle prévio de legalidade (art. 53 da Lei nº 14.133/2021) nem a manifestação dos órgãos de assessoramento e controle.</w:t>
            </w:r>
          </w:p>
        </w:tc>
      </w:tr>
    </w:tbl>
    <w:p>
      <w:pPr>
        <w:spacing w:before="0" w:after="120" w:line="240" w:lineRule="auto"/>
        <w:ind w:firstLine="0"/>
        <w:jc w:val="both"/>
      </w:pP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2 RELATÓRIO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Trata-se de análise técnica de conformidade solicitada em relação ao processo PNCP 29131075000193-1-000277/2026, do Não identificado no texto enviado (CNPJ 29131075000193, conforme número de controle PNCP), cujo objeto é: Não identificado: o texto do ETP não foi disponibilizado para análise.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Foram examinados os seguintes documentos: Estudo Técnico Preliminar (https://pncp.gov.br/app/editais/29131075000193/2026/277, 2 páginas). O exame teve por parâmetro a Lei 14.133/2021, aplicando-se o roteiro de verificação Licitacon (versão 2026-10-29), com 15 itens pertinentes ao caso.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campo do documento foi recebido vazio, embora o sistema indique 3 páginas. Os dados do sistema são os seguintes: dispensa de licitação, sem registro de preços, valor estimado e homologado de R$ 2.647,47 e compra sem sigilo no PNCP. Sem o texto, não há como confirmar o conteúdo do ETP, nem seus elementos obrigatórios (art. 18, § 2º: incisos I, IV, VI, VIII e XIII do § 1º) ou os demais. Também não há como citar trechos literais. Todos os itens foram registrados como não verificáveis, sem juízo de conformidade ou de desconformidade. Os fatos do sistema não suprem o conteúdo do ETP. Em especial, o valor de R$ 2.647,47 não demonstra que existe estimativa fundamentada, memória de cálculo ou pesquisa de preços.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É o relatório. Passa-se à fundamentação.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 FUNDAMENTAÇÃO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Cada apontamento indica a constatação no documento, o dispositivo legal aplicável (transcrito do texto oficial vigente), a análise do caso, o risco de manutenção, a providência recomendada e os precedentes localizados na Biblioteca Licitacon.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 Documento recebido sem conteúdo textual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Apontamento adicional   ·   Estudo Técnico Preliminar, Documento inteiro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ETP, indicado pelo sistema com 3 páginas, chegou sem texto. Pode se tratar de arquivo digitalizado como imagem, falha de extração ou envio incorreto. A análise de conformidade ficou integralmente prejudicada.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1º e pelo art. 18, § 2º,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</w:t>
      </w:r>
      <w:r>
        <w:rPr>
          <w:b w:val="0"/>
          <w:i w:val="0"/>
          <w:sz w:val="20"/>
        </w:rPr>
        <w:t xml:space="preserve"> (BRASIL, 2021, art. 18, § 1º)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deverá conter ao menos os elementos previstos nos incisos I, IV, VI, VIII e XIII do § 1º deste artigo e, quando não contemplar os demais elementos previstos no referido parágrafo, apresentar as devidas justificativas.</w:t>
      </w:r>
      <w:r>
        <w:rPr>
          <w:b w:val="0"/>
          <w:i w:val="0"/>
          <w:sz w:val="20"/>
        </w:rPr>
        <w:t xml:space="preserve"> (BRASIL, 2021, art. 18, § 2º)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A verificação dos elementos mínimos do ETP exige acesso ao texto. Sem ele, não se pode afirmar a presença dos elementos obrigatórios (incisos I, IV, VI, VIII e XIII do § 1º) nem das justificativas por omissão.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Se o arquivo publicado ou arquivado nos autos também estiver ilegível ou vazio, a instrução ficará sem comprovação do planejamento, e o controle interno ou externo poderá apontar falha de instrução processual.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Verificar o arquivo original. Reenviar o ETP em PDF com texto selecionável, ou digitalizado com OCR. Conferir se a versão publicada no PNCP ou juntada ao processo está íntegra e completa.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4 RECOMENDAÇÕES DE MELHORIA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Não há recomendações adicionais.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5 CONCLUSÃO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Não é possível emitir parecer de mérito sobre o ETP, porque o texto do documento não foi recebido. A ausência de análise não indica regularidade nem irregularidade. Recomenda-se reenviar o ETP em arquivo com texto selecionável, ou digitalizado com OCR, para verificação completa. Como o certame já foi homologado (R$ 2.647,47), qualquer falha identificada depois deverá ser tratada com registro nos autos, aprimoramento dos próximos planejamentos e, se houver risco à execução, com providências no contrato. Em contratações de pequeno valor, o ETP pode ser simplificado, desde que justifique os elementos omitidos (art. 18, § 2º). Esse cuidado deve ser confirmado no documento reenviado.</w:t>
      </w:r>
    </w:p>
    <w:p>
      <w:pPr>
        <w:spacing w:before="0" w:after="80" w:line="360" w:lineRule="auto"/>
        <w:ind w:firstLine="709"/>
        <w:jc w:val="both"/>
      </w:pPr>
      <w:r>
        <w:rPr>
          <w:b w:val="0"/>
          <w:i w:val="0"/>
        </w:rPr>
        <w:t>Recomendam-se, por ordem de prioridade, as seguintes providências: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1. </w:t>
      </w:r>
      <w:r>
        <w:rPr>
          <w:b/>
          <w:i w:val="0"/>
        </w:rPr>
        <w:t xml:space="preserve">Documento recebido sem conteúdo textual </w:t>
      </w:r>
      <w:r>
        <w:rPr>
          <w:b w:val="0"/>
          <w:i w:val="0"/>
          <w:color w:val="C9781E"/>
        </w:rPr>
        <w:t xml:space="preserve">(gravidade média, item 3.1): </w:t>
      </w:r>
      <w:r>
        <w:rPr>
          <w:b w:val="0"/>
          <w:i w:val="0"/>
        </w:rPr>
        <w:t>Verificar o arquivo original. Reenviar o ETP em PDF com texto selecionável, ou digitalizado com OCR. Conferir se a versão publicada no PNCP ou juntada ao processo está íntegra e completa.</w:t>
      </w:r>
    </w:p>
    <w:p>
      <w:pPr>
        <w:spacing w:before="120" w:after="120" w:line="360" w:lineRule="auto"/>
        <w:ind w:firstLine="709"/>
        <w:jc w:val="both"/>
      </w:pPr>
      <w:r>
        <w:rPr>
          <w:b w:val="0"/>
          <w:i w:val="0"/>
        </w:rPr>
        <w:t>Todos os aspectos identificados foram informados, inclusive os de baixa vulnerabilidade, para que o destinatário disponha de visão completa do processo. Trata-se de parecer técnico de natureza opinativa: as recomendações não o vinculam, e a decisão de promover os ajustes ou manter os documentos como estão compete exclusivamente a quem recebe este parecer, sob sua responsabilidade (STF, MS 24.631/DF; art. 28 do Decreto-Lei nº 4.657/1942). Este parecer não substitui o parecer jurídico de controle prévio de legalidade (art. 53 da Lei nº 14.133/2021).</w:t>
      </w:r>
    </w:p>
    <w:p>
      <w:pPr>
        <w:spacing w:before="0" w:after="360" w:line="360" w:lineRule="auto"/>
        <w:ind w:firstLine="709"/>
        <w:jc w:val="both"/>
      </w:pPr>
      <w:r>
        <w:rPr>
          <w:b w:val="0"/>
          <w:i w:val="0"/>
        </w:rPr>
        <w:t>É o parecer técnico, de caráter opinativo, salvo melhor juízo.</w:t>
      </w:r>
    </w:p>
    <w:p>
      <w:pPr>
        <w:spacing w:before="0" w:after="720" w:line="360" w:lineRule="auto"/>
        <w:ind w:firstLine="0"/>
        <w:jc w:val="right"/>
      </w:pPr>
      <w:r>
        <w:rPr>
          <w:b w:val="0"/>
          <w:i w:val="0"/>
        </w:rPr>
        <w:t>Maricá (RJ), 29 de outubro de 2026.</w:t>
      </w:r>
    </w:p>
    <w:p>
      <w:pPr>
        <w:spacing w:before="0" w:after="0" w:line="240" w:lineRule="auto"/>
        <w:ind w:firstLine="0"/>
        <w:jc w:val="center"/>
      </w:pPr>
      <w:r>
        <w:rPr>
          <w:b w:val="0"/>
          <w:i w:val="0"/>
          <w:color w:val="D9DEE2"/>
        </w:rPr>
        <w:t>__________________________________________</w:t>
      </w:r>
    </w:p>
    <w:p>
      <w:pPr>
        <w:spacing w:before="0" w:after="0" w:line="276" w:lineRule="auto"/>
        <w:ind w:firstLine="0"/>
        <w:jc w:val="center"/>
      </w:pPr>
      <w:r>
        <w:rPr>
          <w:b/>
          <w:i w:val="0"/>
          <w:sz w:val="22"/>
        </w:rPr>
        <w:t>Agente Licitacon</w:t>
      </w:r>
    </w:p>
    <w:p>
      <w:pPr>
        <w:spacing w:before="0" w:after="0" w:line="276" w:lineRule="auto"/>
        <w:ind w:firstLine="0"/>
        <w:jc w:val="center"/>
      </w:pPr>
      <w:r>
        <w:rPr>
          <w:b w:val="0"/>
          <w:i w:val="0"/>
          <w:color w:val="66757F"/>
          <w:sz w:val="19"/>
        </w:rPr>
        <w:t>Análise técnica automatizada em licitações e contratos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REFERÊNCIAS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Decreto-Lei nº 4.657, de 4 de setembro de 1942. Lei de Introdução às Normas do Direito Brasileiro. Redação dada pela Lei nº 13.655, de 25 de abril de 2018. Disponível em: https://www.planalto.gov.br/ccivil_03/decreto-lei/del4657compilado.htm.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Lei nº 14.133, de 1º de abril de 2021. Lei de Licitações e Contratos Administrativos. Diário Oficial da União: seção 1, Brasília, DF, 1 abr. 2021. Disponível em: https://www.planalto.gov.br/ccivil_03/_ato2019-2022/2021/lei/l14133.htm.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Lei nº 9.784, de 29 de janeiro de 1999. Regula o processo administrativo no âmbito da Administração Pública Federal. Disponível em: https://www.planalto.gov.br/ccivil_03/leis/l9784.htm.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Supremo Tribunal Federal (Plenário). Mandado de Segurança nº 24.631/DF. Relator: Min. Joaquim Barbosa. Julgado em 9 ago. 2007. Diário da Justiça, Brasília, DF, 1 fev. 2008.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NÃO IDENTIFICADO NO TEXTO ENVIADO (CNPJ 29131075000193, CONFORME NÚMERO DE CONTROLE PNCP). Estudo Técnico Preliminar — PNCP 29131075000193-1-000277/2026. Disponível em: https://pncp.gov.br/app/editais/29131075000193/2026/277. Acesso em: 29 out. 2026.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APÊNDICE A – LISTA DE VERIFICAÇÃO</w:t>
      </w:r>
    </w:p>
    <w:p>
      <w:pPr>
        <w:spacing w:before="0" w:after="120" w:line="360" w:lineRule="auto"/>
        <w:ind w:firstLine="0"/>
        <w:jc w:val="both"/>
      </w:pPr>
      <w:r>
        <w:rPr>
          <w:b w:val="0"/>
          <w:i/>
          <w:color w:val="66757F"/>
          <w:sz w:val="20"/>
        </w:rPr>
        <w:t>Todos os itens do roteiro aplicados a este processo.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1701"/>
        <w:gridCol w:w="1587"/>
        <w:gridCol w:w="2268"/>
      </w:tblGrid>
      <w:tr>
        <w:tc>
          <w:tcPr>
            <w:tcW w:type="dxa" w:w="3515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701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DOCUMENTO</w:t>
            </w:r>
          </w:p>
        </w:tc>
        <w:tc>
          <w:tcPr>
            <w:tcW w:type="dxa" w:w="1587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2268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FUNDAMENTO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Documento recebido sem conteúdo textual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6"/>
              </w:rPr>
              <w:t xml:space="preserve">● </w:t>
            </w:r>
            <w:r>
              <w:rPr>
                <w:b/>
                <w:i w:val="0"/>
                <w:color w:val="3D8FA6"/>
                <w:sz w:val="16"/>
              </w:rPr>
              <w:t>Apontamento adicional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1º; art. 18,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Descrição da necessidade e do problema a resolver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I; art. 18,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Alinhamento com o plano de contratações anual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II; art. 12, inciso VII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Requisitos da contratação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III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Estimativa das quantidades com memória de cálculo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IV; art. 18,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Levantamento de mercado e escolha da solução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V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Estimativa do valor da contratação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VI; art. 18, § 2º; art. 23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Descrição da solução como um todo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VII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Justificativa do parcelamento ou não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VIII; art. 18, § 2º; art. 47, inciso II; art. 47, § 1º; art. 40, inciso V, alínea b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Resultados pretendidos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IX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Providências prévias e capacitação de fiscais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X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Contratações correlatas e interdependentes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XI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Impactos ambientais e medidas mitigadoras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XII; art. 11, inciso IV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Posicionamento conclusivo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XIII; art. 18,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Justificativa dos elementos não contemplados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8C7AA9"/>
                <w:sz w:val="16"/>
              </w:rPr>
              <w:t xml:space="preserve">● </w:t>
            </w:r>
            <w:r>
              <w:rPr>
                <w:b/>
                <w:i w:val="0"/>
                <w:color w:val="8C7AA9"/>
                <w:sz w:val="16"/>
              </w:rPr>
              <w:t>Não verificável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2º</w:t>
            </w:r>
          </w:p>
        </w:tc>
      </w:tr>
    </w:tbl>
    <w:p>
      <w:pPr>
        <w:spacing w:before="0" w:after="120" w:line="360" w:lineRule="auto"/>
        <w:ind w:firstLine="0"/>
        <w:jc w:val="both"/>
      </w:pP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APÊNDICE B – METODOLOGIA E LIMITES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a) </w:t>
      </w:r>
      <w:r>
        <w:rPr>
          <w:b w:val="0"/>
          <w:i w:val="0"/>
        </w:rPr>
        <w:t>Cada item do roteiro de verificação foi conferido nos documentos enviados; o trecho transcrito indica onde a constatação foi feita.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b) </w:t>
      </w:r>
      <w:r>
        <w:rPr>
          <w:b w:val="0"/>
          <w:i w:val="0"/>
        </w:rPr>
        <w:t>Os dispositivos legais reproduzem o texto oficial vigente constante da base normativa do Licitacon na data da análise, conferido automaticamente quanto à existência, revogação e veto.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c) </w:t>
      </w:r>
      <w:r>
        <w:rPr>
          <w:b w:val="0"/>
          <w:i w:val="0"/>
        </w:rPr>
        <w:t>Os precedentes provêm exclusivamente da Biblioteca Licitacon, com indicação da fonte oficial; a ausência de precedente listado não significa ausência de jurisprudência.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d) </w:t>
      </w:r>
      <w:r>
        <w:rPr>
          <w:b w:val="0"/>
          <w:i w:val="0"/>
        </w:rPr>
        <w:t>Cálculos de planilha são conferidos por programa a partir de arquivo em Excel; planilhas em PDF não permitem conferir fórmulas.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e) </w:t>
      </w:r>
      <w:r>
        <w:rPr>
          <w:b w:val="0"/>
          <w:i w:val="0"/>
        </w:rPr>
        <w:t>Normas estaduais e municipais, regulamentos internos e orientações locais somente são considerados quando enviados com os documentos.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f) </w:t>
      </w:r>
      <w:r>
        <w:rPr>
          <w:b w:val="0"/>
          <w:i w:val="0"/>
        </w:rPr>
        <w:t>O parecer é opinativo: aponta todos os aspectos identificados, inclusive os de baixa vulnerabilidade, e a decisão sobre cada recomendação cabe ao destinatário.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g) </w:t>
      </w:r>
      <w:r>
        <w:rPr>
          <w:b w:val="0"/>
          <w:i w:val="0"/>
        </w:rPr>
        <w:t>Apontamentos adicionais são questões relevantes encontradas no documento que não constam do roteiro padrão; seus fundamentos legais também são conferidos na base oficial.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h) </w:t>
      </w:r>
      <w:r>
        <w:rPr>
          <w:b w:val="0"/>
          <w:i w:val="0"/>
        </w:rPr>
        <w:t>O código de verificação 87CA4BD1E0 identifica o conteúdo desta análise; qualquer alteração no resultado gera código diferente.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85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b w:val="0"/>
        <w:i w:val="0"/>
        <w:color w:val="66757F"/>
        <w:sz w:val="14"/>
      </w:rPr>
      <w:t>Parecer técnico opinativo · a decisão final cabe exclusivamente ao destinatário · não substitui o parecer jurídico do art. 53 da Lei 14.133/2021 · código 87CA4BD1E0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6803"/>
          <w:tcBorders>
            <w:top w:val="nil"/>
            <w:left w:val="nil"/>
            <w:bottom w:val="single" w:sz="6" w:color="D9DEE2" w:space="0"/>
            <w:right w:val="nil"/>
          </w:tcBorders>
        </w:tcPr>
        <w:p>
          <w:pPr>
            <w:spacing w:before="0" w:after="0" w:line="240" w:lineRule="auto"/>
            <w:ind w:firstLine="0"/>
            <w:jc w:val="left"/>
          </w:pPr>
          <w:r>
            <w:rPr>
              <w:b/>
              <w:i w:val="0"/>
              <w:color w:val="1F7A8C"/>
              <w:sz w:val="16"/>
            </w:rPr>
            <w:t>LICITACON</w:t>
          </w:r>
          <w:r>
            <w:rPr>
              <w:b w:val="0"/>
              <w:i w:val="0"/>
              <w:color w:val="66757F"/>
              <w:sz w:val="16"/>
            </w:rPr>
            <w:t xml:space="preserve">  ·  Parecer Técnico nº 87CA/2026</w:t>
          </w:r>
        </w:p>
      </w:tc>
      <w:tc>
        <w:tcPr>
          <w:tcW w:type="dxa" w:w="2268"/>
          <w:tcBorders>
            <w:top w:val="nil"/>
            <w:left w:val="nil"/>
            <w:bottom w:val="single" w:sz="6" w:color="D9DEE2" w:space="0"/>
            <w:right w:val="nil"/>
          </w:tcBorders>
        </w:tcPr>
        <w:p>
          <w:pPr>
            <w:spacing w:before="0" w:after="0" w:line="240" w:lineRule="auto"/>
            <w:ind w:firstLine="0"/>
            <w:jc w:val="right"/>
          </w:pPr>
          <w:r>
            <w:rPr>
              <w:color w:val="12324A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 w:eastAsia="Arial"/>
      <w:color w:val="1E2A3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