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4B86/2026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Contratação de empresa especializada em Gestão de Mão de Obra para atendimento da Educação Infantil nas Unidades Escolares, mediante 435 postos de Auxiliar de Desenvolvimento Infantil, em regime de dedicação exclusiva de mão de obra (valor estimado R$ 40.955.284,80; vigência inicial de 12 meses)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Educação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54/2026 – Processo Administrativo nº 18321/2025 (PNCP 29131075000193-1-000445/2026)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menor preço global, modo de disputa aberto, empreitada por preço unitário, sem registro de preços, orçamento não sigiloso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7</w:t>
      </w:r>
    </w:p>
    <w:p>
      <w:pPr>
        <w:tabs>
          <w:tab w:pos="9071" w:val="right" w:leader="dot"/>
        </w:tabs>
        <w:spacing w:before="0" w:after="0" w:line="360" w:lineRule="auto"/>
        <w:ind w:firstLine="0" w:left="0"/>
        <w:jc w:val="left"/>
      </w:pPr>
      <w:r>
        <w:rPr>
          <w:b/>
          <w:i w:val="0"/>
          <w:sz w:val="22"/>
        </w:rPr>
        <w:t>3 FUNDAMENTAÇÃO</w:t>
      </w:r>
      <w:r>
        <w:rPr>
          <w:b/>
          <w:i w:val="0"/>
          <w:sz w:val="22"/>
        </w:rPr>
        <w:tab/>
        <w:t>8</w:t>
      </w:r>
    </w:p>
    <w:p>
      <w:pPr>
        <w:tabs>
          <w:tab w:pos="9071" w:val="right" w:leader="dot"/>
        </w:tabs>
        <w:spacing w:before="0" w:after="0" w:line="360" w:lineRule="auto"/>
        <w:ind w:firstLine="0" w:left="340"/>
        <w:jc w:val="left"/>
      </w:pPr>
      <w:r>
        <w:rPr>
          <w:b w:val="0"/>
          <w:i w:val="0"/>
          <w:sz w:val="21"/>
        </w:rPr>
        <w:t>3.1 Enquadramento como dedicação exclusiva de mão de obra</w:t>
      </w:r>
      <w:r>
        <w:rPr>
          <w:b w:val="0"/>
          <w:i w:val="0"/>
          <w:sz w:val="21"/>
        </w:rPr>
        <w:tab/>
        <w:t>8</w:t>
      </w:r>
    </w:p>
    <w:p>
      <w:pPr>
        <w:tabs>
          <w:tab w:pos="9071" w:val="right" w:leader="dot"/>
        </w:tabs>
        <w:spacing w:before="0" w:after="0" w:line="360" w:lineRule="auto"/>
        <w:ind w:firstLine="0" w:left="340"/>
        <w:jc w:val="left"/>
      </w:pPr>
      <w:r>
        <w:rPr>
          <w:b w:val="0"/>
          <w:i w:val="0"/>
          <w:sz w:val="21"/>
        </w:rPr>
        <w:t>3.2 Convenção coletiva da categoria correta</w:t>
      </w:r>
      <w:r>
        <w:rPr>
          <w:b w:val="0"/>
          <w:i w:val="0"/>
          <w:sz w:val="21"/>
        </w:rPr>
        <w:tab/>
        <w:t>9</w:t>
      </w:r>
    </w:p>
    <w:p>
      <w:pPr>
        <w:tabs>
          <w:tab w:pos="9071" w:val="right" w:leader="dot"/>
        </w:tabs>
        <w:spacing w:before="0" w:after="0" w:line="360" w:lineRule="auto"/>
        <w:ind w:firstLine="0" w:left="340"/>
        <w:jc w:val="left"/>
      </w:pPr>
      <w:r>
        <w:rPr>
          <w:b w:val="0"/>
          <w:i w:val="0"/>
          <w:sz w:val="21"/>
        </w:rPr>
        <w:t>3.3 Qualificação técnica proporcional</w:t>
      </w:r>
      <w:r>
        <w:rPr>
          <w:b w:val="0"/>
          <w:i w:val="0"/>
          <w:sz w:val="21"/>
        </w:rPr>
        <w:tab/>
        <w:t>11</w:t>
      </w:r>
    </w:p>
    <w:p>
      <w:pPr>
        <w:tabs>
          <w:tab w:pos="9071" w:val="right" w:leader="dot"/>
        </w:tabs>
        <w:spacing w:before="0" w:after="0" w:line="360" w:lineRule="auto"/>
        <w:ind w:firstLine="0" w:left="340"/>
        <w:jc w:val="left"/>
      </w:pPr>
      <w:r>
        <w:rPr>
          <w:b w:val="0"/>
          <w:i w:val="0"/>
          <w:sz w:val="21"/>
        </w:rPr>
        <w:t>3.4 Terceirização de atividades pedagógicas e risco de substituição de servidores</w:t>
      </w:r>
      <w:r>
        <w:rPr>
          <w:b w:val="0"/>
          <w:i w:val="0"/>
          <w:sz w:val="21"/>
        </w:rPr>
        <w:tab/>
        <w:t>13</w:t>
      </w:r>
    </w:p>
    <w:p>
      <w:pPr>
        <w:tabs>
          <w:tab w:pos="9071" w:val="right" w:leader="dot"/>
        </w:tabs>
        <w:spacing w:before="0" w:after="0" w:line="360" w:lineRule="auto"/>
        <w:ind w:firstLine="0" w:left="340"/>
        <w:jc w:val="left"/>
      </w:pPr>
      <w:r>
        <w:rPr>
          <w:b w:val="0"/>
          <w:i w:val="0"/>
          <w:sz w:val="21"/>
        </w:rPr>
        <w:t>3.5 Orçamento estimado sem composição de custos e sem pesquisa de preços demonstrada</w:t>
      </w:r>
      <w:r>
        <w:rPr>
          <w:b w:val="0"/>
          <w:i w:val="0"/>
          <w:sz w:val="21"/>
        </w:rPr>
        <w:tab/>
        <w:t>14</w:t>
      </w:r>
    </w:p>
    <w:p>
      <w:pPr>
        <w:tabs>
          <w:tab w:pos="9071" w:val="right" w:leader="dot"/>
        </w:tabs>
        <w:spacing w:before="0" w:after="0" w:line="360" w:lineRule="auto"/>
        <w:ind w:firstLine="0" w:left="340"/>
        <w:jc w:val="left"/>
      </w:pPr>
      <w:r>
        <w:rPr>
          <w:b w:val="0"/>
          <w:i w:val="0"/>
          <w:sz w:val="21"/>
        </w:rPr>
        <w:t>3.6 Itens de convenção que não vinculam a Administração</w:t>
      </w:r>
      <w:r>
        <w:rPr>
          <w:b w:val="0"/>
          <w:i w:val="0"/>
          <w:sz w:val="21"/>
        </w:rPr>
        <w:tab/>
        <w:t>15</w:t>
      </w:r>
    </w:p>
    <w:p>
      <w:pPr>
        <w:tabs>
          <w:tab w:pos="9071" w:val="right" w:leader="dot"/>
        </w:tabs>
        <w:spacing w:before="0" w:after="0" w:line="360" w:lineRule="auto"/>
        <w:ind w:firstLine="0" w:left="340"/>
        <w:jc w:val="left"/>
      </w:pPr>
      <w:r>
        <w:rPr>
          <w:b w:val="0"/>
          <w:i w:val="0"/>
          <w:sz w:val="21"/>
        </w:rPr>
        <w:t>3.7 Conferência aritmética da planilha</w:t>
      </w:r>
      <w:r>
        <w:rPr>
          <w:b w:val="0"/>
          <w:i w:val="0"/>
          <w:sz w:val="21"/>
        </w:rPr>
        <w:tab/>
        <w:t>17</w:t>
      </w:r>
    </w:p>
    <w:p>
      <w:pPr>
        <w:tabs>
          <w:tab w:pos="9071" w:val="right" w:leader="dot"/>
        </w:tabs>
        <w:spacing w:before="0" w:after="0" w:line="360" w:lineRule="auto"/>
        <w:ind w:firstLine="0" w:left="340"/>
        <w:jc w:val="left"/>
      </w:pPr>
      <w:r>
        <w:rPr>
          <w:b w:val="0"/>
          <w:i w:val="0"/>
          <w:sz w:val="21"/>
        </w:rPr>
        <w:t>3.8 Índice de reajuste com data-base no orçamento</w:t>
      </w:r>
      <w:r>
        <w:rPr>
          <w:b w:val="0"/>
          <w:i w:val="0"/>
          <w:sz w:val="21"/>
        </w:rPr>
        <w:tab/>
        <w:t>18</w:t>
      </w:r>
    </w:p>
    <w:p>
      <w:pPr>
        <w:tabs>
          <w:tab w:pos="9071" w:val="right" w:leader="dot"/>
        </w:tabs>
        <w:spacing w:before="0" w:after="0" w:line="360" w:lineRule="auto"/>
        <w:ind w:firstLine="0" w:left="340"/>
        <w:jc w:val="left"/>
      </w:pPr>
      <w:r>
        <w:rPr>
          <w:b w:val="0"/>
          <w:i w:val="0"/>
          <w:sz w:val="21"/>
        </w:rPr>
        <w:t>3.9 Critério de reajuste em serviços contínuos</w:t>
      </w:r>
      <w:r>
        <w:rPr>
          <w:b w:val="0"/>
          <w:i w:val="0"/>
          <w:sz w:val="21"/>
        </w:rPr>
        <w:tab/>
        <w:t>19</w:t>
      </w:r>
    </w:p>
    <w:p>
      <w:pPr>
        <w:tabs>
          <w:tab w:pos="9071" w:val="right" w:leader="dot"/>
        </w:tabs>
        <w:spacing w:before="0" w:after="0" w:line="360" w:lineRule="auto"/>
        <w:ind w:firstLine="0" w:left="340"/>
        <w:jc w:val="left"/>
      </w:pPr>
      <w:r>
        <w:rPr>
          <w:b w:val="0"/>
          <w:i w:val="0"/>
          <w:sz w:val="21"/>
        </w:rPr>
        <w:t>3.10 Qualificação econômico-financeira</w:t>
      </w:r>
      <w:r>
        <w:rPr>
          <w:b w:val="0"/>
          <w:i w:val="0"/>
          <w:sz w:val="21"/>
        </w:rPr>
        <w:tab/>
        <w:t>21</w:t>
      </w:r>
    </w:p>
    <w:p>
      <w:pPr>
        <w:tabs>
          <w:tab w:pos="9071" w:val="right" w:leader="dot"/>
        </w:tabs>
        <w:spacing w:before="0" w:after="0" w:line="360" w:lineRule="auto"/>
        <w:ind w:firstLine="0" w:left="340"/>
        <w:jc w:val="left"/>
      </w:pPr>
      <w:r>
        <w:rPr>
          <w:b w:val="0"/>
          <w:i w:val="0"/>
          <w:sz w:val="21"/>
        </w:rPr>
        <w:t>3.11 Tratamento diferenciado a ME e EPP</w:t>
      </w:r>
      <w:r>
        <w:rPr>
          <w:b w:val="0"/>
          <w:i w:val="0"/>
          <w:sz w:val="21"/>
        </w:rPr>
        <w:tab/>
        <w:t>22</w:t>
      </w:r>
    </w:p>
    <w:p>
      <w:pPr>
        <w:tabs>
          <w:tab w:pos="9071" w:val="right" w:leader="dot"/>
        </w:tabs>
        <w:spacing w:before="0" w:after="0" w:line="360" w:lineRule="auto"/>
        <w:ind w:firstLine="0" w:left="340"/>
        <w:jc w:val="left"/>
      </w:pPr>
      <w:r>
        <w:rPr>
          <w:b w:val="0"/>
          <w:i w:val="0"/>
          <w:sz w:val="21"/>
        </w:rPr>
        <w:t>3.12 Minuta de contrato como anexo e cláusulas necessárias</w:t>
      </w:r>
      <w:r>
        <w:rPr>
          <w:b w:val="0"/>
          <w:i w:val="0"/>
          <w:sz w:val="21"/>
        </w:rPr>
        <w:tab/>
        <w:t>23</w:t>
      </w:r>
    </w:p>
    <w:p>
      <w:pPr>
        <w:tabs>
          <w:tab w:pos="9071" w:val="right" w:leader="dot"/>
        </w:tabs>
        <w:spacing w:before="0" w:after="0" w:line="360" w:lineRule="auto"/>
        <w:ind w:firstLine="0" w:left="340"/>
        <w:jc w:val="left"/>
      </w:pPr>
      <w:r>
        <w:rPr>
          <w:b w:val="0"/>
          <w:i w:val="0"/>
          <w:sz w:val="21"/>
        </w:rPr>
        <w:t>3.13 Coerência interna do edital e dos anexos</w:t>
      </w:r>
      <w:r>
        <w:rPr>
          <w:b w:val="0"/>
          <w:i w:val="0"/>
          <w:sz w:val="21"/>
        </w:rPr>
        <w:tab/>
        <w:t>25</w:t>
      </w:r>
    </w:p>
    <w:p>
      <w:pPr>
        <w:tabs>
          <w:tab w:pos="9071" w:val="right" w:leader="dot"/>
        </w:tabs>
        <w:spacing w:before="0" w:after="0" w:line="360" w:lineRule="auto"/>
        <w:ind w:firstLine="0" w:left="340"/>
        <w:jc w:val="left"/>
      </w:pPr>
      <w:r>
        <w:rPr>
          <w:b w:val="0"/>
          <w:i w:val="0"/>
          <w:sz w:val="21"/>
        </w:rPr>
        <w:t>3.14 Inabilitação do licitante por indisponibilidade de meio eletrônico de consulta da Administração</w:t>
      </w:r>
      <w:r>
        <w:rPr>
          <w:b w:val="0"/>
          <w:i w:val="0"/>
          <w:sz w:val="21"/>
        </w:rPr>
        <w:tab/>
        <w:t>26</w:t>
      </w:r>
    </w:p>
    <w:p>
      <w:pPr>
        <w:tabs>
          <w:tab w:pos="9071" w:val="right" w:leader="dot"/>
        </w:tabs>
        <w:spacing w:before="0" w:after="0" w:line="360" w:lineRule="auto"/>
        <w:ind w:firstLine="0" w:left="340"/>
        <w:jc w:val="left"/>
      </w:pPr>
      <w:r>
        <w:rPr>
          <w:b w:val="0"/>
          <w:i w:val="0"/>
          <w:sz w:val="21"/>
        </w:rPr>
        <w:t>3.15 Quantitativo de 435 postos sem demonstração dos parâmetros de dimensionamento</w:t>
      </w:r>
      <w:r>
        <w:rPr>
          <w:b w:val="0"/>
          <w:i w:val="0"/>
          <w:sz w:val="21"/>
        </w:rPr>
        <w:tab/>
        <w:t>27</w:t>
      </w:r>
    </w:p>
    <w:p>
      <w:pPr>
        <w:tabs>
          <w:tab w:pos="9071" w:val="right" w:leader="dot"/>
        </w:tabs>
        <w:spacing w:before="0" w:after="0" w:line="360" w:lineRule="auto"/>
        <w:ind w:firstLine="0" w:left="340"/>
        <w:jc w:val="left"/>
      </w:pPr>
      <w:r>
        <w:rPr>
          <w:b w:val="0"/>
          <w:i w:val="0"/>
          <w:sz w:val="21"/>
        </w:rPr>
        <w:t>3.16 Garantia de proposta e garantia contratual</w:t>
      </w:r>
      <w:r>
        <w:rPr>
          <w:b w:val="0"/>
          <w:i w:val="0"/>
          <w:sz w:val="21"/>
        </w:rPr>
        <w:tab/>
        <w:t>28</w:t>
      </w:r>
    </w:p>
    <w:p>
      <w:pPr>
        <w:tabs>
          <w:tab w:pos="9071" w:val="right" w:leader="dot"/>
        </w:tabs>
        <w:spacing w:before="0" w:after="0" w:line="360" w:lineRule="auto"/>
        <w:ind w:firstLine="0" w:left="340"/>
        <w:jc w:val="left"/>
      </w:pPr>
      <w:r>
        <w:rPr>
          <w:b w:val="0"/>
          <w:i w:val="0"/>
          <w:sz w:val="21"/>
        </w:rPr>
        <w:t>3.17 Participação em consórcio</w:t>
      </w:r>
      <w:r>
        <w:rPr>
          <w:b w:val="0"/>
          <w:i w:val="0"/>
          <w:sz w:val="21"/>
        </w:rPr>
        <w:tab/>
        <w:t>29</w:t>
      </w:r>
    </w:p>
    <w:p>
      <w:pPr>
        <w:tabs>
          <w:tab w:pos="9071" w:val="right" w:leader="dot"/>
        </w:tabs>
        <w:spacing w:before="0" w:after="0" w:line="360" w:lineRule="auto"/>
        <w:ind w:firstLine="0" w:left="340"/>
        <w:jc w:val="left"/>
      </w:pPr>
      <w:r>
        <w:rPr>
          <w:b w:val="0"/>
          <w:i w:val="0"/>
          <w:sz w:val="21"/>
        </w:rPr>
        <w:t>3.18 Impugnação e esclarecimentos</w:t>
      </w:r>
      <w:r>
        <w:rPr>
          <w:b w:val="0"/>
          <w:i w:val="0"/>
          <w:sz w:val="21"/>
        </w:rPr>
        <w:tab/>
        <w:t>30</w:t>
      </w:r>
    </w:p>
    <w:p>
      <w:pPr>
        <w:tabs>
          <w:tab w:pos="9071" w:val="right" w:leader="dot"/>
        </w:tabs>
        <w:spacing w:before="0" w:after="0" w:line="360" w:lineRule="auto"/>
        <w:ind w:firstLine="0" w:left="340"/>
        <w:jc w:val="left"/>
      </w:pPr>
      <w:r>
        <w:rPr>
          <w:b w:val="0"/>
          <w:i w:val="0"/>
          <w:sz w:val="21"/>
        </w:rPr>
        <w:t>3.19 Recursos administrativos</w:t>
      </w:r>
      <w:r>
        <w:rPr>
          <w:b w:val="0"/>
          <w:i w:val="0"/>
          <w:sz w:val="21"/>
        </w:rPr>
        <w:tab/>
        <w:t>31</w:t>
      </w:r>
    </w:p>
    <w:p>
      <w:pPr>
        <w:tabs>
          <w:tab w:pos="9071" w:val="right" w:leader="dot"/>
        </w:tabs>
        <w:spacing w:before="0" w:after="0" w:line="360" w:lineRule="auto"/>
        <w:ind w:firstLine="0" w:left="340"/>
        <w:jc w:val="left"/>
      </w:pPr>
      <w:r>
        <w:rPr>
          <w:b w:val="0"/>
          <w:i w:val="0"/>
          <w:sz w:val="21"/>
        </w:rPr>
        <w:t>3.20 Exigência de via física original ou autenticada e de firma reconhecida em processo eletrônico</w:t>
      </w:r>
      <w:r>
        <w:rPr>
          <w:b w:val="0"/>
          <w:i w:val="0"/>
          <w:sz w:val="21"/>
        </w:rPr>
        <w:tab/>
        <w:t>32</w:t>
      </w:r>
    </w:p>
    <w:p>
      <w:pPr>
        <w:tabs>
          <w:tab w:pos="9071" w:val="right" w:leader="dot"/>
        </w:tabs>
        <w:spacing w:before="0" w:after="0" w:line="360" w:lineRule="auto"/>
        <w:ind w:firstLine="0" w:left="340"/>
        <w:jc w:val="left"/>
      </w:pPr>
      <w:r>
        <w:rPr>
          <w:b w:val="0"/>
          <w:i w:val="0"/>
          <w:sz w:val="21"/>
        </w:rPr>
        <w:t>3.21 Certidão de IPTU exigida apenas de licitantes domiciliadas em Maricá</w:t>
      </w:r>
      <w:r>
        <w:rPr>
          <w:b w:val="0"/>
          <w:i w:val="0"/>
          <w:sz w:val="21"/>
        </w:rPr>
        <w:tab/>
        <w:t>33</w:t>
      </w:r>
    </w:p>
    <w:p>
      <w:pPr>
        <w:tabs>
          <w:tab w:pos="9071" w:val="right" w:leader="dot"/>
        </w:tabs>
        <w:spacing w:before="0" w:after="0" w:line="360" w:lineRule="auto"/>
        <w:ind w:firstLine="0" w:left="0"/>
        <w:jc w:val="left"/>
      </w:pPr>
      <w:r>
        <w:rPr>
          <w:b/>
          <w:i w:val="0"/>
          <w:sz w:val="22"/>
        </w:rPr>
        <w:t>4 RECOMENDAÇÕES DE MELHORIA</w:t>
      </w:r>
      <w:r>
        <w:rPr>
          <w:b/>
          <w:i w:val="0"/>
          <w:sz w:val="22"/>
        </w:rPr>
        <w:tab/>
        <w:t>34</w:t>
      </w:r>
    </w:p>
    <w:p>
      <w:pPr>
        <w:tabs>
          <w:tab w:pos="9071" w:val="right" w:leader="dot"/>
        </w:tabs>
        <w:spacing w:before="0" w:after="0" w:line="360" w:lineRule="auto"/>
        <w:ind w:firstLine="0" w:left="0"/>
        <w:jc w:val="left"/>
      </w:pPr>
      <w:r>
        <w:rPr>
          <w:b/>
          <w:i w:val="0"/>
          <w:sz w:val="22"/>
        </w:rPr>
        <w:t>5 CONCLUSÃO</w:t>
      </w:r>
      <w:r>
        <w:rPr>
          <w:b/>
          <w:i w:val="0"/>
          <w:sz w:val="22"/>
        </w:rPr>
        <w:tab/>
        <w:t>35</w:t>
      </w:r>
    </w:p>
    <w:p>
      <w:pPr>
        <w:tabs>
          <w:tab w:pos="9071" w:val="right" w:leader="dot"/>
        </w:tabs>
        <w:spacing w:before="0" w:after="0" w:line="360" w:lineRule="auto"/>
        <w:ind w:firstLine="0" w:left="0"/>
        <w:jc w:val="left"/>
      </w:pPr>
      <w:r>
        <w:rPr>
          <w:b/>
          <w:i w:val="0"/>
          <w:sz w:val="22"/>
        </w:rPr>
        <w:t>REFERÊNCIAS</w:t>
      </w:r>
      <w:r>
        <w:rPr>
          <w:b/>
          <w:i w:val="0"/>
          <w:sz w:val="22"/>
        </w:rPr>
        <w:tab/>
        <w:t>36</w:t>
      </w:r>
    </w:p>
    <w:p>
      <w:pPr>
        <w:tabs>
          <w:tab w:pos="9071" w:val="right" w:leader="dot"/>
        </w:tabs>
        <w:spacing w:before="0" w:after="0" w:line="360" w:lineRule="auto"/>
        <w:ind w:firstLine="0" w:left="0"/>
        <w:jc w:val="left"/>
      </w:pPr>
      <w:r>
        <w:rPr>
          <w:b/>
          <w:i w:val="0"/>
          <w:sz w:val="22"/>
        </w:rPr>
        <w:t>APÊNDICE A – LISTA DE VERIFICAÇÃO</w:t>
      </w:r>
      <w:r>
        <w:rPr>
          <w:b/>
          <w:i w:val="0"/>
          <w:sz w:val="22"/>
        </w:rPr>
        <w:tab/>
        <w:t>43</w:t>
      </w:r>
    </w:p>
    <w:p>
      <w:pPr>
        <w:tabs>
          <w:tab w:pos="9071" w:val="right" w:leader="dot"/>
        </w:tabs>
        <w:spacing w:before="0" w:after="0" w:line="360" w:lineRule="auto"/>
        <w:ind w:firstLine="0" w:left="0"/>
        <w:jc w:val="left"/>
      </w:pPr>
      <w:r>
        <w:rPr>
          <w:b/>
          <w:i w:val="0"/>
          <w:sz w:val="22"/>
        </w:rPr>
        <w:t>APÊNDICE B – METODOLOGIA E LIMITES</w:t>
      </w:r>
      <w:r>
        <w:rPr>
          <w:b/>
          <w:i w:val="0"/>
          <w:sz w:val="22"/>
        </w:rPr>
        <w:tab/>
        <w:t>44</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5</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10</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6</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7</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Enquadramento como dedicação exclusiva de mão de obra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XVI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Convenção coletiva da categoria correta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135,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Terceirização de atividades pedagógicas e risco de substituição de servidores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XVI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Orçamento estimado sem composição de custos e sem pesquisa de preços demonstrada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Itens de convenção que não vinculam a Administração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135, § 1º</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Conferência aritmética da planilha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IV</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Inabilitação do licitante por indisponibilidade de meio eletrônico de consulta da Administração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Quantitativo de 435 postos sem demonstração dos parâmetros de dimensionamento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 1º, inciso IV</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Garantia de proposta e garantia contratual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58,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Participação em consórcio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15</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Recursos administrativos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165,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e de firma reconhecida em processo eletrônico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3.21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Certidão de IPTU exigida apenas de licitantes domiciliadas em Maricá</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 inciso I</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4B86/2026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Educação</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Contratação de empresa especializada em Gestão de Mão de Obra para atendimento da Educação Infantil nas Unidades Escolares, mediante 435 postos de Auxiliar de Desenvolvimento Infantil, em regime de dedicação exclusiva de mão de obra (valor estimado R$ 40.955.284,80; vigência inicial de 12 meses)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54/2026 – Processo Administrativo nº 18321/2025 (PNCP 29131075000193-1-000445/2026)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TERCEIRIZAÇÃO. DEDICAÇÃO EXCLUSIVA DE MÃO DE OBRA. AUXILIAR DE DESENVOLVIMENTO INFANTIL. CONVENÇÃO COLETIVA DE CATEGORIA DIVERSA. ASSEIO E CONSERVAÇÃO. ORÇAMENTO SEM COMPOSIÇÃO. QUALIFICAÇÃO TÉCNICA. REPACTUAÇÃO. INCOERÊNCIA ENTRE EDITAL E TR. ME/EPP. </w:t>
      </w:r>
      <w:r>
        <w:rPr>
          <w:b w:val="0"/>
          <w:i w:val="0"/>
          <w:sz w:val="20"/>
        </w:rPr>
        <w:t>O edital do Pregão Eletrônico nº 54/2026 de Maricá contrata 435 postos de Auxiliar de Desenvolvimento Infantil com dedicação exclusiva de mão de obra. O orçamento foi construído com a convenção coletiva de asseio e conservação (SEAC-RJ), categoria diversa da do posto. A planilha de composição do valor unitário (R$ 7.845,84) não foi divulgada, e há exigências de qualificação técnica de difícil justificação e contradições internas entre edital, termo de referência e minuta contratual (ME/EPP, cooperativas, reajuste, garantia). Prazo de propostas, declaração do art. 63, § 1º, sanções e recursos estão, em geral, regulares.</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54/2026 – Processo Administrativo nº 18321/2025 (PNCP 29131075000193-1-000445/2026), do Prefeitura Municipal de Maricá – Secretaria de Educação, cujo objeto é: Contratação de empresa especializada em Gestão de Mão de Obra para atendimento da Educação Infantil nas Unidades Escolares, mediante 435 postos de Auxiliar de Desenvolvimento Infantil, em regime de dedicação exclusiva de mão de obra (valor estimado R$ 40.955.284,80; vigência inicial de 12 meses).</w:t>
      </w:r>
    </w:p>
    <w:p>
      <w:pPr>
        <w:spacing w:before="0" w:after="120" w:line="360" w:lineRule="auto"/>
        <w:ind w:firstLine="709"/>
        <w:jc w:val="both"/>
      </w:pPr>
      <w:r>
        <w:rPr>
          <w:b w:val="0"/>
          <w:i w:val="0"/>
        </w:rPr>
        <w:t>Foram examinados os seguintes documentos: Edital e minutas (ata e contrato) (https://pncp.gov.br/app/editais/29131075000193/2026/445, 127 páginas). O exame teve por parâmetro a Lei 14.133/2021, aplicando-se o roteiro de verificação Licitacon (versão 2026-10-29b), com 34 itens pertinentes ao caso.</w:t>
      </w:r>
    </w:p>
    <w:p>
      <w:pPr>
        <w:spacing w:before="0" w:after="120" w:line="360" w:lineRule="auto"/>
        <w:ind w:firstLine="709"/>
        <w:jc w:val="both"/>
      </w:pPr>
      <w:r>
        <w:rPr>
          <w:b w:val="0"/>
          <w:i w:val="0"/>
        </w:rPr>
        <w:t>O documento reúne edital, anexos, termo de referência e minuta contratual (128 páginas) de pregão eletrônico para terceirização de 435 postos de Auxiliar de Desenvolvimento Infantil em creches e escolas municipais, com regime de dedicação exclusiva de mão de obra. A divulgação no PNCP ocorreu em 09/10/2026 e a abertura em 27/10/2026, no 10º dia útil pela contagem do sistema, o que atende o mínimo legal sem margem. A data desta análise (29/10/2026) é posterior à abertura da sessão, de modo que as correções devem ser avaliadas antes da adjudicação e da homologação, com eventual saneamento, republicação ou anulação. Os pontos mais graves são: (i) o orçamento se apoia na convenção coletiva de asseio e conservação (SEAC-RJ), categoria diversa da profissional contratada; (ii) a composição do valor unitário de R$ 7.845,84 e a pesquisa de preços não estão documentadas, e a planilha anexada está em branco; (iii) as atribuições do posto incluem tarefas pedagógicas (avaliar e corrigir atividades), o que sugere terceirização de atividade-fim; (iv) a qualificação técnica traz exigências de difícil sustentação (36 meses, "serviços similares" sem delimitação, técnico de segurança do trabalho e, no TR, experiência em ambiente educacional); (v) o edital, o TR e a minuta se contradizem sobre ME/EPP, cooperativas, índice de reajuste e repactuação, garantia contratual e correção monetária por atraso de pagamento. Estão regulares: a declaração do art. 63, § 1º, a vedação de multas fora dos limites, os prazos recursais, a fixação da garantia de proposta em 1% e a vigência com prorrogação. A análise jurídica prévia e a divulgação simultânea dos anexos não puderam ser verificadas. Os itens de registro de preços não se aplicam.</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Enquadramento como dedicação exclusiva de mão de obra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Planilha de custos e formação de preços (dedicação exclusiva de mão de obra), TR, itens 1, 3.1, 12.3 e 12.7.1 (páginas 52, 55-56, 68 e 72); Edital, itens 4.1 e 19.2.1 (páginas 4 e 35)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e o edital tratam o objeto como serviço contínuo com dedicação exclusiva de mão de obra (435 postos, jornada de 44 horas, controle de ponto, substituição imediata, repactuação). O enquadramento formal existe. Mas o objeto é descrito de modo inconsistente: ora como "Gestão de Mão de Obra", ora como "serviços nas áreas pedagógicas", ora como "atividade meio" e "serviço comum". As atribuições do posto incluem tarefas típicas de docência e apoio pedagógico (avaliar e corrigir atividades, ler textos, explicar atividades), além de cuidado e limpeza. O edital não fixa que os empregados ficarão sem subordinação direta aos servidores, nem como será a fiscalização da distribuição e da jornada nas 80 unidades.</w:t>
      </w:r>
    </w:p>
    <w:p>
      <w:pPr>
        <w:spacing w:before="0" w:after="120" w:line="360" w:lineRule="auto"/>
        <w:ind w:firstLine="709"/>
        <w:jc w:val="both"/>
      </w:pPr>
      <w:r>
        <w:rPr>
          <w:b w:val="0"/>
          <w:i w:val="0"/>
        </w:rPr>
        <w:t>O documento dispõe: “avaliar atividades dos alunos; corrigir atividades; observar a linguagem; observar a socialização” (TR, itens 1, 3.1, 12.3 e 12.7.1 (páginas 52, 55-56, 68 e 72); Edital, itens 4.1 e 19.2.1 (páginas 4 e 35)).</w:t>
      </w:r>
    </w:p>
    <w:p>
      <w:pPr>
        <w:spacing w:before="0" w:after="80" w:line="360" w:lineRule="auto"/>
        <w:ind w:firstLine="709"/>
        <w:jc w:val="both"/>
      </w:pPr>
      <w:r>
        <w:rPr>
          <w:b/>
          <w:i w:val="0"/>
          <w:color w:val="12324A"/>
        </w:rPr>
        <w:t xml:space="preserve">Dispositivo aplicável. </w:t>
      </w:r>
      <w:r>
        <w:rPr>
          <w:b w:val="0"/>
          <w:i w:val="0"/>
        </w:rPr>
        <w:t>A matéria é disciplinada pelo art. 6, inciso XVI, da Lei 14.133/2021, que assim dispõe:</w:t>
      </w:r>
    </w:p>
    <w:p>
      <w:pPr>
        <w:spacing w:before="80" w:after="200" w:line="240" w:lineRule="auto"/>
        <w:ind w:firstLine="0" w:left="2268"/>
        <w:jc w:val="both"/>
      </w:pPr>
      <w:r>
        <w:rPr>
          <w:b w:val="0"/>
          <w:i w:val="0"/>
          <w:sz w:val="20"/>
        </w:rPr>
        <w:t>Para os fins desta Lei, consideram-se: […] serviços contínuos com regime de dedicação exclusiva de mão de obra: aqueles cujo modelo de execução contratual exige, entre outros requisitos, que: […]</w:t>
      </w:r>
      <w:r>
        <w:rPr>
          <w:b w:val="0"/>
          <w:i w:val="0"/>
          <w:sz w:val="20"/>
        </w:rPr>
        <w:t xml:space="preserve"> (BRASIL, 2021, art. 6, inciso XVI)</w:t>
      </w:r>
    </w:p>
    <w:p>
      <w:pPr>
        <w:spacing w:before="0" w:after="120" w:line="360" w:lineRule="auto"/>
        <w:ind w:firstLine="709"/>
        <w:jc w:val="both"/>
      </w:pPr>
      <w:r>
        <w:rPr>
          <w:b/>
          <w:i w:val="0"/>
          <w:color w:val="12324A"/>
        </w:rPr>
        <w:t xml:space="preserve">Análise. </w:t>
      </w:r>
      <w:r>
        <w:rPr>
          <w:b w:val="0"/>
          <w:i w:val="0"/>
        </w:rPr>
        <w:t>O art. 6º, XVI, exige que o modelo de execução contratual responda às características da dedicação exclusiva, com fiscalização da distribuição e da jornada. A mistura de atividades pedagógicas e de apoio, sem delimitação, compromete o enquadramento e o dimensionamento das obrigações trabalhistas. Também sugere substituição de função de carreira (ver apontamento próprio).</w:t>
      </w:r>
    </w:p>
    <w:p>
      <w:pPr>
        <w:spacing w:before="0" w:after="120" w:line="360" w:lineRule="auto"/>
        <w:ind w:firstLine="709"/>
        <w:jc w:val="both"/>
      </w:pPr>
      <w:r>
        <w:rPr>
          <w:b/>
          <w:i w:val="0"/>
          <w:color w:val="B23A48"/>
        </w:rPr>
        <w:t xml:space="preserve">Risco de manutenção. </w:t>
      </w:r>
      <w:r>
        <w:rPr>
          <w:b w:val="0"/>
          <w:i w:val="0"/>
        </w:rPr>
        <w:t>Enquadramento impreciso gera repactuação mal dimensionada, discussões trabalhistas e responsabilização subsidiária ou solidária do Município (art. 121, §§ 2º e 3º).</w:t>
      </w:r>
    </w:p>
    <w:p>
      <w:pPr>
        <w:spacing w:before="0" w:after="120" w:line="360" w:lineRule="auto"/>
        <w:ind w:firstLine="709"/>
        <w:jc w:val="both"/>
      </w:pPr>
      <w:r>
        <w:rPr>
          <w:b/>
          <w:i w:val="0"/>
          <w:color w:val="12324A"/>
        </w:rPr>
        <w:t xml:space="preserve">Providência recomendada. </w:t>
      </w:r>
      <w:r>
        <w:rPr>
          <w:b w:val="0"/>
          <w:i w:val="0"/>
        </w:rPr>
        <w:t>Delimitar no TR as atribuições do posto, separando o apoio operacional (alimentação, higiene, segurança) das atividades pedagógicas. Retirar as tarefas docentes ou justificar sua terceirização. Registrar no TR o modelo de execução: postos, alocação por unidade, controle de jornada e de frequência, cobertura de ausências, vedação de subordinação direta e de pessoalidade. Uniformizar a denominação do objeto no edital, no TR e na minuta.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 Convenção coletiva da categoria correta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Planilha de custos e formação de preços (dedicação exclusiva de mão de obra), TR, itens 1.1 e 14 (páginas 52 e 76); Edital, item 12.12 (página 18); Anexo II, obs. 2 e 3 (páginas 45-46)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orçamento estimado (salário-base, encargos e benefícios) foi construído com a CCT do SEAC-RJ e do SINTACLUNS, que representam asseio e conservação (registro RJ 001105/2025), para o posto de Auxiliar de Desenvolvimento Infantil (CBO 3311-10, ambiente de creche e escola). É a hipótese que o roteiro qualifica como falha grave: convenção de categoria diversa da profissional a contratar. O edital (item 12.12) ainda impede salários inferiores aos "estimados neste Edital", o que transfere o erro para o piso de aceitabilidade. A CCT é descrita como de 2025-2026, enquanto o orçamento é de 27/07/2026, e a vigência e a data-base não foram demonstradas. Não há justificativa do enquadramento sindical no processo.</w:t>
      </w:r>
    </w:p>
    <w:p>
      <w:pPr>
        <w:spacing w:before="0" w:after="120" w:line="360" w:lineRule="auto"/>
        <w:ind w:firstLine="709"/>
        <w:jc w:val="both"/>
      </w:pPr>
      <w:r>
        <w:rPr>
          <w:b w:val="0"/>
          <w:i w:val="0"/>
        </w:rPr>
        <w:t>O documento dispõe: “formalizada pelo Sindicato das Empresas de Asseio e Conservação do Estado do Rio de Janeiro (SEAC/RJ)” (TR, itens 1.1 e 14 (páginas 52 e 76); Edital, item 12.12 (página 18); Anexo II, obs. 2 e 3 (páginas 45-46)).</w:t>
      </w:r>
    </w:p>
    <w:p>
      <w:pPr>
        <w:spacing w:before="0" w:after="80" w:line="360" w:lineRule="auto"/>
        <w:ind w:firstLine="709"/>
        <w:jc w:val="both"/>
      </w:pPr>
      <w:r>
        <w:rPr>
          <w:b/>
          <w:i w:val="0"/>
          <w:color w:val="12324A"/>
        </w:rPr>
        <w:t xml:space="preserve">Dispositivo aplicável. </w:t>
      </w:r>
      <w:r>
        <w:rPr>
          <w:b w:val="0"/>
          <w:i w:val="0"/>
        </w:rPr>
        <w:t>A matéria é disciplinada pelo art. 135, inciso II, pelo art. 135, § 5º, pelo art. 23 e pelo art. 63, § 1º, da Lei 14.133/2021, que assim dispõem:</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 ao acordo, à convenção coletiva ou ao dissídio coletivo ao qual a proposta esteja vinculada, para os custos de mão de obra.</w:t>
      </w:r>
      <w:r>
        <w:rPr>
          <w:b w:val="0"/>
          <w:i w:val="0"/>
          <w:sz w:val="20"/>
        </w:rPr>
        <w:t xml:space="preserve"> (BRASIL, 2021, art. 135, inciso II)</w:t>
      </w:r>
    </w:p>
    <w:p>
      <w:pPr>
        <w:spacing w:before="80" w:after="200" w:line="240" w:lineRule="auto"/>
        <w:ind w:firstLine="0" w:left="2268"/>
        <w:jc w:val="both"/>
      </w:pPr>
      <w:r>
        <w:rPr>
          <w:b w:val="0"/>
          <w:i w:val="0"/>
          <w:sz w:val="20"/>
        </w:rPr>
        <w:t>Quando a contratação envolver mais de uma categoria profissional, a repactuação a que se refere o inciso II do caput deste artigo poderá ser dividida em tantos quantos forem os acordos, convenções ou dissídios coletivos de trabalho das categorias envolvidas na contratação.</w:t>
      </w:r>
      <w:r>
        <w:rPr>
          <w:b w:val="0"/>
          <w:i w:val="0"/>
          <w:sz w:val="20"/>
        </w:rPr>
        <w:t xml:space="preserve"> (BRASIL, 2021, art. 135, § 5º)</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Pr>
          <w:b w:val="0"/>
          <w:i w:val="0"/>
          <w:sz w:val="20"/>
        </w:rPr>
        <w:t xml:space="preserve"> (BRASIL, 2021, art. 63, § 1º)</w:t>
      </w:r>
    </w:p>
    <w:p>
      <w:pPr>
        <w:spacing w:before="0" w:after="120" w:line="360" w:lineRule="auto"/>
        <w:ind w:firstLine="709"/>
        <w:jc w:val="both"/>
      </w:pPr>
      <w:r>
        <w:rPr>
          <w:b/>
          <w:i w:val="0"/>
          <w:color w:val="12324A"/>
        </w:rPr>
        <w:t xml:space="preserve">Análise. </w:t>
      </w:r>
      <w:r>
        <w:rPr>
          <w:b w:val="0"/>
          <w:i w:val="0"/>
        </w:rPr>
        <w:t>O art. 135, II, vincula a repactuação à convenção a que a proposta esteja vinculada, e o art. 23 exige valor estimado compatível com o mercado. Piso, benefícios, adicionais e encargos mudam conforme a categoria, de modo que o custo de todo o posto fica distorcido, para mais ou para menos. Isso afeta a aceitabilidade das propostas, a futura repactuação e a existência de sobrepreço (valor unitário de R$ 7.845,84 por posto).</w:t>
      </w:r>
    </w:p>
    <w:p>
      <w:pPr>
        <w:spacing w:before="0" w:after="120" w:line="360" w:lineRule="auto"/>
        <w:ind w:firstLine="709"/>
        <w:jc w:val="both"/>
      </w:pPr>
      <w:r>
        <w:rPr>
          <w:b/>
          <w:i w:val="0"/>
          <w:color w:val="B23A48"/>
        </w:rPr>
        <w:t xml:space="preserve">Risco de manutenção. </w:t>
      </w:r>
      <w:r>
        <w:rPr>
          <w:b w:val="0"/>
          <w:i w:val="0"/>
        </w:rPr>
        <w:t>Sobrepreço ou inexequibilidade, desclassificações indevidas, repactuações vinculadas a convenção inadequada e passivo trabalhista subsidiário. Como as propostas já foram recebidas, qualquer correção pode exigir republicação.</w:t>
      </w:r>
    </w:p>
    <w:p>
      <w:pPr>
        <w:spacing w:before="0" w:after="120" w:line="360" w:lineRule="auto"/>
        <w:ind w:firstLine="709"/>
        <w:jc w:val="both"/>
      </w:pPr>
      <w:r>
        <w:rPr>
          <w:b/>
          <w:i w:val="0"/>
          <w:color w:val="12324A"/>
        </w:rPr>
        <w:t xml:space="preserve">Providência recomendada. </w:t>
      </w:r>
      <w:r>
        <w:rPr>
          <w:b w:val="0"/>
          <w:i w:val="0"/>
        </w:rPr>
        <w:t>Identificar a categoria pela CBO e pelas atribuições e confirmar no Mediador/MTE a convenção aplicável (educação infantil, auxiliares de educação, ou outra pertinente) para a base territorial. Refazer a planilha e o orçamento com a CCT vigente em 27/07/2026, com sindicato, número de registro, vigência e data-base. Registrar no processo a justificativa do enquadramento. Rever o item 12.12 para que o piso decorra do orçamento corrigido. Manter a exigência de que a licitante informe seu enquadramento sindical e sua convenção na proposta, sem impor convenção específica.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orçamento estimado adotou a Convenção Coletiva de Trabalho [sindicato laboral] × [sindicato patronal], registro MTE nº [__], vigência [__], data-base [__], aplicável à categoria profissional [__] (CBO [__]), conforme justificativa de enquadramento sindical constante do processo (fls. __). As licitantes deverão indicar, na proposta, a convenção coletiva que rege a categoria dos empregados alocados ao contrato, com número de registro, vigência e data-base.</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Edital, itens E.2.2, E.7, E.10 (páginas 27-28); TR, itens 12.8, 12.9 e 24 (páginas 73-75 e 88)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Pontos regulares: a comprovação de gestão de mão de obra é de 50% dos postos (cerca de 218 dos 435), no limite do art. 67, § 2º; admite-se somatório de atestados concomitantes; a parcela de maior relevância é o próprio objeto. Pontos problemáticos: (1) E.10 exige atestados de "serviços similares" por no mínimo 36 meses, sem delimitar as características mínimas de similaridade e sem diferenciar do E.2. O edital invoca o § 5º do art. 67, dispositivo que não consta do texto legal fornecido; a exigência de tempo deve ser confrontada com a vedação de limitações de tempo do § 2º. (2) E.7 exige técnico de segurança do trabalho no quadro ou em compromisso, para atividade que o próprio TR classifica como de grau de risco 2, e a justificativa do TR é superficial. (3) O TR (item 24) exige "experiência prévia na prestação de serviços em ambientes educacionais ou instituições similares", exigência que não está no edital e restringiria os emissores dos atestados a um segmento. (4) O TR diz que os atestados devem ser emitidos após a conclusão ou um ano de execução, exigência ausente do edital. (5) Exige-se atestado em papel timbrado, carimbado e assinado, e documentos de formalismo excessivo.</w:t>
      </w:r>
    </w:p>
    <w:p>
      <w:pPr>
        <w:spacing w:before="0" w:after="120" w:line="360" w:lineRule="auto"/>
        <w:ind w:firstLine="709"/>
        <w:jc w:val="both"/>
      </w:pPr>
      <w:r>
        <w:rPr>
          <w:b w:val="0"/>
          <w:i w:val="0"/>
        </w:rPr>
        <w:t>O documento dispõe: “a execução de serviços similares, em períodos sucessivos ou não, pelo prazo mínimo de 36 (trinta e seis) meses” (Edital, itens E.2.2, E.7, E.10 (páginas 27-28); TR, itens 12.8, 12.9 e 24 (páginas 73-75 e 88)).</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e 2º, restringe a exigência de atestados às parcelas de maior relevância, com quantidades de até 50%, e veda limitações de tempo. Exigências sem delimitação objetiva ou sem justificativa restringem a competição e são das irregularidades mais apontadas em impugnações e representações.</w:t>
      </w:r>
    </w:p>
    <w:p>
      <w:pPr>
        <w:spacing w:before="0" w:after="120" w:line="360" w:lineRule="auto"/>
        <w:ind w:firstLine="709"/>
        <w:jc w:val="both"/>
      </w:pPr>
      <w:r>
        <w:rPr>
          <w:b/>
          <w:i w:val="0"/>
          <w:color w:val="B23A48"/>
        </w:rPr>
        <w:t xml:space="preserve">Risco de manutenção. </w:t>
      </w:r>
      <w:r>
        <w:rPr>
          <w:b w:val="0"/>
          <w:i w:val="0"/>
        </w:rPr>
        <w:t>Restrição à competitividade e impugnação, em contratação de R$ 40,9 milhões, com possibilidade de anulação.</w:t>
      </w:r>
    </w:p>
    <w:p>
      <w:pPr>
        <w:spacing w:before="0" w:after="120" w:line="360" w:lineRule="auto"/>
        <w:ind w:firstLine="709"/>
        <w:jc w:val="both"/>
      </w:pPr>
      <w:r>
        <w:rPr>
          <w:b/>
          <w:i w:val="0"/>
          <w:color w:val="12324A"/>
        </w:rPr>
        <w:t xml:space="preserve">Providência recomendada. </w:t>
      </w:r>
      <w:r>
        <w:rPr>
          <w:b w:val="0"/>
          <w:i w:val="0"/>
        </w:rPr>
        <w:t>Delimitar em E.10 as características mínimas do serviço similar (dedicação exclusiva, número de postos e natureza das funções). Justificar tecnicamente o prazo de 36 meses ou suprimi-lo, após conferir o texto do § 5º do art. 67. Justificar ou excluir a exigência de técnico de segurança do trabalho. Alinhar TR e edital, retirando do TR a exigência de ambiente educacional e a de emissão após um ano. Dispensar o formalismo de papel timbrado e carimbo. Justificar, no processo, as parcelas de maior relevância e o percentual de 50%.</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2">
        <w:r>
          <w:rPr>
            <w:color w:val="1F7A8C"/>
            <w:u w:val="single"/>
            <w:sz w:val="18"/>
          </w:rPr>
          <w:t xml:space="preserve">[fonte oficial]</w:t>
        </w:r>
      </w:hyperlink>
    </w:p>
    <w:p>
      <w:pPr>
        <w:spacing w:before="80" w:after="200" w:line="240" w:lineRule="auto"/>
        <w:ind w:firstLine="0" w:left="2268"/>
        <w:jc w:val="both"/>
      </w:pPr>
      <w:r>
        <w:rPr>
          <w:b w:val="0"/>
          <w:i w:val="0"/>
          <w:sz w:val="20"/>
        </w:rPr>
        <w:t>É irregular restringir, quando não tecnicamente justificado, os possíveis emissores de atestados de capacidade técnica a determinados segmentos econômicos, por afronta aos princípios da impessoalidade e da competitividade, pois a qualificação operacional da licitante deve ser aferida por parâmetros objetivos relacionados à sua experiência pregressa e à complexidade do objeto da licitação, e não pela natureza jurídica ou pelo ramo de atuação do emissor do atestado.</w:t>
      </w:r>
      <w:r>
        <w:rPr>
          <w:b w:val="0"/>
          <w:i w:val="0"/>
          <w:sz w:val="20"/>
        </w:rPr>
        <w:t xml:space="preserve"> (TCU, Acórdão 2215/2026-Plenário)</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3.4 Terceirização de atividades pedagógicas e risco de substituição de servidores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TR, itens 2, 2.1, 3.1 e 23 (páginas 54-56 e 86-88)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admite que a Secretaria "não dispõe de profissionais suficientes" e que a demanda "supera a capacidade operacional interna", e contrata terceirizados para funções que incluem avaliar e corrigir atividades dos alunos, ler textos, explicar atividades e conduzir atividades pedagógicas. Ao mesmo tempo, qualifica o serviço como "atividade meio" e declara que "não haverá concurso público" para esses cargos, com base em normas federais (Lei 9.632/98 e Decreto 9.507/2018) que não regem o Município. Há risco de superposição entre os terceirizados e os profissionais da carreira da educação, e de a terceirização cobrir a atividade-fim da unidade escolar.</w:t>
      </w:r>
    </w:p>
    <w:p>
      <w:pPr>
        <w:spacing w:before="0" w:after="120" w:line="360" w:lineRule="auto"/>
        <w:ind w:firstLine="709"/>
        <w:jc w:val="both"/>
      </w:pPr>
      <w:r>
        <w:rPr>
          <w:b w:val="0"/>
          <w:i w:val="0"/>
        </w:rPr>
        <w:t>O documento dispõe: “A Secretaria de Educação não dispõe de profissionais suficientes para garantir suporte contínuo nas unidades de Educação Infantil.” (TR, itens 2, 2.1, 3.1 e 23 (páginas 54-56 e 86-88)).</w:t>
      </w:r>
    </w:p>
    <w:p>
      <w:pPr>
        <w:spacing w:before="0" w:after="80" w:line="360" w:lineRule="auto"/>
        <w:ind w:firstLine="709"/>
        <w:jc w:val="both"/>
      </w:pPr>
      <w:r>
        <w:rPr>
          <w:b/>
          <w:i w:val="0"/>
          <w:color w:val="12324A"/>
        </w:rPr>
        <w:t xml:space="preserve">Dispositivo aplicável. </w:t>
      </w:r>
      <w:r>
        <w:rPr>
          <w:b w:val="0"/>
          <w:i w:val="0"/>
        </w:rPr>
        <w:t>A matéria é disciplinada pelo art. 6, inciso XVI, da Lei 14.133/2021, que assim dispõe:</w:t>
      </w:r>
    </w:p>
    <w:p>
      <w:pPr>
        <w:spacing w:before="80" w:after="200" w:line="240" w:lineRule="auto"/>
        <w:ind w:firstLine="0" w:left="2268"/>
        <w:jc w:val="both"/>
      </w:pPr>
      <w:r>
        <w:rPr>
          <w:b w:val="0"/>
          <w:i w:val="0"/>
          <w:sz w:val="20"/>
        </w:rPr>
        <w:t>Para os fins desta Lei, consideram-se: […] serviços contínuos com regime de dedicação exclusiva de mão de obra: aqueles cujo modelo de execução contratual exige, entre outros requisitos, que: […]</w:t>
      </w:r>
      <w:r>
        <w:rPr>
          <w:b w:val="0"/>
          <w:i w:val="0"/>
          <w:sz w:val="20"/>
        </w:rPr>
        <w:t xml:space="preserve"> (BRASIL, 2021, art. 6, inciso XVI)</w:t>
      </w:r>
    </w:p>
    <w:p>
      <w:pPr>
        <w:spacing w:before="0" w:after="120" w:line="360" w:lineRule="auto"/>
        <w:ind w:firstLine="709"/>
        <w:jc w:val="both"/>
      </w:pPr>
      <w:r>
        <w:rPr>
          <w:b/>
          <w:i w:val="0"/>
          <w:color w:val="12324A"/>
        </w:rPr>
        <w:t xml:space="preserve">Análise. </w:t>
      </w:r>
      <w:r>
        <w:rPr>
          <w:b w:val="0"/>
          <w:i w:val="0"/>
        </w:rPr>
        <w:t>A dedicação exclusiva pressupõe execução de serviço de apoio, sem pessoalidade e sem subordinação direta, e a terceirização para suprir déficit de pessoal em atividades finalísticas contraria a regra do concurso público (art. 37, II, da Constituição Federal). A fundamentação do TR, ancorada em normas federais e em texto padrão de outro objeto, não demonstra a viabilidade jurídica.</w:t>
      </w:r>
    </w:p>
    <w:p>
      <w:pPr>
        <w:spacing w:before="0" w:after="120" w:line="360" w:lineRule="auto"/>
        <w:ind w:firstLine="709"/>
        <w:jc w:val="both"/>
      </w:pPr>
      <w:r>
        <w:rPr>
          <w:b/>
          <w:i w:val="0"/>
          <w:color w:val="B23A48"/>
        </w:rPr>
        <w:t xml:space="preserve">Risco de manutenção. </w:t>
      </w:r>
      <w:r>
        <w:rPr>
          <w:b w:val="0"/>
          <w:i w:val="0"/>
        </w:rPr>
        <w:t>Questionamento pelos órgãos de controle e pelo Ministério Público, passivo trabalhista e responsabilidade de agentes por burla ao concurso público.</w:t>
      </w:r>
    </w:p>
    <w:p>
      <w:pPr>
        <w:spacing w:before="0" w:after="120" w:line="360" w:lineRule="auto"/>
        <w:ind w:firstLine="709"/>
        <w:jc w:val="both"/>
      </w:pPr>
      <w:r>
        <w:rPr>
          <w:b/>
          <w:i w:val="0"/>
          <w:color w:val="12324A"/>
        </w:rPr>
        <w:t xml:space="preserve">Providência recomendada. </w:t>
      </w:r>
      <w:r>
        <w:rPr>
          <w:b w:val="0"/>
          <w:i w:val="0"/>
        </w:rPr>
        <w:t>Submeter à assessoria jurídica e ao controle interno a análise da natureza das atividades. Limitar o objeto às tarefas de apoio, ou justificar de forma específica a base legal municipal da terceirização. Substituir a fundamentação federal por fundamentação aplicável ao Município.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Orçamento estimado sem composição de custos e sem pesquisa de preços demonstrada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TR, item 15 (página 77); Anexo I (página 43); Anexo A (páginas 47-50)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valor unitário de R$ 7.845,84 por posto (R$ 40,9 milhões no total) é informado sem a planilha de custos e formação de preços que o originou. O TR apenas afirma que o preço "foi estimado através de pesquisa de preço" feita pela Subsecretaria de Planejamento. A planilha do Anexo A está em branco. Não há cesta de preços, fontes ou critérios. Como o orçamento não é sigiloso, os licitantes e o controle deveriam poder examinar a composição. O valor por posto é elevado frente ao piso da categoria usada como base (asseio e conservação), o que, somado à categoria equivocada, é indício de sobrepreço que só a planilha pode afastar.</w:t>
      </w:r>
    </w:p>
    <w:p>
      <w:pPr>
        <w:spacing w:before="0" w:after="120" w:line="360" w:lineRule="auto"/>
        <w:ind w:firstLine="709"/>
        <w:jc w:val="both"/>
      </w:pPr>
      <w:r>
        <w:rPr>
          <w:b w:val="0"/>
          <w:i w:val="0"/>
        </w:rPr>
        <w:t>O documento dispõe: “foi estimado através de pesquisa de preço realizada pela Subsecretaria de Planejamento da Contratação” (TR, item 15 (página 77); Anexo I (página 43); Anexo A (páginas 47-50)).</w:t>
      </w:r>
    </w:p>
    <w:p>
      <w:pPr>
        <w:spacing w:before="0" w:after="80" w:line="360" w:lineRule="auto"/>
        <w:ind w:firstLine="709"/>
        <w:jc w:val="both"/>
      </w:pPr>
      <w:r>
        <w:rPr>
          <w:b/>
          <w:i w:val="0"/>
          <w:color w:val="12324A"/>
        </w:rPr>
        <w:t xml:space="preserve">Dispositivo aplicável. </w:t>
      </w:r>
      <w:r>
        <w:rPr>
          <w:b w:val="0"/>
          <w:i w:val="0"/>
        </w:rPr>
        <w:t>A matéria é disciplinada pelo art. 18, inciso IV e pelo art. 23,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0" w:after="120" w:line="360" w:lineRule="auto"/>
        <w:ind w:firstLine="709"/>
        <w:jc w:val="both"/>
      </w:pPr>
      <w:r>
        <w:rPr>
          <w:b/>
          <w:i w:val="0"/>
          <w:color w:val="12324A"/>
        </w:rPr>
        <w:t xml:space="preserve">Análise. </w:t>
      </w:r>
      <w:r>
        <w:rPr>
          <w:b w:val="0"/>
          <w:i w:val="0"/>
        </w:rPr>
        <w:t>O art. 18, IV, exige orçamento estimado com as composições dos preços utilizados, e o art. 23 exige valor compatível com o mercado, com base em bancos de dados públicos e nas peculiaridades locais. Sem composição documentada, não há como verificar sobrepreço ou conferir o critério de aceitabilidade (limite de preço do item 12.4, c).</w:t>
      </w:r>
    </w:p>
    <w:p>
      <w:pPr>
        <w:spacing w:before="0" w:after="120" w:line="360" w:lineRule="auto"/>
        <w:ind w:firstLine="709"/>
        <w:jc w:val="both"/>
      </w:pPr>
      <w:r>
        <w:rPr>
          <w:b/>
          <w:i w:val="0"/>
          <w:color w:val="B23A48"/>
        </w:rPr>
        <w:t xml:space="preserve">Risco de manutenção. </w:t>
      </w:r>
      <w:r>
        <w:rPr>
          <w:b w:val="0"/>
          <w:i w:val="0"/>
        </w:rPr>
        <w:t>Sobrepreço ou risco de superfaturamento, aceitação de propostas fora do mercado e impugnação por orçamento sem fundamento.</w:t>
      </w:r>
    </w:p>
    <w:p>
      <w:pPr>
        <w:spacing w:before="0" w:after="120" w:line="360" w:lineRule="auto"/>
        <w:ind w:firstLine="709"/>
        <w:jc w:val="both"/>
      </w:pPr>
      <w:r>
        <w:rPr>
          <w:b/>
          <w:i w:val="0"/>
          <w:color w:val="12324A"/>
        </w:rPr>
        <w:t xml:space="preserve">Providência recomendada. </w:t>
      </w:r>
      <w:r>
        <w:rPr>
          <w:b w:val="0"/>
          <w:i w:val="0"/>
        </w:rPr>
        <w:t>Juntar ao processo e ao edital a planilha analítica por módulo (remuneração, encargos, provisões, reposição, insumos, custos indiretos, tributos e lucro), com a convenção correta e as fontes da pesquisa de preços (contratações similares, painel de preços, cotações). Se houver alteração relevante, republicar.</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Itens de convenção que não vinculam a Administração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Anexo A à proposta, Submódulo 2.3 (página 48); Anexo II, obs. 7 (página 46); TR, item 14 (página 76)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modelo de planilha traz, como linhas do Submódulo 2.3, "Assistência Médica e Familiar", "Benefício Social Familiar" e "Contribuição Atvidade Sindical Patronal". Esses itens decorrem de cláusulas de convenção coletiva (benefícios e contribuição sindical patronal). O TR (item 14) manda compor o orçamento com "os encargos e benefícios" previstos na CCT do SEAC-RJ. A cláusula de não vinculação do art. 135, § 1º, só aparece no TR, no tópico da repactuação (item 18.2.3), e não orienta a formação das propostas nem a análise de aceitabilidade. O Submódulo 2.2 vem com percentuais pré-preenchidos (Salário Educação 2,5%, SESC/SESI 1,5%, SENAI/SENAC 1,0%, SEBRAE 0,6%, INCRA 0,2%) que não se aplicam a optantes do Simples, sem o edital dizer isso. A planilha de custos do orçamento estimado não foi apresentada, de modo que não é possível confirmar se há custos indevidos nela.</w:t>
      </w:r>
    </w:p>
    <w:p>
      <w:pPr>
        <w:spacing w:before="0" w:after="120" w:line="360" w:lineRule="auto"/>
        <w:ind w:firstLine="709"/>
        <w:jc w:val="both"/>
      </w:pPr>
      <w:r>
        <w:rPr>
          <w:b w:val="0"/>
          <w:i w:val="0"/>
        </w:rPr>
        <w:t>O documento dispõe: “Contribuição Atvidade Sindical Patronal” (Anexo A à proposta, Submódulo 2.3 (página 48); Anexo II, obs. 7 (página 46); TR, item 14 (página 76)).</w:t>
      </w:r>
    </w:p>
    <w:p>
      <w:pPr>
        <w:spacing w:before="0" w:after="80" w:line="360" w:lineRule="auto"/>
        <w:ind w:firstLine="709"/>
        <w:jc w:val="both"/>
      </w:pPr>
      <w:r>
        <w:rPr>
          <w:b/>
          <w:i w:val="0"/>
          <w:color w:val="12324A"/>
        </w:rPr>
        <w:t xml:space="preserve">Dispositivo aplicável. </w:t>
      </w:r>
      <w:r>
        <w:rPr>
          <w:b w:val="0"/>
          <w:i w:val="0"/>
        </w:rPr>
        <w:t>A matéria é disciplinada pelo art. 135, § 1º, da Lei 14.133/2021, que assim dispõe:</w:t>
      </w:r>
    </w:p>
    <w:p>
      <w:pPr>
        <w:spacing w:before="80" w:after="200" w:line="240" w:lineRule="auto"/>
        <w:ind w:firstLine="0" w:left="2268"/>
        <w:jc w:val="both"/>
      </w:pPr>
      <w:r>
        <w:rPr>
          <w:b w:val="0"/>
          <w:i w:val="0"/>
          <w:sz w:val="20"/>
        </w:rPr>
        <w:t>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r>
        <w:rPr>
          <w:b w:val="0"/>
          <w:i w:val="0"/>
          <w:sz w:val="20"/>
        </w:rPr>
        <w:t xml:space="preserve"> (BRASIL, 2021, art. 135, § 1º)</w:t>
      </w:r>
    </w:p>
    <w:p>
      <w:pPr>
        <w:spacing w:before="0" w:after="120" w:line="360" w:lineRule="auto"/>
        <w:ind w:firstLine="709"/>
        <w:jc w:val="both"/>
      </w:pPr>
      <w:r>
        <w:rPr>
          <w:b/>
          <w:i w:val="0"/>
          <w:color w:val="12324A"/>
        </w:rPr>
        <w:t xml:space="preserve">Análise. </w:t>
      </w:r>
      <w:r>
        <w:rPr>
          <w:b w:val="0"/>
          <w:i w:val="0"/>
        </w:rPr>
        <w:t>O art. 135, § 1º, afasta a vinculação da Administração a cláusulas coletivas sobre matéria não trabalhista, participação nos lucros ou direitos não previstos em lei. A contribuição sindical patronal e benefícios exclusivos de convenção não podem ser custo obrigatório nem motivo de desclassificação.</w:t>
      </w:r>
    </w:p>
    <w:p>
      <w:pPr>
        <w:spacing w:before="0" w:after="120" w:line="360" w:lineRule="auto"/>
        <w:ind w:firstLine="709"/>
        <w:jc w:val="both"/>
      </w:pPr>
      <w:r>
        <w:rPr>
          <w:b/>
          <w:i w:val="0"/>
          <w:color w:val="C9781E"/>
        </w:rPr>
        <w:t xml:space="preserve">Risco de manutenção. </w:t>
      </w:r>
      <w:r>
        <w:rPr>
          <w:b w:val="0"/>
          <w:i w:val="0"/>
        </w:rPr>
        <w:t>Custos indevidos elevam o preço e criam precedente para repactuações irregulares; desclassificação ilegal de propostas que omitam benefícios não obrigatórios.</w:t>
      </w:r>
    </w:p>
    <w:p>
      <w:pPr>
        <w:spacing w:before="0" w:after="120" w:line="360" w:lineRule="auto"/>
        <w:ind w:firstLine="709"/>
        <w:jc w:val="both"/>
      </w:pPr>
      <w:r>
        <w:rPr>
          <w:b/>
          <w:i w:val="0"/>
          <w:color w:val="12324A"/>
        </w:rPr>
        <w:t xml:space="preserve">Providência recomendada. </w:t>
      </w:r>
      <w:r>
        <w:rPr>
          <w:b w:val="0"/>
          <w:i w:val="0"/>
        </w:rPr>
        <w:t>Excluir do modelo e do orçamento a contribuição sindical patronal e os benefícios que não decorram de lei. Declarar no edital que a ausência de benefício previsto apenas em convenção não é causa de desclassificação. Prever que licitantes optantes do Simples excluam das planilhas as contribuições de que estejam dispensadas. Divulgar a planilha analítica do orçamento para conferência.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Administração não se vincula a cláusulas de acordos, convenções ou dissídios coletivos que tratem de matéria não trabalhista, de participação nos lucros ou resultados ou que estabeleçam direitos não previstos em lei (art. 135, § 1º, da Lei 14.133/2021). A não inclusão, na planilha, de benefícios ou contribuições previstos exclusivamente em norma coletiva e destinados aos empregados do contrato não será causa de desclassificação.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Nas contratações de serviços de terceirização, é irregular a desclassificação de licitante por não ter incluído em sua planilha de custos e formação de preços despesas com benefícios, previstos em convenção coletiva de trabalho, exclusivos aos empregados envolvidos na execução de tais contratos, por se tratar de exigência a que a Administração Pública está vedada de se vincular (art. 135, § 2º, da Lei 14.133/2021 e art. 6º, parágrafo único, da IN Seges-MPDG 5/2017).</w:t>
      </w:r>
      <w:r>
        <w:rPr>
          <w:b w:val="0"/>
          <w:i w:val="0"/>
          <w:sz w:val="20"/>
        </w:rPr>
        <w:t xml:space="preserve"> (TCU, Acórdão 1784/2024-Plenário)</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3.7 Conferência aritmética da planilha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Anexo I (página 43); Anexo A à proposta (páginas 47-50); Anexo I do TR – Memória de cálculo (páginas 93-96)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conta global confere: 435 postos × R$ 7.845,84 = R$ 3.412.940,40 por mês; × 12 meses = R$ 40.955.284,80, valor igual ao do edital (5.2), do TR e do PNCP. Os subtotais do modelo de planilha também fecham (13º + férias = 8,33% + 11,11% = 19,44%; encargos do Submódulo 2.2 somam 33,80%; módulo 3: 1,94% + 0,65% = 2,59%). Já a planilha do Anexo A está toda zerada e declarada "meramente ilustrativa". Não foi divulgada a composição analítica do valor unitário (R$ 7.845,84), e por isso não é possível conferir os módulos do orçamento. A memória de cálculo de quantitativos (435 = 90 + 73 + 96 + 76 + 100) fecha no quadro-base, mas a linha de totais por coluna (36, 33, 19, 40, 39, 40, 56, 33, 32, 59, 33, 35, 65) não pôde ser reconciliada com o quadro-base na extração do documento.</w:t>
      </w:r>
    </w:p>
    <w:p>
      <w:pPr>
        <w:spacing w:before="0" w:after="120" w:line="360" w:lineRule="auto"/>
        <w:ind w:firstLine="709"/>
        <w:jc w:val="both"/>
      </w:pPr>
      <w:r>
        <w:rPr>
          <w:b w:val="0"/>
          <w:i w:val="0"/>
        </w:rPr>
        <w:t>O documento dispõe: “OBS 5: A Planilha anexa à proposta-detalhe é meramente ilustrativa.” (Anexo I (página 43); Anexo A à proposta (páginas 47-50); Anexo I do TR – Memória de cálculo (páginas 93-96)).</w:t>
      </w:r>
    </w:p>
    <w:p>
      <w:pPr>
        <w:spacing w:before="0" w:after="80" w:line="360" w:lineRule="auto"/>
        <w:ind w:firstLine="709"/>
        <w:jc w:val="both"/>
      </w:pPr>
      <w:r>
        <w:rPr>
          <w:b/>
          <w:i w:val="0"/>
          <w:color w:val="12324A"/>
        </w:rPr>
        <w:t xml:space="preserve">Dispositivo aplicável. </w:t>
      </w:r>
      <w:r>
        <w:rPr>
          <w:b w:val="0"/>
          <w:i w:val="0"/>
        </w:rPr>
        <w:t>A matéria é disciplinada pelo art. 18, inciso IV, da Lei 14.133/2021, que assim dispõe:</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art. 18, IV, exige orçamento estimado com as composições dos preços utilizados. Sem a planilha analítica, não há como conferir a aritmética nem o critério de aceitabilidade, e o erro, se existir, vai direto ao preço de referência de R$ 40,9 milhões.</w:t>
      </w:r>
    </w:p>
    <w:p>
      <w:pPr>
        <w:spacing w:before="0" w:after="120" w:line="360" w:lineRule="auto"/>
        <w:ind w:firstLine="709"/>
        <w:jc w:val="both"/>
      </w:pPr>
      <w:r>
        <w:rPr>
          <w:b/>
          <w:i w:val="0"/>
          <w:color w:val="C9781E"/>
        </w:rPr>
        <w:t xml:space="preserve">Risco de manutenção. </w:t>
      </w:r>
      <w:r>
        <w:rPr>
          <w:b w:val="0"/>
          <w:i w:val="0"/>
        </w:rPr>
        <w:t>Erros de cálculo distorcem o valor estimado e o critério de aceitabilidade; dificultam a análise de exequibilidade e a repactuação futura.</w:t>
      </w:r>
    </w:p>
    <w:p>
      <w:pPr>
        <w:spacing w:before="0" w:after="120" w:line="360" w:lineRule="auto"/>
        <w:ind w:firstLine="709"/>
        <w:jc w:val="both"/>
      </w:pPr>
      <w:r>
        <w:rPr>
          <w:b/>
          <w:i w:val="0"/>
          <w:color w:val="12324A"/>
        </w:rPr>
        <w:t xml:space="preserve">Providência recomendada. </w:t>
      </w:r>
      <w:r>
        <w:rPr>
          <w:b w:val="0"/>
          <w:i w:val="0"/>
        </w:rPr>
        <w:t>Anexar ao edital a planilha de custos e formação de preços do orçamento estimado, em Excel e com fórmulas, com memória de cálculo de cada módulo. Conferir o quadro de totais por modalidade e turma da memória de quantitativos com o quadro-base de 435 postos. Explicitar que a planilha do Anexo A é o modelo de proposta, e não mera ilustração.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19.1 (página 34); TR, item 18.1.5 (página 82); Minuta, Cláusula Quinta (página 112)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(19.1) prevê reajuste após 12 meses contados da data do orçamento estimado, que consta como 27/07/2026 (Anexo I), com o IPCA (19.2). O TR (18.1.5), porém, conta o interregno dos insumos a partir da data limite para apresentação das propostas. A minuta de contrato (Cláusula Quinta) deixa em branco o prazo de meses e o índice ("_________ ( ) meses" e "Índice ________") e mantém comentários de modelo entre colchetes.</w:t>
      </w:r>
    </w:p>
    <w:p>
      <w:pPr>
        <w:spacing w:before="0" w:after="120" w:line="360" w:lineRule="auto"/>
        <w:ind w:firstLine="709"/>
        <w:jc w:val="both"/>
      </w:pPr>
      <w:r>
        <w:rPr>
          <w:b w:val="0"/>
          <w:i w:val="0"/>
        </w:rPr>
        <w:t>O documento dispõe: “a partir da data limite para apresentação das propostas constante do Edital.” (Edital, item 19.1 (página 34); TR, item 18.1.5 (página 82); Minuta, Cláusula Quinta (página 112)).</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25, § 7º, e o art. 92, § 3º, exigem índice de reajuste com data-base vinculada à data do orçamento estimado, independentemente do prazo do contrato. Regras divergentes entre edital, TR e minuta geram disputa sobre o termo inicial do reajuste. Pelo item 22.4, prevalece o edital, mas a contradição subsiste.</w:t>
      </w:r>
    </w:p>
    <w:p>
      <w:pPr>
        <w:spacing w:before="0" w:after="120" w:line="360" w:lineRule="auto"/>
        <w:ind w:firstLine="709"/>
        <w:jc w:val="both"/>
      </w:pPr>
      <w:r>
        <w:rPr>
          <w:b/>
          <w:i w:val="0"/>
          <w:color w:val="C9781E"/>
        </w:rPr>
        <w:t xml:space="preserve">Risco de manutenção. </w:t>
      </w:r>
      <w:r>
        <w:rPr>
          <w:b w:val="0"/>
          <w:i w:val="0"/>
        </w:rPr>
        <w:t>Reajuste pleiteado ou negado por critério divergente, com risco de pagamento indevido ou de reequilíbrio litigioso.</w:t>
      </w:r>
    </w:p>
    <w:p>
      <w:pPr>
        <w:spacing w:before="0" w:after="120" w:line="360" w:lineRule="auto"/>
        <w:ind w:firstLine="709"/>
        <w:jc w:val="both"/>
      </w:pPr>
      <w:r>
        <w:rPr>
          <w:b/>
          <w:i w:val="0"/>
          <w:color w:val="12324A"/>
        </w:rPr>
        <w:t xml:space="preserve">Providência recomendada. </w:t>
      </w:r>
      <w:r>
        <w:rPr>
          <w:b w:val="0"/>
          <w:i w:val="0"/>
        </w:rPr>
        <w:t>Uniformizar edital, TR e minuta: índice (IPCA ou outro justificado), data-base igual à data do orçamento estimado e interregno mínimo de um ano. Preencher a cláusula da minuta e retirar as instruções de modelo.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 com data-base na data do orçamento estimado (27/07/2026), observado o interregno mínimo de um ano, aplicando-se, aos custos de mão de obra, a repactuação prevista na cláusula [__].</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19.2, 19.2.1 e 19.2.2 (páginas 34-35); TR, item 18 (páginas 82-83)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reconhece a repactuação para o regime de dedicação exclusiva (19.2.1) e a vincula à convenção coletiva (19.2.2). Porém, o item 19.2 estabelece, de forma genérica, que "os preços" serão reajustados pelo IPCA, com fórmula única, antes de tratar da repactuação, o que pode ser lido como índice aplicável a todo o preço, inclusive à mão de obra. O TR separa corretamente (reajuste dos insumos por IPCA e repactuação da mão de obra, itens 18.1 e 18.2). A data da repactuação aparece de forma divergente: "data vinculada à apresentação das propostas" (edital 19.2.2) e "vigente à época da apresentação da proposta" (TR 18.2.1). Como a convenção indicada no orçamento é de outra categoria (ver plan-02), a repactuação ficaria vinculada a instrumento coletivo inadequado.</w:t>
      </w:r>
    </w:p>
    <w:p>
      <w:pPr>
        <w:spacing w:before="0" w:after="120" w:line="360" w:lineRule="auto"/>
        <w:ind w:firstLine="709"/>
        <w:jc w:val="both"/>
      </w:pPr>
      <w:r>
        <w:rPr>
          <w:b w:val="0"/>
          <w:i w:val="0"/>
        </w:rPr>
        <w:t>O documento dispõe: “Os preços serão reajustados de acordo com a variação do IPCA calculado por meio da seguinte fórmula:” (Edital, itens 19.2, 19.2.1 e 19.2.2 (páginas 34-35); TR, item 18 (páginas 82-83)).</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Em serviços contínuos com dedicação exclusiva, o art. 25, § 8º, II, o art. 92, § 4º, II, e o art. 135 impõem a repactuação mediante demonstração analítica, com data vinculada à convenção para a mão de obra. O índice só serve para os insumos não decorrentes da mão de obra.</w:t>
      </w:r>
    </w:p>
    <w:p>
      <w:pPr>
        <w:spacing w:before="0" w:after="120" w:line="360" w:lineRule="auto"/>
        <w:ind w:firstLine="709"/>
        <w:jc w:val="both"/>
      </w:pPr>
      <w:r>
        <w:rPr>
          <w:b/>
          <w:i w:val="0"/>
          <w:color w:val="C9781E"/>
        </w:rPr>
        <w:t xml:space="preserve">Risco de manutenção. </w:t>
      </w:r>
      <w:r>
        <w:rPr>
          <w:b w:val="0"/>
          <w:i w:val="0"/>
        </w:rPr>
        <w:t>Pagamentos desconectados dos custos reais e disputas na execução; reajuste duplicado da mão de obra.</w:t>
      </w:r>
    </w:p>
    <w:p>
      <w:pPr>
        <w:spacing w:before="0" w:after="120" w:line="360" w:lineRule="auto"/>
        <w:ind w:firstLine="709"/>
        <w:jc w:val="both"/>
      </w:pPr>
      <w:r>
        <w:rPr>
          <w:b/>
          <w:i w:val="0"/>
          <w:color w:val="12324A"/>
        </w:rPr>
        <w:t xml:space="preserve">Providência recomendada. </w:t>
      </w:r>
      <w:r>
        <w:rPr>
          <w:b w:val="0"/>
          <w:i w:val="0"/>
        </w:rPr>
        <w:t>Reescrever o item 19.2 para restringir o IPCA aos insumos (uniformes, materiais, equipamentos) e declarar que a mão de obra se submete exclusivamente à repactuação, com data-base na convenção da categoria a que a proposta se vincule. Replicar o texto na minuta (Cláusula Quinta) e retirar a fórmula genérica.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mão de obra será objeto de repactuação, mediante demonstração analítica da variação dos custos, com data vinculada à convenção coletiva da categoria a que a proposta esteja vinculada (art. 135, II, da Lei 14.133/2021). Os insumos não decorrentes da mão de obra serão reajustados pelo IPCA, com data-base na data do orçamento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B.1 a B.3 (páginas 21-23); TR, itens 12.7 e 12.7.1 (páginas 71-73)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Não há exigência de faturamento mínimo nem de índices de rentabilidade. O capital social ou patrimônio líquido mínimo está em 10% do valor estimado, limite do art. 69, § 4º (cerca de R$ 4,10 milhões). Pontos de atenção: (1) o edital exige ILG ≥ 1, ISG ≥ 1 e IE ≤ 1 sem justificativa no processo para cada índice (a justificativa do TR trata apenas do percentual de 10%). ISG e IE são o inverso um do outro e, portanto, redundantes. (2) Cumula-se capital circulante líquido de 16,66% do valor estimado (cerca de R$ 6,82 milhões) com o PL mínimo de 10%, também sem justificativa específica. (3) O TR (item 12.7) exige ainda o índice de liquidez corrente ≥ 1, que não consta do edital. (4) No item B.1.b o edital chama de "Índice de Liquidez Corrente" o índice de solvência geral. (5) O TR atribui ao TCU a validação do percentual de 10%, mas esse é o próprio teto legal e não dispensa a justificativa.</w:t>
      </w:r>
    </w:p>
    <w:p>
      <w:pPr>
        <w:spacing w:before="0" w:after="120" w:line="360" w:lineRule="auto"/>
        <w:ind w:firstLine="709"/>
        <w:jc w:val="both"/>
      </w:pPr>
      <w:r>
        <w:rPr>
          <w:b w:val="0"/>
          <w:i w:val="0"/>
        </w:rPr>
        <w:t>O documento dispõe: “Capital Circulante Líquido ou Capital de Giro (Ativo Circulante - Passivo circulante) de, no mínimo, 16,66%” (Edital, itens B.1 a B.3 (páginas 21-23); TR, itens 12.7 e 12.7.1 (páginas 71-73)).</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caput e § 5º, exige coeficientes e índices usuais, devidamente justificados no processo. A Súmula TCU 289 reforça a exigência de justificativa e de parâmetros atualizados de mercado. A cumulação de exigências não é, por si, vedada, mas depende de motivação compatível com o objeto.</w:t>
      </w:r>
    </w:p>
    <w:p>
      <w:pPr>
        <w:spacing w:before="0" w:after="120" w:line="360" w:lineRule="auto"/>
        <w:ind w:firstLine="709"/>
        <w:jc w:val="both"/>
      </w:pPr>
      <w:r>
        <w:rPr>
          <w:b/>
          <w:i w:val="0"/>
          <w:color w:val="C9781E"/>
        </w:rPr>
        <w:t xml:space="preserve">Risco de manutenção. </w:t>
      </w:r>
      <w:r>
        <w:rPr>
          <w:b w:val="0"/>
          <w:i w:val="0"/>
        </w:rPr>
        <w:t>Questionamento por exigências econômicas desproporcionais e restrição à participação em objeto de alto valor.</w:t>
      </w:r>
    </w:p>
    <w:p>
      <w:pPr>
        <w:spacing w:before="0" w:after="120" w:line="360" w:lineRule="auto"/>
        <w:ind w:firstLine="709"/>
        <w:jc w:val="both"/>
      </w:pPr>
      <w:r>
        <w:rPr>
          <w:b/>
          <w:i w:val="0"/>
          <w:color w:val="12324A"/>
        </w:rPr>
        <w:t xml:space="preserve">Providência recomendada. </w:t>
      </w:r>
      <w:r>
        <w:rPr>
          <w:b w:val="0"/>
          <w:i w:val="0"/>
        </w:rPr>
        <w:t>Incluir no processo a justificativa de cada índice e do capital circulante líquido, com base no mercado do objeto. Excluir a redundância entre ISG e IE. Alinhar edital e TR quanto ao índice de liquidez corrente e corrigir a denominação do índice B.1.b. Confirmar que a soma das exigências não restringe indevidamente a competição.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5">
        <w:r>
          <w:rPr>
            <w:color w:val="1F7A8C"/>
            <w:u w:val="single"/>
            <w:sz w:val="18"/>
          </w:rPr>
          <w:t xml:space="preserve">[fonte oficial]</w:t>
        </w:r>
      </w:hyperlink>
    </w:p>
    <w:p>
      <w:pPr>
        <w:spacing w:before="80" w:after="200" w:line="240" w:lineRule="auto"/>
        <w:ind w:firstLine="0" w:left="2268"/>
        <w:jc w:val="both"/>
      </w:pPr>
      <w:r>
        <w:rPr>
          <w:b w:val="0"/>
          <w:i w:val="0"/>
          <w:sz w:val="20"/>
        </w:rPr>
        <w:t>A exigência de capital social ou patrimônio líquido mínimos, disposta no art. 69, § 4º, da Lei 14.133/2021, não está condicionada apenas aos casos em que o licitante apresente índices contábeis iguais ou inferiores a 1 (um). Para fins de habilitação econômico-financeira, a Administração pode exigir dos licitantes, de forma cumulativa: i) declaração de compromissos assumidos (art. 69, § 3º, da mencionada lei); ii) índices de liquidez acima de 1 (um); iii) patrimônio líquido mínimo de até 10% do valor estimado da contratação; e iv) capital circulante mínimo em percentual suficiente para assegurar até dois meses de execução contratual sem nenhum pagamento por parte da Administração, devendo tais exigências ser devidamente motivadas nos atos preparatórios da contratação.</w:t>
      </w:r>
      <w:r>
        <w:rPr>
          <w:b w:val="0"/>
          <w:i w:val="0"/>
          <w:sz w:val="20"/>
        </w:rPr>
        <w:t xml:space="preserve"> (TCU, Acórdão 2724/2025-Plenário)</w:t>
      </w:r>
      <w:r>
        <w:rPr>
          <w:b w:val="0"/>
          <w:i w:val="0"/>
          <w:sz w:val="20"/>
        </w:rPr>
        <w:t xml:space="preserve"> </w:t>
      </w:r>
      <w:hyperlink r:id="rId16">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3.11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12 (páginas 67-68); Edital, itens 10.9, 12.5 e C.6 (páginas 11, 14-15 e 25-26)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corpo do edital aplica o tratamento favorecido a ME/EPP: declaração (10.9), empate ficto de 5% (12.5), regularidade fiscal tardia em 5 dias úteis (C.6). O TR (item 12), contudo, afirma que não será concedido tratamento diferenciado, com a única justificativa de "voluptuosidade do serviço e sua indivisibilidade". O edital ressalva apenas os casos do art. 4º, § 1º, da Lei 14.133 (item 12.8, observação). Em contratação que não é de obra ou serviço de engenharia e cujo valor excede o limite de EPP, o art. 4º, § 1º, II, não afasta o benefício. A justificativa do TR, além de contraditória, é insuficiente para o art. 49, III, da LC 123.</w:t>
      </w:r>
    </w:p>
    <w:p>
      <w:pPr>
        <w:spacing w:before="0" w:after="120" w:line="360" w:lineRule="auto"/>
        <w:ind w:firstLine="709"/>
        <w:jc w:val="both"/>
      </w:pPr>
      <w:r>
        <w:rPr>
          <w:b w:val="0"/>
          <w:i w:val="0"/>
        </w:rPr>
        <w:t>O documento dispõe: “Não será concedido tratamento diferenciado às microempresas ou empresas de pequeno porte, conforme previsto pelo art. 49, III da Lei complementar n.º 123” (TR, item 12 (páginas 67-68); Edital, itens 10.9, 12.5 e C.6 (páginas 11, 14-15 e 25-26)).</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determina a aplicação dos arts. 42 a 49 da LC 123 às licitações da Lei 14.133. A inconsistência entre edital e TR deixa dúvida sobre quais regras valem para ME/EPP, com risco de impugnação e de nulidade de etapas.</w:t>
      </w:r>
    </w:p>
    <w:p>
      <w:pPr>
        <w:spacing w:before="0" w:after="120" w:line="360" w:lineRule="auto"/>
        <w:ind w:firstLine="709"/>
        <w:jc w:val="both"/>
      </w:pPr>
      <w:r>
        <w:rPr>
          <w:b/>
          <w:i w:val="0"/>
          <w:color w:val="C9781E"/>
        </w:rPr>
        <w:t xml:space="preserve">Risco de manutenção. </w:t>
      </w:r>
      <w:r>
        <w:rPr>
          <w:b w:val="0"/>
          <w:i w:val="0"/>
        </w:rPr>
        <w:t>Impugnações de ME/EPP ou de empresas não enquadradas, com risco de nulidade de etapas.</w:t>
      </w:r>
    </w:p>
    <w:p>
      <w:pPr>
        <w:spacing w:before="0" w:after="120" w:line="360" w:lineRule="auto"/>
        <w:ind w:firstLine="709"/>
        <w:jc w:val="both"/>
      </w:pPr>
      <w:r>
        <w:rPr>
          <w:b/>
          <w:i w:val="0"/>
          <w:color w:val="12324A"/>
        </w:rPr>
        <w:t xml:space="preserve">Providência recomendada. </w:t>
      </w:r>
      <w:r>
        <w:rPr>
          <w:b w:val="0"/>
          <w:i w:val="0"/>
        </w:rPr>
        <w:t>Definir se haverá tratamento diferenciado. Se sim, retirar o trecho do TR. Se o Município entender que a hipótese do art. 49, III, da LC 123 se aplica, justificar de forma concreta e específica e ajustar o edital, e não só o TR.</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XII – Minuta de contrato (páginas 110-127)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integra o edital (Anexo XII) e traz as cláusulas principais: objeto, valor, pagamento, reajuste, reequilíbrio, execução, fiscalização, prazo, obrigações, recebimento, sanções, recursos, extinção, dotação e foro. Porém, é o modelo padrão do Município quase sem adaptação: (1) contém instruções de modelo não removidas, como "[Sendo o serviço por escopo...]" e "[No caso de regime de dedicação exclusiva...]", além de referência a "art. 518 do RGCAF"; (2) deixa em branco o prazo de reajuste e o índice, a vigência e o objeto; (3) não prevê matriz de riscos nem cláusula de garantia; (4) tem numeração salteada (inciso XVII seguido do XXII da Cláusula Décima), erro de digitação ("cwnto e vinte") e referências cruzadas equivocadas (a multa por extinção remete à "Cláusula Décima Sexta", e o Parágrafo Quarto da Cláusula Décima Sétima fala em desconto da garantia); (5) não traz a cláusula sobre as obrigações específicas do contrato de dedicação exclusiva (jornada, uniformes, postos) nem remete ao TR de forma fechada.</w:t>
      </w:r>
    </w:p>
    <w:p>
      <w:pPr>
        <w:spacing w:before="0" w:after="120" w:line="360" w:lineRule="auto"/>
        <w:ind w:firstLine="709"/>
        <w:jc w:val="both"/>
      </w:pPr>
      <w:r>
        <w:rPr>
          <w:b w:val="0"/>
          <w:i w:val="0"/>
        </w:rPr>
        <w:t>O documento dispõe: “[Sendo o serviço por escopo, incluir a seguinte previsão:]” (Anexo XII – Minuta de contrato (páginas 110-127)).</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92 exige cláusulas necessárias em todo contrato, e o art. 18, VI, exige a minuta como anexo. Cláusulas em branco, instruções de modelo e referências erradas geram lacunas na execução, na aplicação de sanções e no reajuste.</w:t>
      </w:r>
    </w:p>
    <w:p>
      <w:pPr>
        <w:spacing w:before="0" w:after="120" w:line="360" w:lineRule="auto"/>
        <w:ind w:firstLine="709"/>
        <w:jc w:val="both"/>
      </w:pPr>
      <w:r>
        <w:rPr>
          <w:b/>
          <w:i w:val="0"/>
          <w:color w:val="C9781E"/>
        </w:rPr>
        <w:t xml:space="preserve">Risco de manutenção. </w:t>
      </w:r>
      <w:r>
        <w:rPr>
          <w:b w:val="0"/>
          <w:i w:val="0"/>
        </w:rPr>
        <w:t>Lacuna contratual e dificuldade de aplicar reajuste, sanções e extinção, com contestações posteriores.</w:t>
      </w:r>
    </w:p>
    <w:p>
      <w:pPr>
        <w:spacing w:before="0" w:after="120" w:line="360" w:lineRule="auto"/>
        <w:ind w:firstLine="709"/>
        <w:jc w:val="both"/>
      </w:pPr>
      <w:r>
        <w:rPr>
          <w:b/>
          <w:i w:val="0"/>
          <w:color w:val="12324A"/>
        </w:rPr>
        <w:t xml:space="preserve">Providência recomendada. </w:t>
      </w:r>
      <w:r>
        <w:rPr>
          <w:b w:val="0"/>
          <w:i w:val="0"/>
        </w:rPr>
        <w:t>Preencher a minuta com os dados do certame (objeto, valor, vigência, reajuste e repactuação, índice e data-base). Excluir as instruções de modelo e as referências ao RGCAF. Corrigir a numeração e as remissões. Avaliar a inclusão da matriz de riscos e da cláusula de garantia ou da sua ausência. Conferir a minuta com os incisos do art. 92.</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8.8, 10.4, 12.4 h, 17.10, 18.5 (páginas 6, 10, 14, 32 e 34); TR, itens 11.16, 12.3 e 12.5.1 (páginas 66, 68-69); Anexo XI (página 109)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várias contradições e restos de modelo: (1) cooperativas: o item 8.8 as veda, mas o item 17.10 e o Anexo XI (opção "COOPERATIVA") continuam a regulá-las, e o item 10.4 trata de contribuição previdenciária sobre a proposta; (2) ME/EPP: o edital aplica o tratamento favorecido, enquanto o TR o nega (ver ed-10); (3) correção monetária por atraso de pagamento: Selic limitada a 12% ao ano no edital (18.5) e IPCA no TR (11.16); (4) reajuste: data-base do orçamento no edital e da proposta no TR (ver ed-02); (5) habilitação: o TR inclui requisitos de OSC/CEBAS (itens 12.5.1 e seguintes) e liquidez corrente, que o edital não traz, e o edital exige índices que o TR não menciona; (6) o item 12.4, alínea h, desclassifica proposta que "não tenha indicado a marca dos produtos cotados", regra de compra aplicada a um serviço; (7) o TR remete a itens que não correspondem (item 6 para obrigações, item 16 para habilitação) e contém trechos de outras contratações ("treinamento periódico dos porteiros", "valor global de cada equipamento", base na legislação federal de cargos); (8) o item 22.2 conta prazos em dias consecutivos; (9) validade da proposta de 60 dias da data da licitação (edital 7.3) ou da entrega ao pregoeiro (Anexo II); (10) o número da contratação no PNCP aparece como 469/2026 no preâmbulo, e o sistema informa 445/2026; (11) o Anexo II e o Anexo XI citam "Pregão ___/2025".</w:t>
      </w:r>
    </w:p>
    <w:p>
      <w:pPr>
        <w:spacing w:before="0" w:after="120" w:line="360" w:lineRule="auto"/>
        <w:ind w:firstLine="709"/>
        <w:jc w:val="both"/>
      </w:pPr>
      <w:r>
        <w:rPr>
          <w:b w:val="0"/>
          <w:i w:val="0"/>
        </w:rPr>
        <w:t>O documento dispõe: “Não será permitida a participação de sociedades cooperativas em razão da natureza do objeto do presente certame.” (Edital, itens 8.8, 10.4, 12.4 h, 17.10, 18.5 (páginas 6, 10, 14, 32 e 34); TR, itens 11.16, 12.3 e 12.5.1 (páginas 66, 68-69); Anexo XI (página 109)).</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edital claro quanto às regras de julgamento, habilitação, pagamento e penalidades, e o art. 18, IX, exige motivação circunstanciada das condições do edital. Regras contraditórias geram dúvida sobre como competir e julgar, motivam impugnações e podem anular atos do certame. O item 22.4 resolve o conflito em favor do edital, mas não elimina a insegurança.</w:t>
      </w:r>
    </w:p>
    <w:p>
      <w:pPr>
        <w:spacing w:before="0" w:after="120" w:line="360" w:lineRule="auto"/>
        <w:ind w:firstLine="709"/>
        <w:jc w:val="both"/>
      </w:pPr>
      <w:r>
        <w:rPr>
          <w:b/>
          <w:i w:val="0"/>
          <w:color w:val="C9781E"/>
        </w:rPr>
        <w:t xml:space="preserve">Risco de manutenção. </w:t>
      </w:r>
      <w:r>
        <w:rPr>
          <w:b w:val="0"/>
          <w:i w:val="0"/>
        </w:rPr>
        <w:t>Impugnações, recursos e nulidade de atos por divergência de regras; decisões diferentes conforme o documento consultado.</w:t>
      </w:r>
    </w:p>
    <w:p>
      <w:pPr>
        <w:spacing w:before="0" w:after="120" w:line="360" w:lineRule="auto"/>
        <w:ind w:firstLine="709"/>
        <w:jc w:val="both"/>
      </w:pPr>
      <w:r>
        <w:rPr>
          <w:b/>
          <w:i w:val="0"/>
          <w:color w:val="12324A"/>
        </w:rPr>
        <w:t xml:space="preserve">Providência recomendada. </w:t>
      </w:r>
      <w:r>
        <w:rPr>
          <w:b w:val="0"/>
          <w:i w:val="0"/>
        </w:rPr>
        <w:t>Revisar edital, TR e minuta em conjunto e fazer uma tabela única de regras (ME/EPP, cooperativas, reajuste e repactuação, correção monetária, habilitação, garantia, prazos). Excluir os trechos de modelo estranhos ao objeto e corrigir as remissões e numeração. Republicar o conjunto, se alterado.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Inabilitação do licitante por indisponibilidade de meio eletrônico de consulta da Administração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Edital, item 12.10, alínea f (página 17)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12.10, alínea f, isenta a Administração de responsabilidade pela indisponibilidade dos meios de consulta (SICAF e outros) e prevê que, nessa hipótese, "a licitante será inabilitada", transferindo ao licitante o risco de falha do sistema público.</w:t>
      </w:r>
    </w:p>
    <w:p>
      <w:pPr>
        <w:spacing w:before="0" w:after="120" w:line="360" w:lineRule="auto"/>
        <w:ind w:firstLine="709"/>
        <w:jc w:val="both"/>
      </w:pPr>
      <w:r>
        <w:rPr>
          <w:b w:val="0"/>
          <w:i w:val="0"/>
        </w:rPr>
        <w:t>O documento dispõe: “Na hipótese de ocorrer essa indisponibilidade, a licitante será inabilitada, mediante decisão motivada.” (Edital, item 12.10, alínea f (página 17)).</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inabilitação por circunstância alheia ao licitante contraria a finalidade da habilitação e a busca da proposta mais vantajosa, além do dever de saneamento e diligência do pregoeiro (itens 10.2.3 e 13.5 do próprio edital).</w:t>
      </w:r>
    </w:p>
    <w:p>
      <w:pPr>
        <w:spacing w:before="0" w:after="120" w:line="360" w:lineRule="auto"/>
        <w:ind w:firstLine="709"/>
        <w:jc w:val="both"/>
      </w:pPr>
      <w:r>
        <w:rPr>
          <w:b/>
          <w:i w:val="0"/>
          <w:color w:val="C9781E"/>
        </w:rPr>
        <w:t xml:space="preserve">Risco de manutenção. </w:t>
      </w:r>
      <w:r>
        <w:rPr>
          <w:b w:val="0"/>
          <w:i w:val="0"/>
        </w:rPr>
        <w:t>Inabilitação indevida, recursos e anulação do ato.</w:t>
      </w:r>
    </w:p>
    <w:p>
      <w:pPr>
        <w:spacing w:before="0" w:after="120" w:line="360" w:lineRule="auto"/>
        <w:ind w:firstLine="709"/>
        <w:jc w:val="both"/>
      </w:pPr>
      <w:r>
        <w:rPr>
          <w:b/>
          <w:i w:val="0"/>
          <w:color w:val="12324A"/>
        </w:rPr>
        <w:t xml:space="preserve">Providência recomendada. </w:t>
      </w:r>
      <w:r>
        <w:rPr>
          <w:b w:val="0"/>
          <w:i w:val="0"/>
        </w:rPr>
        <w:t>Substituir por regra de suspensão da sessão, diligência ou nova consulta, ou autorizar a apresentação dos documentos pelo licitante em prazo razoável.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Quantitativo de 435 postos sem demonstração dos parâmetros de dimensionamento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item 25 (página 90); Anexo I do TR – Memória de cálculo (páginas 93-96)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memória de cálculo adota 1 auxiliar por turma (maternal e pré-escola), 2 por turma mais 1 volante a cada 2 turmas (berçário), sem indicar a norma, o parâmetro pedagógico ou o estudo que justifica essas razões, nem a cobertura de turnos e jornada de 44 horas em turmas de tempo integral. O TR trata a estimativa de postos em termos genéricos. Os totais por coluna do quadro de unidades não puderam ser reconciliados na extração do documento.</w:t>
      </w:r>
    </w:p>
    <w:p>
      <w:pPr>
        <w:spacing w:before="0" w:after="120" w:line="360" w:lineRule="auto"/>
        <w:ind w:firstLine="709"/>
        <w:jc w:val="both"/>
      </w:pPr>
      <w:r>
        <w:rPr>
          <w:b w:val="0"/>
          <w:i w:val="0"/>
        </w:rPr>
        <w:t>O documento dispõe: “Estimativa de quantidade de postos de trabalho: Levantamento da quantidade de profissionais necessários para cobrir todos os turnos e dias da semana.” (TR, item 25 (página 90); Anexo I do TR – Memória de cálculo (páginas 93-96)).</w:t>
      </w:r>
    </w:p>
    <w:p>
      <w:pPr>
        <w:spacing w:before="0" w:after="80" w:line="360" w:lineRule="auto"/>
        <w:ind w:firstLine="709"/>
        <w:jc w:val="both"/>
      </w:pPr>
      <w:r>
        <w:rPr>
          <w:b/>
          <w:i w:val="0"/>
          <w:color w:val="12324A"/>
        </w:rPr>
        <w:t xml:space="preserve">Dispositivo aplicável. </w:t>
      </w:r>
      <w:r>
        <w:rPr>
          <w:b w:val="0"/>
          <w:i w:val="0"/>
        </w:rPr>
        <w:t>A matéria é disciplinada pelo art. 18, § 1º, inciso IV, da Lei 14.133/2021, que assim dispõe:</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art. 18, § 1º, IV, exige estimativas de quantidades acompanhadas de memórias de cálculo e documentos de suporte. Quantitativo sem parâmetro objetivo pode superdimensionar o contrato e o preço estimado.</w:t>
      </w:r>
    </w:p>
    <w:p>
      <w:pPr>
        <w:spacing w:before="0" w:after="120" w:line="360" w:lineRule="auto"/>
        <w:ind w:firstLine="709"/>
        <w:jc w:val="both"/>
      </w:pPr>
      <w:r>
        <w:rPr>
          <w:b/>
          <w:i w:val="0"/>
          <w:color w:val="C9781E"/>
        </w:rPr>
        <w:t xml:space="preserve">Risco de manutenção. </w:t>
      </w:r>
      <w:r>
        <w:rPr>
          <w:b w:val="0"/>
          <w:i w:val="0"/>
        </w:rPr>
        <w:t>Superdimensionamento de postos, sobrepreço e questionamento do controle.</w:t>
      </w:r>
    </w:p>
    <w:p>
      <w:pPr>
        <w:spacing w:before="0" w:after="120" w:line="360" w:lineRule="auto"/>
        <w:ind w:firstLine="709"/>
        <w:jc w:val="both"/>
      </w:pPr>
      <w:r>
        <w:rPr>
          <w:b/>
          <w:i w:val="0"/>
          <w:color w:val="12324A"/>
        </w:rPr>
        <w:t xml:space="preserve">Providência recomendada. </w:t>
      </w:r>
      <w:r>
        <w:rPr>
          <w:b w:val="0"/>
          <w:i w:val="0"/>
        </w:rPr>
        <w:t>Documentar a razão de postos por turma, a fonte do parâmetro e o número real de turmas e turnos por unidade. Revisar a memória de cálculo e a linha de totais.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Garantia de proposta e garantia contratual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16.1 e 16.2.1 (página 30); TR, itens 12.6 e 26 (páginas 76 e 91); Minuta, Cláusula Décima, XIV, e Cláusula Décima Sétima (páginas 118 e 125)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garantia de proposta está em 1% do valor estimado (cerca de R$ 409,5 mil), no limite do art. 58, § 1º. A garantia contratual não é exigida (16.1), o que é opção da Administração. Faltam, porém, as regras operacionais da garantia de proposta: modalidades concretas (o edital remete apenas a "modalidades admitidas pela legislação vigente"), prazo e forma de entrega no sistema eletrônico, devolução e hipóteses de execução. Também há incoerência: a minuta e o edital falam em "garantias contratuais" a manter hígidas (Cláusula Décima, XIV), em desconto de multa do valor da garantia e em devolução da garantia (Cláusula Décima Sétima), e o item 20.11 trata de recomposição da garantia, embora nenhuma garantia contratual seja exigida.</w:t>
      </w:r>
    </w:p>
    <w:p>
      <w:pPr>
        <w:spacing w:before="0" w:after="120" w:line="360" w:lineRule="auto"/>
        <w:ind w:firstLine="709"/>
        <w:jc w:val="both"/>
      </w:pPr>
      <w:r>
        <w:rPr>
          <w:b w:val="0"/>
          <w:i w:val="0"/>
        </w:rPr>
        <w:t>O documento dispõe: “a comprovação do recolhimento de garantia de proposta, como requisito de pré-habilitação, em valor correspondente a 1% (um por cento) do valor estimado da contratação” (Edital, itens 16.1 e 16.2.1 (página 30); TR, itens 12.6 e 26 (páginas 76 e 91); Minuta, Cláusula Décima, XIV, e Cláusula Décima Sétima (páginas 118 e 125)).</w:t>
      </w:r>
    </w:p>
    <w:p>
      <w:pPr>
        <w:spacing w:before="0" w:after="80" w:line="360" w:lineRule="auto"/>
        <w:ind w:firstLine="709"/>
        <w:jc w:val="both"/>
      </w:pPr>
      <w:r>
        <w:rPr>
          <w:b/>
          <w:i w:val="0"/>
          <w:color w:val="12324A"/>
        </w:rPr>
        <w:t xml:space="preserve">Dispositivo aplicável. </w:t>
      </w:r>
      <w:r>
        <w:rPr>
          <w:b w:val="0"/>
          <w:i w:val="0"/>
        </w:rPr>
        <w:t>A matéria é disciplinada pelo art. 58, § 1º e pelo art. 98, da Lei 14.133/2021, que assim dispõem:</w:t>
      </w:r>
    </w:p>
    <w:p>
      <w:pPr>
        <w:spacing w:before="80" w:after="200" w:line="240" w:lineRule="auto"/>
        <w:ind w:firstLine="0" w:left="2268"/>
        <w:jc w:val="both"/>
      </w:pPr>
      <w:r>
        <w:rPr>
          <w:b w:val="0"/>
          <w:i w:val="0"/>
          <w:sz w:val="20"/>
        </w:rPr>
        <w:t>A garantia de proposta não poderá ser superior a 1% (um por cento) do valor estimado para a contratação.</w:t>
      </w:r>
      <w:r>
        <w:rPr>
          <w:b w:val="0"/>
          <w:i w:val="0"/>
          <w:sz w:val="20"/>
        </w:rPr>
        <w:t xml:space="preserve"> (BRASIL, 2021, art. 58, § 1º)</w:t>
      </w:r>
    </w:p>
    <w:p>
      <w:pPr>
        <w:spacing w:before="80" w:after="200" w:line="240" w:lineRule="auto"/>
        <w:ind w:firstLine="0" w:left="2268"/>
        <w:jc w:val="both"/>
      </w:pPr>
      <w:r>
        <w:rPr>
          <w:b w:val="0"/>
          <w:i w:val="0"/>
          <w:sz w:val="20"/>
        </w:rPr>
        <w:t>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r>
        <w:rPr>
          <w:b w:val="0"/>
          <w:i w:val="0"/>
          <w:sz w:val="20"/>
        </w:rPr>
        <w:t xml:space="preserve"> (BRASIL, 2021, art. 98)</w:t>
      </w:r>
    </w:p>
    <w:p>
      <w:pPr>
        <w:spacing w:before="0" w:after="120" w:line="360" w:lineRule="auto"/>
        <w:ind w:firstLine="709"/>
        <w:jc w:val="both"/>
      </w:pPr>
      <w:r>
        <w:rPr>
          <w:b/>
          <w:i w:val="0"/>
          <w:color w:val="12324A"/>
        </w:rPr>
        <w:t xml:space="preserve">Análise. </w:t>
      </w:r>
      <w:r>
        <w:rPr>
          <w:b w:val="0"/>
          <w:i w:val="0"/>
        </w:rPr>
        <w:t>O art. 58 e o art. 98 limitam os percentuais, e a clareza das regras evita impugnações e erros na proposta. A referência a garantia inexistente cria ambiguidade sobre o que a Administração pode executar ou exigir.</w:t>
      </w:r>
    </w:p>
    <w:p>
      <w:pPr>
        <w:spacing w:before="0" w:after="120" w:line="360" w:lineRule="auto"/>
        <w:ind w:firstLine="709"/>
        <w:jc w:val="both"/>
      </w:pPr>
      <w:r>
        <w:rPr>
          <w:b/>
          <w:i w:val="0"/>
          <w:color w:val="3D8FA6"/>
        </w:rPr>
        <w:t xml:space="preserve">Risco de manutenção. </w:t>
      </w:r>
      <w:r>
        <w:rPr>
          <w:b w:val="0"/>
          <w:i w:val="0"/>
        </w:rPr>
        <w:t>Inabilitação de licitantes por insegurança sobre a garantia de proposta e discussão sobre a execução de garantia inexistente.</w:t>
      </w:r>
    </w:p>
    <w:p>
      <w:pPr>
        <w:spacing w:before="0" w:after="120" w:line="360" w:lineRule="auto"/>
        <w:ind w:firstLine="709"/>
        <w:jc w:val="both"/>
      </w:pPr>
      <w:r>
        <w:rPr>
          <w:b/>
          <w:i w:val="0"/>
          <w:color w:val="12324A"/>
        </w:rPr>
        <w:t xml:space="preserve">Providência recomendada. </w:t>
      </w:r>
      <w:r>
        <w:rPr>
          <w:b w:val="0"/>
          <w:i w:val="0"/>
        </w:rPr>
        <w:t>Detalhar a garantia de proposta (modalidades, prazo, devolução e execução) ou dispensá-la, ponderando seu efeito sobre a competição em pregão. Retirar da minuta e do edital as referências a garantia contratual, ou passar a exigi-la, com percentual até 5% (ou até 10%, com justificativa), dado o grande número de postos.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3.17 Participação em consórcio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item 8.9 (página 6); TR, item 12.4 (página 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vedação existe no edital (8.9) e é justificada no TR (12.4): gestão centralizada, padronização, resposta uniforme e risco de fragmentação de responsabilidades. A justificativa é genérica, sem demonstração de que o consórcio prejudicaria a execução de um objeto simples (apoio operacional) de 435 postos, nem exame do efeito da vedação sobre a competição em contratação de R$ 40,9 milhões. A vedação a cooperativas também cita o art. 16, que trata das condições de participação delas.</w:t>
      </w:r>
    </w:p>
    <w:p>
      <w:pPr>
        <w:spacing w:before="0" w:after="120" w:line="360" w:lineRule="auto"/>
        <w:ind w:firstLine="709"/>
        <w:jc w:val="both"/>
      </w:pPr>
      <w:r>
        <w:rPr>
          <w:b w:val="0"/>
          <w:i w:val="0"/>
        </w:rPr>
        <w:t>O documento dispõe: “Não será permitida a participação em consórcio.” (Edital, item 8.9 (página 6); TR, item 12.4 (página 68)).</w:t>
      </w:r>
    </w:p>
    <w:p>
      <w:pPr>
        <w:spacing w:before="0" w:after="80" w:line="360" w:lineRule="auto"/>
        <w:ind w:firstLine="709"/>
        <w:jc w:val="both"/>
      </w:pPr>
      <w:r>
        <w:rPr>
          <w:b/>
          <w:i w:val="0"/>
          <w:color w:val="12324A"/>
        </w:rPr>
        <w:t xml:space="preserve">Dispositivo aplicável. </w:t>
      </w:r>
      <w:r>
        <w:rPr>
          <w:b w:val="0"/>
          <w:i w:val="0"/>
        </w:rPr>
        <w:t>A matéria é disciplinada pelo art. 15, da Lei 14.133/2021, que assim dispõe:</w:t>
      </w:r>
    </w:p>
    <w:p>
      <w:pPr>
        <w:spacing w:before="80" w:after="200" w:line="240" w:lineRule="auto"/>
        <w:ind w:firstLine="0" w:left="2268"/>
        <w:jc w:val="both"/>
      </w:pPr>
      <w:r>
        <w:rPr>
          <w:b w:val="0"/>
          <w:i w:val="0"/>
          <w:sz w:val="20"/>
        </w:rPr>
        <w:t>Salvo vedação devidamente justificada no processo licitatório, pessoa jurídica poderá participar de licitação em consórcio, observadas as seguintes normas: […]</w:t>
      </w:r>
      <w:r>
        <w:rPr>
          <w:b w:val="0"/>
          <w:i w:val="0"/>
          <w:sz w:val="20"/>
        </w:rPr>
        <w:t xml:space="preserve"> (BRASIL, 2021, art. 15)</w:t>
      </w:r>
    </w:p>
    <w:p>
      <w:pPr>
        <w:spacing w:before="0" w:after="120" w:line="360" w:lineRule="auto"/>
        <w:ind w:firstLine="709"/>
        <w:jc w:val="both"/>
      </w:pPr>
      <w:r>
        <w:rPr>
          <w:b/>
          <w:i w:val="0"/>
          <w:color w:val="12324A"/>
        </w:rPr>
        <w:t xml:space="preserve">Análise. </w:t>
      </w:r>
      <w:r>
        <w:rPr>
          <w:b w:val="0"/>
          <w:i w:val="0"/>
        </w:rPr>
        <w:t>O art. 15 admite a vedação a consórcio quando devidamente justificada no processo. Em objeto de grande porte, a vedação reduz o universo de licitantes e merece motivação mais concreta, inclusive sobre a divisibilidade do objeto.</w:t>
      </w:r>
    </w:p>
    <w:p>
      <w:pPr>
        <w:spacing w:before="0" w:after="120" w:line="360" w:lineRule="auto"/>
        <w:ind w:firstLine="709"/>
        <w:jc w:val="both"/>
      </w:pPr>
      <w:r>
        <w:rPr>
          <w:b/>
          <w:i w:val="0"/>
          <w:color w:val="3D8FA6"/>
        </w:rPr>
        <w:t xml:space="preserve">Risco de manutenção. </w:t>
      </w:r>
      <w:r>
        <w:rPr>
          <w:b w:val="0"/>
          <w:i w:val="0"/>
        </w:rPr>
        <w:t>Impugnação por restrição indevida à competição.</w:t>
      </w:r>
    </w:p>
    <w:p>
      <w:pPr>
        <w:spacing w:before="0" w:after="120" w:line="360" w:lineRule="auto"/>
        <w:ind w:firstLine="709"/>
        <w:jc w:val="both"/>
      </w:pPr>
      <w:r>
        <w:rPr>
          <w:b/>
          <w:i w:val="0"/>
          <w:color w:val="12324A"/>
        </w:rPr>
        <w:t xml:space="preserve">Providência recomendada. </w:t>
      </w:r>
      <w:r>
        <w:rPr>
          <w:b w:val="0"/>
          <w:i w:val="0"/>
        </w:rPr>
        <w:t>Reforçar a motivação com elementos concretos do objeto e do mercado (ou admitir consórcio, com as regras do art. 15), e fazer constar a justificativa no ETP ou no TR de forma vinculada ao edital.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3.18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1.7 a 1.9 (páginas 2-3)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pedidos de esclarecimento e as impugnações podem ser feitos até 3 dias úteis antes da abertura, e a resposta aos esclarecimentos segue o prazo e o limite legais, com divulgação pelo sistema. Gaps: (1) o item 1.8.1 repete o prazo de 3 dias úteis para decidir a impugnação, mas não traz o limite do último dia útil anterior à abertura nem o dever de divulgá-la; (2) o item 1.8.2 atribui efeito suspensivo automático à impugnação, regra que a lei não prevê, e o item 1.9 faz a licitação não prosseguir até todas as respostas; (3) o canal é um e-mail do tipo gmail (maricacpl@gmail.com), em vez de um canal oficial ou do sistema.</w:t>
      </w:r>
    </w:p>
    <w:p>
      <w:pPr>
        <w:spacing w:before="0" w:after="120" w:line="360" w:lineRule="auto"/>
        <w:ind w:firstLine="709"/>
        <w:jc w:val="both"/>
      </w:pPr>
      <w:r>
        <w:rPr>
          <w:b w:val="0"/>
          <w:i w:val="0"/>
        </w:rPr>
        <w:t>O documento dispõe: “A impugnação possui efeito suspensivo até que sobrevenha decisão final da autoridade competente.” (Edital, itens 1.7 a 1.9 (páginas 2-3)).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exige divulgação da resposta em sítio oficial no prazo de até 3 dias úteis, limitado ao último dia útil anterior à abertura. O efeito suspensivo automático, não previsto na lei, é uma opção do edital que pode tumultuar a data da sessão.</w:t>
      </w:r>
    </w:p>
    <w:p>
      <w:pPr>
        <w:spacing w:before="0" w:after="120" w:line="360" w:lineRule="auto"/>
        <w:ind w:firstLine="709"/>
        <w:jc w:val="both"/>
      </w:pPr>
      <w:r>
        <w:rPr>
          <w:b/>
          <w:i w:val="0"/>
          <w:color w:val="3D8FA6"/>
        </w:rPr>
        <w:t xml:space="preserve">Risco de manutenção. </w:t>
      </w:r>
      <w:r>
        <w:rPr>
          <w:b w:val="0"/>
          <w:i w:val="0"/>
        </w:rPr>
        <w:t>Cerceamento do direito de impugnar e adiamento indevido do certame.</w:t>
      </w:r>
    </w:p>
    <w:p>
      <w:pPr>
        <w:spacing w:before="0" w:after="120" w:line="360" w:lineRule="auto"/>
        <w:ind w:firstLine="709"/>
        <w:jc w:val="both"/>
      </w:pPr>
      <w:r>
        <w:rPr>
          <w:b/>
          <w:i w:val="0"/>
          <w:color w:val="12324A"/>
        </w:rPr>
        <w:t xml:space="preserve">Providência recomendada. </w:t>
      </w:r>
      <w:r>
        <w:rPr>
          <w:b w:val="0"/>
          <w:i w:val="0"/>
        </w:rPr>
        <w:t>Replicar integralmente o prazo, o limite e a divulgação oficial no item 1.8.1. Reavaliar o efeito suspensivo automático do item 1.8.2. Indicar canal institucional (sistema ou e-mail oficial) para os pedidos.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3.19 Recursos administrativos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14.3 a 14.7 (páginas 28-29)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manifestação imediata de intenção de recorrer, prazo de 3 dias úteis para razões e contrarrazões, vista dos elementos e efeito suspensivo, em conformidade com o art. 165. Há dois desvios: (1) o item 14.5 manda analisar o recurso pela "síntese das razões" apresentada na sessão se não houver razões escritas, o que não tem base legal e esvazia o prazo de razões; (2) o item 14.6 manda a autoridade superior decidir no "mesmo prazo" (3 dias úteis), quando a lei fixa 10 dias úteis para a autoridade superior decidir.</w:t>
      </w:r>
    </w:p>
    <w:p>
      <w:pPr>
        <w:spacing w:before="0" w:after="120" w:line="360" w:lineRule="auto"/>
        <w:ind w:firstLine="709"/>
        <w:jc w:val="both"/>
      </w:pPr>
      <w:r>
        <w:rPr>
          <w:b w:val="0"/>
          <w:i w:val="0"/>
        </w:rPr>
        <w:t>O documento dispõe: “a análise do recurso pela síntese das razões apresentadas na sessão pública” (Edital, itens 14.3 a 14.7 (páginas 28-29)).</w:t>
      </w:r>
    </w:p>
    <w:p>
      <w:pPr>
        <w:spacing w:before="0" w:after="80" w:line="360" w:lineRule="auto"/>
        <w:ind w:firstLine="709"/>
        <w:jc w:val="both"/>
      </w:pPr>
      <w:r>
        <w:rPr>
          <w:b/>
          <w:i w:val="0"/>
          <w:color w:val="12324A"/>
        </w:rPr>
        <w:t xml:space="preserve">Dispositivo aplicável. </w:t>
      </w:r>
      <w:r>
        <w:rPr>
          <w:b w:val="0"/>
          <w:i w:val="0"/>
        </w:rPr>
        <w:t>A matéria é disciplinada pelo art. 165, inciso I e pelo art. 165, § 1º, da Lei 14.133/2021, que assim dispõem:</w:t>
      </w:r>
    </w:p>
    <w:p>
      <w:pPr>
        <w:spacing w:before="80" w:after="200" w:line="240" w:lineRule="auto"/>
        <w:ind w:firstLine="0" w:left="2268"/>
        <w:jc w:val="both"/>
      </w:pPr>
      <w:r>
        <w:rPr>
          <w:b w:val="0"/>
          <w:i w:val="0"/>
          <w:sz w:val="20"/>
        </w:rPr>
        <w:t>Dos atos da Administração decorrentes da aplicação desta Lei cabem: […] recurso, no prazo de 3 (três) dias úteis, contado da data de intimação ou de lavratura da ata, em face de: […]</w:t>
      </w:r>
      <w:r>
        <w:rPr>
          <w:b w:val="0"/>
          <w:i w:val="0"/>
          <w:sz w:val="20"/>
        </w:rPr>
        <w:t xml:space="preserve"> (BRASIL, 2021, art. 165, inciso I)</w:t>
      </w:r>
    </w:p>
    <w:p>
      <w:pPr>
        <w:spacing w:before="80" w:after="200" w:line="240" w:lineRule="auto"/>
        <w:ind w:firstLine="0" w:left="2268"/>
        <w:jc w:val="both"/>
      </w:pPr>
      <w:r>
        <w:rPr>
          <w:b w:val="0"/>
          <w:i w:val="0"/>
          <w:sz w:val="20"/>
        </w:rPr>
        <w:t>Quanto ao recurso apresentado em virtude do disposto nas alíneas “b” e “c” do inciso I do caput deste artigo, serão observadas as seguintes disposições: […]</w:t>
      </w:r>
      <w:r>
        <w:rPr>
          <w:b w:val="0"/>
          <w:i w:val="0"/>
          <w:sz w:val="20"/>
        </w:rPr>
        <w:t xml:space="preserve"> (BRASIL, 2021, art. 165, § 1º)</w:t>
      </w:r>
    </w:p>
    <w:p>
      <w:pPr>
        <w:spacing w:before="0" w:after="120" w:line="360" w:lineRule="auto"/>
        <w:ind w:firstLine="709"/>
        <w:jc w:val="both"/>
      </w:pPr>
      <w:r>
        <w:rPr>
          <w:b/>
          <w:i w:val="0"/>
          <w:color w:val="12324A"/>
        </w:rPr>
        <w:t xml:space="preserve">Análise. </w:t>
      </w:r>
      <w:r>
        <w:rPr>
          <w:b w:val="0"/>
          <w:i w:val="0"/>
        </w:rPr>
        <w:t>O art. 165, I e § 1º, regula a intenção de recorrer e o prazo de 3 dias úteis. A decisão sem as razões escritas dificulta a motivação, e o prazo fixado de forma divergente da lei será descumprido na prática.</w:t>
      </w:r>
    </w:p>
    <w:p>
      <w:pPr>
        <w:spacing w:before="0" w:after="120" w:line="360" w:lineRule="auto"/>
        <w:ind w:firstLine="709"/>
        <w:jc w:val="both"/>
      </w:pPr>
      <w:r>
        <w:rPr>
          <w:b/>
          <w:i w:val="0"/>
          <w:color w:val="3D8FA6"/>
        </w:rPr>
        <w:t xml:space="preserve">Risco de manutenção. </w:t>
      </w:r>
      <w:r>
        <w:rPr>
          <w:b w:val="0"/>
          <w:i w:val="0"/>
        </w:rPr>
        <w:t>Nulidade de decisão recursal e discussão de prazo.</w:t>
      </w:r>
    </w:p>
    <w:p>
      <w:pPr>
        <w:spacing w:before="0" w:after="120" w:line="360" w:lineRule="auto"/>
        <w:ind w:firstLine="709"/>
        <w:jc w:val="both"/>
      </w:pPr>
      <w:r>
        <w:rPr>
          <w:b/>
          <w:i w:val="0"/>
          <w:color w:val="12324A"/>
        </w:rPr>
        <w:t xml:space="preserve">Providência recomendada. </w:t>
      </w:r>
      <w:r>
        <w:rPr>
          <w:b w:val="0"/>
          <w:i w:val="0"/>
        </w:rPr>
        <w:t>Substituir o item 14.5 por regra de não conhecimento do recurso sem razões no prazo. Ajustar o item 14.6 para prever o prazo legal de decisão da autoridade superior.</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3.20 Exigência de via física original ou autenticada e de firma reconhecida em processo eletrônico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itens 12.14 (página 18) e 17.3 (página 31)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12.14 exige da vencedora, no prazo de 2 dias úteis, a via física original ou autenticada dos documentos enviados em cópia simples ou sem informações de autenticidade, e o item 17.3 exige procuração com firma reconhecida para assinatura do contrato.</w:t>
      </w:r>
    </w:p>
    <w:p>
      <w:pPr>
        <w:spacing w:before="0" w:after="120" w:line="360" w:lineRule="auto"/>
        <w:ind w:firstLine="709"/>
        <w:jc w:val="both"/>
      </w:pPr>
      <w:r>
        <w:rPr>
          <w:b w:val="0"/>
          <w:i w:val="0"/>
        </w:rPr>
        <w:t>O documento dispõe: “a via física original ou autenticada, no prazo de 2 (dois) dias úteis” (Edital, itens 12.14 (página 18) e 17.3 (página 31)).</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Em licitação eletrônica, os documentos digitais com verificação de autenticidade devem bastar. A exigência cria barreira e risco de inabilitação por formalismo.</w:t>
      </w:r>
    </w:p>
    <w:p>
      <w:pPr>
        <w:spacing w:before="0" w:after="120" w:line="360" w:lineRule="auto"/>
        <w:ind w:firstLine="709"/>
        <w:jc w:val="both"/>
      </w:pPr>
      <w:r>
        <w:rPr>
          <w:b/>
          <w:i w:val="0"/>
          <w:color w:val="3D8FA6"/>
        </w:rPr>
        <w:t xml:space="preserve">Risco de manutenção. </w:t>
      </w:r>
      <w:r>
        <w:rPr>
          <w:b w:val="0"/>
          <w:i w:val="0"/>
        </w:rPr>
        <w:t>Inabilitação indevida e restrição à participação de empresas de fora do Município.</w:t>
      </w:r>
    </w:p>
    <w:p>
      <w:pPr>
        <w:spacing w:before="0" w:after="120" w:line="360" w:lineRule="auto"/>
        <w:ind w:firstLine="709"/>
        <w:jc w:val="both"/>
      </w:pPr>
      <w:r>
        <w:rPr>
          <w:b/>
          <w:i w:val="0"/>
          <w:color w:val="12324A"/>
        </w:rPr>
        <w:t xml:space="preserve">Providência recomendada. </w:t>
      </w:r>
      <w:r>
        <w:rPr>
          <w:b w:val="0"/>
          <w:i w:val="0"/>
        </w:rPr>
        <w:t>Aceitar documentos digitais com meio de verificação de autenticidade e assinatura eletrônica qualificada, e só exigir original diante de dúvida fundada, mediante diligência.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3.21 Certidão de IPTU exigida apenas de licitantes domiciliadas em Maricá</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itens C.3.c.1 e C.4 (página 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C.3.c.1 exige certidão de IPTU (ou declaração de não propriedade do imóvel da sede) das licitantes domiciliadas em Maricá, e o item C.4 estende a exigência à filial ou escritório local de licitante de outro município. Empresas sem sede ou filial local não precisam apresentar essa documentação.</w:t>
      </w:r>
    </w:p>
    <w:p>
      <w:pPr>
        <w:spacing w:before="0" w:after="120" w:line="360" w:lineRule="auto"/>
        <w:ind w:firstLine="709"/>
        <w:jc w:val="both"/>
      </w:pPr>
      <w:r>
        <w:rPr>
          <w:b w:val="0"/>
          <w:i w:val="0"/>
        </w:rPr>
        <w:t>O documento dispõe: “No caso de licitante domiciliada no Município de Maricá, essa deverá apresentar, além dos documentos listados no item acima, certidão negativa ou positiva com efeito negativo do Imposto Predial e Territorial Urbano.” (Edital, itens C.3.c.1 e C.4 (página 25)).</w:t>
      </w:r>
    </w:p>
    <w:p>
      <w:pPr>
        <w:spacing w:before="0" w:after="80" w:line="360" w:lineRule="auto"/>
        <w:ind w:firstLine="709"/>
        <w:jc w:val="both"/>
      </w:pPr>
      <w:r>
        <w:rPr>
          <w:b/>
          <w:i w:val="0"/>
          <w:color w:val="12324A"/>
        </w:rPr>
        <w:t xml:space="preserve">Dispositivo aplicável. </w:t>
      </w:r>
      <w:r>
        <w:rPr>
          <w:b w:val="0"/>
          <w:i w:val="0"/>
        </w:rPr>
        <w:t>A matéria é disciplinada pelo art. 9, inciso I, da Lei 14.133/2021, que assim dispõe:</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 admitir, prever, incluir ou tolerar, nos atos que praticar, situações que: […]</w:t>
      </w:r>
      <w:r>
        <w:rPr>
          <w:b w:val="0"/>
          <w:i w:val="0"/>
          <w:sz w:val="20"/>
        </w:rPr>
        <w:t xml:space="preserve"> (BRASIL, 2021, art. 9, inciso I)</w:t>
      </w:r>
    </w:p>
    <w:p>
      <w:pPr>
        <w:spacing w:before="0" w:after="120" w:line="360" w:lineRule="auto"/>
        <w:ind w:firstLine="709"/>
        <w:jc w:val="both"/>
      </w:pPr>
      <w:r>
        <w:rPr>
          <w:b/>
          <w:i w:val="0"/>
          <w:color w:val="12324A"/>
        </w:rPr>
        <w:t xml:space="preserve">Análise. </w:t>
      </w:r>
      <w:r>
        <w:rPr>
          <w:b w:val="0"/>
          <w:i w:val="0"/>
        </w:rPr>
        <w:t>A situação do imóvel da sede da licitante não faz parte da qualificação jurídica nem da regularidade fiscal exigidas para a execução do contrato, e a exigência cria tratamento desigual entre locais e não locais.</w:t>
      </w:r>
    </w:p>
    <w:p>
      <w:pPr>
        <w:spacing w:before="0" w:after="120" w:line="360" w:lineRule="auto"/>
        <w:ind w:firstLine="709"/>
        <w:jc w:val="both"/>
      </w:pPr>
      <w:r>
        <w:rPr>
          <w:b/>
          <w:i w:val="0"/>
          <w:color w:val="3D8FA6"/>
        </w:rPr>
        <w:t xml:space="preserve">Risco de manutenção. </w:t>
      </w:r>
      <w:r>
        <w:rPr>
          <w:b w:val="0"/>
          <w:i w:val="0"/>
        </w:rPr>
        <w:t>Impugnação por tratamento diferenciado e inabilitação de empresas locais por documento sem relação com o objeto.</w:t>
      </w:r>
    </w:p>
    <w:p>
      <w:pPr>
        <w:spacing w:before="0" w:after="120" w:line="360" w:lineRule="auto"/>
        <w:ind w:firstLine="709"/>
        <w:jc w:val="both"/>
      </w:pPr>
      <w:r>
        <w:rPr>
          <w:b/>
          <w:i w:val="0"/>
          <w:color w:val="12324A"/>
        </w:rPr>
        <w:t xml:space="preserve">Providência recomendada. </w:t>
      </w:r>
      <w:r>
        <w:rPr>
          <w:b w:val="0"/>
          <w:i w:val="0"/>
        </w:rPr>
        <w:t>Manter apenas a regularidade fiscal municipal do domicílio ou da sede, aplicada a todas as licitantes de forma isonômica, e suprimir a exigência de IPTU e a declaração sobre propriedade do imóvel.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declaração está inserida na habilitação econômico-financeira (itens B.5 e B.6) e sob numeração duplicada (há dois itens "B.2"). Convém reposicioná-la como declaração vinculada à proposta, para que sua falta seja tratada como causa de desclassificação, e corrigir a numeração. (art. 63, § 1º, da Lei 14.133/2021).</w:t>
      </w:r>
    </w:p>
    <w:p>
      <w:pPr>
        <w:spacing w:before="0" w:after="120" w:line="360" w:lineRule="auto"/>
        <w:ind w:left="425" w:hanging="425"/>
        <w:jc w:val="both"/>
      </w:pPr>
      <w:r>
        <w:rPr>
          <w:b/>
          <w:i w:val="0"/>
          <w:color w:val="1F7A8C"/>
        </w:rPr>
        <w:t xml:space="preserve">b) </w:t>
      </w:r>
      <w:r>
        <w:rPr>
          <w:b/>
          <w:i w:val="0"/>
        </w:rPr>
        <w:t xml:space="preserve">Garantias do cumprimento das obrigações trabalhistas: </w:t>
      </w:r>
      <w:r>
        <w:rPr>
          <w:b w:val="0"/>
          <w:i w:val="0"/>
        </w:rPr>
        <w:t>A cláusula X apenas enumera medidas que a Administração "poderá" adotar, sem escolher quais serão efetivamente aplicadas. Para um contrato de R$ 40,9 milhões e 435 postos, convém definir no TR e na minuta a conta-depósito vinculada bloqueada (percentuais por rubrica, forma de movimentação e liberação). Também é conveniente que a minuta não afirme, na Cláusula Oitava, Parágrafo Quarto, que a fiscalização não implica corresponsabilidade, pois a falha de fiscalização é justamente a hipótese do art. 121, § 2º. Como o edital dispensa a garantia contratual (item 16.1), a conta vinculada é a principal proteção da Administração. (art. 121, § 2º, da Lei 14.133/2021; art. 121, § 3º, da Lei 14.133/2021).</w:t>
      </w:r>
    </w:p>
    <w:p>
      <w:pPr>
        <w:spacing w:before="0" w:after="120" w:line="360" w:lineRule="auto"/>
        <w:ind w:left="425" w:hanging="425"/>
        <w:jc w:val="both"/>
      </w:pPr>
      <w:r>
        <w:rPr>
          <w:b/>
          <w:i w:val="0"/>
          <w:color w:val="1F7A8C"/>
        </w:rPr>
        <w:t xml:space="preserve">c) </w:t>
      </w:r>
      <w:r>
        <w:rPr>
          <w:b/>
          <w:i w:val="0"/>
        </w:rPr>
        <w:t xml:space="preserve">Conteúdo mínimo do edital: </w:t>
      </w:r>
      <w:r>
        <w:rPr>
          <w:b w:val="0"/>
          <w:i w:val="0"/>
        </w:rPr>
        <w:t>O conteúdo mínimo está presente, mas há contradições entre o corpo do edital, o TR e a minuta (ver ed-18) e blocos genéricos de outros objetos. Antes de republicar, convém revisar o conjunto com uma tabela única de regras. (art. 25, da Lei 14.133/2021).</w:t>
      </w:r>
    </w:p>
    <w:p>
      <w:pPr>
        <w:spacing w:before="0" w:after="120" w:line="360" w:lineRule="auto"/>
        <w:ind w:left="425" w:hanging="425"/>
        <w:jc w:val="both"/>
      </w:pPr>
      <w:r>
        <w:rPr>
          <w:b/>
          <w:i w:val="0"/>
          <w:color w:val="1F7A8C"/>
        </w:rPr>
        <w:t xml:space="preserve">d) </w:t>
      </w:r>
      <w:r>
        <w:rPr>
          <w:b/>
          <w:i w:val="0"/>
        </w:rPr>
        <w:t xml:space="preserve">Divulgação de todos os anexos: </w:t>
      </w:r>
      <w:r>
        <w:rPr>
          <w:b w:val="0"/>
          <w:i w:val="0"/>
        </w:rPr>
        <w:t>Confirmar que todos os anexos foram publicados no PNCP em 09/10/2026, mesma data do edital, o que o documento não permite verificar. Falta divulgar a planilha analítica de custos do orçamento estimado (ver plan-06). A numeração dos anexos também confunde: o TR usa "Anexo I" (memória de cálculo) e "Anexo II" (endereços), que coincidem com os Anexos I e II do edital (planilha de valores e proposta). (art. 25, § 3º, da Lei 14.133/2021; art. 54, da Lei 14.133/2021).</w:t>
      </w:r>
    </w:p>
    <w:p>
      <w:pPr>
        <w:spacing w:before="0" w:after="120" w:line="360" w:lineRule="auto"/>
        <w:ind w:left="425" w:hanging="425"/>
        <w:jc w:val="both"/>
      </w:pPr>
      <w:r>
        <w:rPr>
          <w:b/>
          <w:i w:val="0"/>
          <w:color w:val="1F7A8C"/>
        </w:rPr>
        <w:t xml:space="preserve">e) </w:t>
      </w:r>
      <w:r>
        <w:rPr>
          <w:b/>
          <w:i w:val="0"/>
        </w:rPr>
        <w:t xml:space="preserve">Prazo mínimo para apresentação de propostas: </w:t>
      </w:r>
      <w:r>
        <w:rPr>
          <w:b w:val="0"/>
          <w:i w:val="0"/>
        </w:rPr>
        <w:t>A margem é zero. A contagem considerou apenas feriados nacionais, e qualquer feriado ou ponto facultativo municipal ou estadual nos dias 13 a 27/10/2026 tornaria o prazo insuficiente. Confirmar o calendário de Maricá. O item 22.2 fala em "dias consecutivos" como regra geral, o que contraria o art. 183 (dias úteis) e deve ser corrigido. Se o edital for alterado de modo que afete as propostas, é preciso reabrir o prazo (art. 55, § 1º). (art. 55, da Lei 14.133/2021; art. 183, da Lei 14.133/2021; art. 183, § 1º, inciso I, da Lei 14.133/2021).</w:t>
      </w:r>
    </w:p>
    <w:p>
      <w:pPr>
        <w:spacing w:before="0" w:after="120" w:line="360" w:lineRule="auto"/>
        <w:ind w:left="425" w:hanging="425"/>
        <w:jc w:val="both"/>
      </w:pPr>
      <w:r>
        <w:rPr>
          <w:b/>
          <w:i w:val="0"/>
          <w:color w:val="1F7A8C"/>
        </w:rPr>
        <w:t xml:space="preserve">f) </w:t>
      </w:r>
      <w:r>
        <w:rPr>
          <w:b/>
          <w:i w:val="0"/>
        </w:rPr>
        <w:t xml:space="preserve">Sanções e multas: </w:t>
      </w:r>
      <w:r>
        <w:rPr>
          <w:b w:val="0"/>
          <w:i w:val="0"/>
        </w:rPr>
        <w:t>Pontos de ajuste, sem ilegalidade: (1) a tabela se refere ao "item 6 deste Termo de Referência" para as obrigações, mas o item 6 do TR trata de uniformes; (2) o IMR do TR prevê multas de 5% e 10% sobre o valor mensal que se somam às multas da tabela, com risco de duplicidade sobre o mesmo fato (bis in idem); (3) a tabela fala em "fornecimento" e "entrega", linguagem de compras; (4) a regra de multa inferior a um quarto do máximo para ME/EPP (20.4.2) não tem base na lei e deve ser justificada ou retirada. (art. 156, da Lei 14.133/2021; art. 156, § 3º, da Lei 14.133/2021).</w:t>
      </w:r>
    </w:p>
    <w:p>
      <w:pPr>
        <w:spacing w:before="0" w:after="120" w:line="360" w:lineRule="auto"/>
        <w:ind w:left="425" w:hanging="425"/>
        <w:jc w:val="both"/>
      </w:pPr>
      <w:r>
        <w:rPr>
          <w:b/>
          <w:i w:val="0"/>
          <w:color w:val="1F7A8C"/>
        </w:rPr>
        <w:t xml:space="preserve">g) </w:t>
      </w:r>
      <w:r>
        <w:rPr>
          <w:b/>
          <w:i w:val="0"/>
        </w:rPr>
        <w:t xml:space="preserve">Vigência e prorrogação de serviços contínuos: </w:t>
      </w:r>
      <w:r>
        <w:rPr>
          <w:b w:val="0"/>
          <w:i w:val="0"/>
        </w:rPr>
        <w:t>O edital (7.2.1) prevê a prorrogação, mas só o TR condiciona expressamente à vantajosidade. Convém repetir essa condição no edital e na minuta (Cláusula Nona). O TR ainda cita o "art. 105 a 107" como limite de acréscimos, referência que deve ser corrigida. A vigência da minuta (eficácia a partir da publicação no PNCP) deve ser compatibilizada com o prazo de início de 15 dias após a assinatura (TR 19.1). (art. 106, da Lei 14.133/2021; art. 107,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Recomenda-se não adjudicar nem homologar o certame antes de sanar os apontamentos de gravidade alta. Em especial: (a) refazer o orçamento com a convenção coletiva da categoria compatível com o posto (conforme a CBO e as atribuições), com composição analítica e pesquisa de preços documentadas e divulgadas; (b) reavaliar a legalidade da terceirização das atribuições pedagógicas e a existência de superposição com a carreira do magistério; (c) revisar a qualificação técnica (36 meses, "serviços similares", técnico de segurança, exigência de ambiente educacional no TR) e justificar os índices econômico-financeiros; (d) harmonizar edital, TR e minuta quanto a ME/EPP, cooperativas, reajuste e repactuação, garantia contratual e correção monetária; (e) completar a minuta de contrato (campos em branco, instruções de modelo remanescentes, matriz de riscos, referências cruzadas). As alterações que afetem a formulação das propostas exigem republicação e reabertura do prazo (art. 55, § 1º). Na hipótese de vício insanável, deve-se avaliar a anulação do procedimento. O parecer jurídico (art. 53) precisa ser juntado e as recomendações atendidas ou motivadamente afastadas. Este parecer é opinativo, e a decisão sobre as correções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Enquadramento como dedicação exclusiva de mão de obra </w:t>
      </w:r>
      <w:r>
        <w:rPr>
          <w:b w:val="0"/>
          <w:i w:val="0"/>
          <w:color w:val="B23A48"/>
        </w:rPr>
        <w:t xml:space="preserve">(gravidade alta, item 3.1): </w:t>
      </w:r>
      <w:r>
        <w:rPr>
          <w:b w:val="0"/>
          <w:i w:val="0"/>
        </w:rPr>
        <w:t>Delimitar no TR as atribuições do posto, separando o apoio operacional (alimentação, higiene, segurança) das atividades pedagógicas. Retirar as tarefas docentes ou justificar sua terceirização. Registrar no TR o modelo de execução: postos, alocação por unidade, controle de jornada e de frequência, cobertura de ausências, vedação de subordinação direta e de pessoalidade. Uniformizar a denominação do objeto no edital, no TR e na minuta.</w:t>
      </w:r>
    </w:p>
    <w:p>
      <w:pPr>
        <w:spacing w:before="0" w:after="80" w:line="360" w:lineRule="auto"/>
        <w:ind w:left="425" w:hanging="425"/>
        <w:jc w:val="both"/>
      </w:pPr>
      <w:r>
        <w:rPr>
          <w:b/>
          <w:i w:val="0"/>
          <w:color w:val="B23A48"/>
        </w:rPr>
        <w:t xml:space="preserve">2. </w:t>
      </w:r>
      <w:r>
        <w:rPr>
          <w:b/>
          <w:i w:val="0"/>
        </w:rPr>
        <w:t xml:space="preserve">Convenção coletiva da categoria correta </w:t>
      </w:r>
      <w:r>
        <w:rPr>
          <w:b w:val="0"/>
          <w:i w:val="0"/>
          <w:color w:val="B23A48"/>
        </w:rPr>
        <w:t xml:space="preserve">(gravidade alta, item 3.2): </w:t>
      </w:r>
      <w:r>
        <w:rPr>
          <w:b w:val="0"/>
          <w:i w:val="0"/>
        </w:rPr>
        <w:t>Identificar a categoria pela CBO e pelas atribuições e confirmar no Mediador/MTE a convenção aplicável (educação infantil, auxiliares de educação, ou outra pertinente) para a base territorial. Refazer a planilha e o orçamento com a CCT vigente em 27/07/2026, com sindicato, número de registro, vigência e data-base. Registrar no processo a justificativa do enquadramento. Rever o item 12.12 para que o piso decorra do orçamento corrigido. Manter a exigência de que a licitante informe seu enquadramento sindical e sua convenção na proposta, sem impor convenção específica.</w:t>
      </w:r>
    </w:p>
    <w:p>
      <w:pPr>
        <w:spacing w:before="0" w:after="80" w:line="360" w:lineRule="auto"/>
        <w:ind w:left="425" w:hanging="425"/>
        <w:jc w:val="both"/>
      </w:pPr>
      <w:r>
        <w:rPr>
          <w:b/>
          <w:i w:val="0"/>
          <w:color w:val="B23A48"/>
        </w:rPr>
        <w:t xml:space="preserve">3. </w:t>
      </w:r>
      <w:r>
        <w:rPr>
          <w:b/>
          <w:i w:val="0"/>
        </w:rPr>
        <w:t xml:space="preserve">Qualificação técnica proporcional </w:t>
      </w:r>
      <w:r>
        <w:rPr>
          <w:b w:val="0"/>
          <w:i w:val="0"/>
          <w:color w:val="B23A48"/>
        </w:rPr>
        <w:t xml:space="preserve">(gravidade alta, item 3.3): </w:t>
      </w:r>
      <w:r>
        <w:rPr>
          <w:b w:val="0"/>
          <w:i w:val="0"/>
        </w:rPr>
        <w:t>Delimitar em E.10 as características mínimas do serviço similar (dedicação exclusiva, número de postos e natureza das funções). Justificar tecnicamente o prazo de 36 meses ou suprimi-lo, após conferir o texto do § 5º do art. 67. Justificar ou excluir a exigência de técnico de segurança do trabalho. Alinhar TR e edital, retirando do TR a exigência de ambiente educacional e a de emissão após um ano. Dispensar o formalismo de papel timbrado e carimbo. Justificar, no processo, as parcelas de maior relevância e o percentual de 50%.</w:t>
      </w:r>
    </w:p>
    <w:p>
      <w:pPr>
        <w:spacing w:before="0" w:after="80" w:line="360" w:lineRule="auto"/>
        <w:ind w:left="425" w:hanging="425"/>
        <w:jc w:val="both"/>
      </w:pPr>
      <w:r>
        <w:rPr>
          <w:b/>
          <w:i w:val="0"/>
          <w:color w:val="B23A48"/>
        </w:rPr>
        <w:t xml:space="preserve">4. </w:t>
      </w:r>
      <w:r>
        <w:rPr>
          <w:b/>
          <w:i w:val="0"/>
        </w:rPr>
        <w:t xml:space="preserve">Terceirização de atividades pedagógicas e risco de substituição de servidores </w:t>
      </w:r>
      <w:r>
        <w:rPr>
          <w:b w:val="0"/>
          <w:i w:val="0"/>
          <w:color w:val="B23A48"/>
        </w:rPr>
        <w:t xml:space="preserve">(gravidade alta, item 3.4): </w:t>
      </w:r>
      <w:r>
        <w:rPr>
          <w:b w:val="0"/>
          <w:i w:val="0"/>
        </w:rPr>
        <w:t>Submeter à assessoria jurídica e ao controle interno a análise da natureza das atividades. Limitar o objeto às tarefas de apoio, ou justificar de forma específica a base legal municipal da terceirização. Substituir a fundamentação federal por fundamentação aplicável ao Município.</w:t>
      </w:r>
    </w:p>
    <w:p>
      <w:pPr>
        <w:spacing w:before="0" w:after="80" w:line="360" w:lineRule="auto"/>
        <w:ind w:left="425" w:hanging="425"/>
        <w:jc w:val="both"/>
      </w:pPr>
      <w:r>
        <w:rPr>
          <w:b/>
          <w:i w:val="0"/>
          <w:color w:val="B23A48"/>
        </w:rPr>
        <w:t xml:space="preserve">5. </w:t>
      </w:r>
      <w:r>
        <w:rPr>
          <w:b/>
          <w:i w:val="0"/>
        </w:rPr>
        <w:t xml:space="preserve">Orçamento estimado sem composição de custos e sem pesquisa de preços demonstrada </w:t>
      </w:r>
      <w:r>
        <w:rPr>
          <w:b w:val="0"/>
          <w:i w:val="0"/>
          <w:color w:val="B23A48"/>
        </w:rPr>
        <w:t xml:space="preserve">(gravidade alta, item 3.5): </w:t>
      </w:r>
      <w:r>
        <w:rPr>
          <w:b w:val="0"/>
          <w:i w:val="0"/>
        </w:rPr>
        <w:t>Juntar ao processo e ao edital a planilha analítica por módulo (remuneração, encargos, provisões, reposição, insumos, custos indiretos, tributos e lucro), com a convenção correta e as fontes da pesquisa de preços (contratações similares, painel de preços, cotações). Se houver alteração relevante, republicar.</w:t>
      </w:r>
    </w:p>
    <w:p>
      <w:pPr>
        <w:spacing w:before="0" w:after="80" w:line="360" w:lineRule="auto"/>
        <w:ind w:left="425" w:hanging="425"/>
        <w:jc w:val="both"/>
      </w:pPr>
      <w:r>
        <w:rPr>
          <w:b/>
          <w:i w:val="0"/>
          <w:color w:val="C9781E"/>
        </w:rPr>
        <w:t xml:space="preserve">6. </w:t>
      </w:r>
      <w:r>
        <w:rPr>
          <w:b/>
          <w:i w:val="0"/>
        </w:rPr>
        <w:t xml:space="preserve">Itens de convenção que não vinculam a Administração </w:t>
      </w:r>
      <w:r>
        <w:rPr>
          <w:b w:val="0"/>
          <w:i w:val="0"/>
          <w:color w:val="C9781E"/>
        </w:rPr>
        <w:t xml:space="preserve">(gravidade média, item 3.6): </w:t>
      </w:r>
      <w:r>
        <w:rPr>
          <w:b w:val="0"/>
          <w:i w:val="0"/>
        </w:rPr>
        <w:t>Excluir do modelo e do orçamento a contribuição sindical patronal e os benefícios que não decorram de lei. Declarar no edital que a ausência de benefício previsto apenas em convenção não é causa de desclassificação. Prever que licitantes optantes do Simples excluam das planilhas as contribuições de que estejam dispensadas. Divulgar a planilha analítica do orçamento para conferência.</w:t>
      </w:r>
    </w:p>
    <w:p>
      <w:pPr>
        <w:spacing w:before="0" w:after="80" w:line="360" w:lineRule="auto"/>
        <w:ind w:left="425" w:hanging="425"/>
        <w:jc w:val="both"/>
      </w:pPr>
      <w:r>
        <w:rPr>
          <w:b/>
          <w:i w:val="0"/>
          <w:color w:val="C9781E"/>
        </w:rPr>
        <w:t xml:space="preserve">7. </w:t>
      </w:r>
      <w:r>
        <w:rPr>
          <w:b/>
          <w:i w:val="0"/>
        </w:rPr>
        <w:t xml:space="preserve">Conferência aritmética da planilha </w:t>
      </w:r>
      <w:r>
        <w:rPr>
          <w:b w:val="0"/>
          <w:i w:val="0"/>
          <w:color w:val="C9781E"/>
        </w:rPr>
        <w:t xml:space="preserve">(gravidade média, item 3.7): </w:t>
      </w:r>
      <w:r>
        <w:rPr>
          <w:b w:val="0"/>
          <w:i w:val="0"/>
        </w:rPr>
        <w:t>Anexar ao edital a planilha de custos e formação de preços do orçamento estimado, em Excel e com fórmulas, com memória de cálculo de cada módulo. Conferir o quadro de totais por modalidade e turma da memória de quantitativos com o quadro-base de 435 postos. Explicitar que a planilha do Anexo A é o modelo de proposta, e não mera ilustração.</w:t>
      </w:r>
    </w:p>
    <w:p>
      <w:pPr>
        <w:spacing w:before="0" w:after="80" w:line="360" w:lineRule="auto"/>
        <w:ind w:left="425" w:hanging="425"/>
        <w:jc w:val="both"/>
      </w:pPr>
      <w:r>
        <w:rPr>
          <w:b/>
          <w:i w:val="0"/>
          <w:color w:val="C9781E"/>
        </w:rPr>
        <w:t xml:space="preserve">8. </w:t>
      </w:r>
      <w:r>
        <w:rPr>
          <w:b/>
          <w:i w:val="0"/>
        </w:rPr>
        <w:t xml:space="preserve">Índice de reajuste com data-base no orçamento </w:t>
      </w:r>
      <w:r>
        <w:rPr>
          <w:b w:val="0"/>
          <w:i w:val="0"/>
          <w:color w:val="C9781E"/>
        </w:rPr>
        <w:t xml:space="preserve">(gravidade média, item 3.8): </w:t>
      </w:r>
      <w:r>
        <w:rPr>
          <w:b w:val="0"/>
          <w:i w:val="0"/>
        </w:rPr>
        <w:t>Uniformizar edital, TR e minuta: índice (IPCA ou outro justificado), data-base igual à data do orçamento estimado e interregno mínimo de um ano. Preencher a cláusula da minuta e retirar as instruções de modelo.</w:t>
      </w:r>
    </w:p>
    <w:p>
      <w:pPr>
        <w:spacing w:before="0" w:after="80" w:line="360" w:lineRule="auto"/>
        <w:ind w:left="425" w:hanging="425"/>
        <w:jc w:val="both"/>
      </w:pPr>
      <w:r>
        <w:rPr>
          <w:b/>
          <w:i w:val="0"/>
          <w:color w:val="C9781E"/>
        </w:rPr>
        <w:t xml:space="preserve">9. </w:t>
      </w:r>
      <w:r>
        <w:rPr>
          <w:b/>
          <w:i w:val="0"/>
        </w:rPr>
        <w:t xml:space="preserve">Critério de reajuste em serviços contínuos </w:t>
      </w:r>
      <w:r>
        <w:rPr>
          <w:b w:val="0"/>
          <w:i w:val="0"/>
          <w:color w:val="C9781E"/>
        </w:rPr>
        <w:t xml:space="preserve">(gravidade média, item 3.9): </w:t>
      </w:r>
      <w:r>
        <w:rPr>
          <w:b w:val="0"/>
          <w:i w:val="0"/>
        </w:rPr>
        <w:t>Reescrever o item 19.2 para restringir o IPCA aos insumos (uniformes, materiais, equipamentos) e declarar que a mão de obra se submete exclusivamente à repactuação, com data-base na convenção da categoria a que a proposta se vincule. Replicar o texto na minuta (Cláusula Quinta) e retirar a fórmula genérica.</w:t>
      </w:r>
    </w:p>
    <w:p>
      <w:pPr>
        <w:spacing w:before="0" w:after="80" w:line="360" w:lineRule="auto"/>
        <w:ind w:left="425" w:hanging="425"/>
        <w:jc w:val="both"/>
      </w:pPr>
      <w:r>
        <w:rPr>
          <w:b/>
          <w:i w:val="0"/>
          <w:color w:val="C9781E"/>
        </w:rPr>
        <w:t xml:space="preserve">10. </w:t>
      </w:r>
      <w:r>
        <w:rPr>
          <w:b/>
          <w:i w:val="0"/>
        </w:rPr>
        <w:t xml:space="preserve">Qualificação econômico-financeira </w:t>
      </w:r>
      <w:r>
        <w:rPr>
          <w:b w:val="0"/>
          <w:i w:val="0"/>
          <w:color w:val="C9781E"/>
        </w:rPr>
        <w:t xml:space="preserve">(gravidade média, item 3.10): </w:t>
      </w:r>
      <w:r>
        <w:rPr>
          <w:b w:val="0"/>
          <w:i w:val="0"/>
        </w:rPr>
        <w:t>Incluir no processo a justificativa de cada índice e do capital circulante líquido, com base no mercado do objeto. Excluir a redundância entre ISG e IE. Alinhar edital e TR quanto ao índice de liquidez corrente e corrigir a denominação do índice B.1.b. Confirmar que a soma das exigências não restringe indevidamente a competição.</w:t>
      </w:r>
    </w:p>
    <w:p>
      <w:pPr>
        <w:spacing w:before="0" w:after="80" w:line="360" w:lineRule="auto"/>
        <w:ind w:left="425" w:hanging="425"/>
        <w:jc w:val="both"/>
      </w:pPr>
      <w:r>
        <w:rPr>
          <w:b/>
          <w:i w:val="0"/>
          <w:color w:val="C9781E"/>
        </w:rPr>
        <w:t xml:space="preserve">11. </w:t>
      </w:r>
      <w:r>
        <w:rPr>
          <w:b/>
          <w:i w:val="0"/>
        </w:rPr>
        <w:t xml:space="preserve">Tratamento diferenciado a ME e EPP </w:t>
      </w:r>
      <w:r>
        <w:rPr>
          <w:b w:val="0"/>
          <w:i w:val="0"/>
          <w:color w:val="C9781E"/>
        </w:rPr>
        <w:t xml:space="preserve">(gravidade média, item 3.11): </w:t>
      </w:r>
      <w:r>
        <w:rPr>
          <w:b w:val="0"/>
          <w:i w:val="0"/>
        </w:rPr>
        <w:t>Definir se haverá tratamento diferenciado. Se sim, retirar o trecho do TR. Se o Município entender que a hipótese do art. 49, III, da LC 123 se aplica, justificar de forma concreta e específica e ajustar o edital, e não só o TR.</w:t>
      </w:r>
    </w:p>
    <w:p>
      <w:pPr>
        <w:spacing w:before="0" w:after="80" w:line="360" w:lineRule="auto"/>
        <w:ind w:left="425" w:hanging="425"/>
        <w:jc w:val="both"/>
      </w:pPr>
      <w:r>
        <w:rPr>
          <w:b/>
          <w:i w:val="0"/>
          <w:color w:val="C9781E"/>
        </w:rPr>
        <w:t xml:space="preserve">12. </w:t>
      </w:r>
      <w:r>
        <w:rPr>
          <w:b/>
          <w:i w:val="0"/>
        </w:rPr>
        <w:t xml:space="preserve">Minuta de contrato como anexo e cláusulas necessárias </w:t>
      </w:r>
      <w:r>
        <w:rPr>
          <w:b w:val="0"/>
          <w:i w:val="0"/>
          <w:color w:val="C9781E"/>
        </w:rPr>
        <w:t xml:space="preserve">(gravidade média, item 3.12): </w:t>
      </w:r>
      <w:r>
        <w:rPr>
          <w:b w:val="0"/>
          <w:i w:val="0"/>
        </w:rPr>
        <w:t>Preencher a minuta com os dados do certame (objeto, valor, vigência, reajuste e repactuação, índice e data-base). Excluir as instruções de modelo e as referências ao RGCAF. Corrigir a numeração e as remissões. Avaliar a inclusão da matriz de riscos e da cláusula de garantia ou da sua ausência. Conferir a minuta com os incisos do art. 92.</w:t>
      </w:r>
    </w:p>
    <w:p>
      <w:pPr>
        <w:spacing w:before="0" w:after="80" w:line="360" w:lineRule="auto"/>
        <w:ind w:left="425" w:hanging="425"/>
        <w:jc w:val="both"/>
      </w:pPr>
      <w:r>
        <w:rPr>
          <w:b/>
          <w:i w:val="0"/>
          <w:color w:val="C9781E"/>
        </w:rPr>
        <w:t xml:space="preserve">13. </w:t>
      </w:r>
      <w:r>
        <w:rPr>
          <w:b/>
          <w:i w:val="0"/>
        </w:rPr>
        <w:t xml:space="preserve">Coerência interna do edital e dos anexos </w:t>
      </w:r>
      <w:r>
        <w:rPr>
          <w:b w:val="0"/>
          <w:i w:val="0"/>
          <w:color w:val="C9781E"/>
        </w:rPr>
        <w:t xml:space="preserve">(gravidade média, item 3.13): </w:t>
      </w:r>
      <w:r>
        <w:rPr>
          <w:b w:val="0"/>
          <w:i w:val="0"/>
        </w:rPr>
        <w:t>Revisar edital, TR e minuta em conjunto e fazer uma tabela única de regras (ME/EPP, cooperativas, reajuste e repactuação, correção monetária, habilitação, garantia, prazos). Excluir os trechos de modelo estranhos ao objeto e corrigir as remissões e numeração. Republicar o conjunto, se alterado.</w:t>
      </w:r>
    </w:p>
    <w:p>
      <w:pPr>
        <w:spacing w:before="0" w:after="80" w:line="360" w:lineRule="auto"/>
        <w:ind w:left="425" w:hanging="425"/>
        <w:jc w:val="both"/>
      </w:pPr>
      <w:r>
        <w:rPr>
          <w:b/>
          <w:i w:val="0"/>
          <w:color w:val="C9781E"/>
        </w:rPr>
        <w:t xml:space="preserve">14. </w:t>
      </w:r>
      <w:r>
        <w:rPr>
          <w:b/>
          <w:i w:val="0"/>
        </w:rPr>
        <w:t xml:space="preserve">Inabilitação do licitante por indisponibilidade de meio eletrônico de consulta da Administração </w:t>
      </w:r>
      <w:r>
        <w:rPr>
          <w:b w:val="0"/>
          <w:i w:val="0"/>
          <w:color w:val="C9781E"/>
        </w:rPr>
        <w:t xml:space="preserve">(gravidade média, item 3.14): </w:t>
      </w:r>
      <w:r>
        <w:rPr>
          <w:b w:val="0"/>
          <w:i w:val="0"/>
        </w:rPr>
        <w:t>Substituir por regra de suspensão da sessão, diligência ou nova consulta, ou autorizar a apresentação dos documentos pelo licitante em prazo razoável.</w:t>
      </w:r>
    </w:p>
    <w:p>
      <w:pPr>
        <w:spacing w:before="0" w:after="80" w:line="360" w:lineRule="auto"/>
        <w:ind w:left="425" w:hanging="425"/>
        <w:jc w:val="both"/>
      </w:pPr>
      <w:r>
        <w:rPr>
          <w:b/>
          <w:i w:val="0"/>
          <w:color w:val="C9781E"/>
        </w:rPr>
        <w:t xml:space="preserve">15. </w:t>
      </w:r>
      <w:r>
        <w:rPr>
          <w:b/>
          <w:i w:val="0"/>
        </w:rPr>
        <w:t xml:space="preserve">Quantitativo de 435 postos sem demonstração dos parâmetros de dimensionamento </w:t>
      </w:r>
      <w:r>
        <w:rPr>
          <w:b w:val="0"/>
          <w:i w:val="0"/>
          <w:color w:val="C9781E"/>
        </w:rPr>
        <w:t xml:space="preserve">(gravidade média, item 3.15): </w:t>
      </w:r>
      <w:r>
        <w:rPr>
          <w:b w:val="0"/>
          <w:i w:val="0"/>
        </w:rPr>
        <w:t>Documentar a razão de postos por turma, a fonte do parâmetro e o número real de turmas e turnos por unidade. Revisar a memória de cálculo e a linha de totais.</w:t>
      </w:r>
    </w:p>
    <w:p>
      <w:pPr>
        <w:spacing w:before="0" w:after="80" w:line="360" w:lineRule="auto"/>
        <w:ind w:left="425" w:hanging="425"/>
        <w:jc w:val="both"/>
      </w:pPr>
      <w:r>
        <w:rPr>
          <w:b/>
          <w:i w:val="0"/>
          <w:color w:val="3D8FA6"/>
        </w:rPr>
        <w:t xml:space="preserve">16. </w:t>
      </w:r>
      <w:r>
        <w:rPr>
          <w:b/>
          <w:i w:val="0"/>
        </w:rPr>
        <w:t xml:space="preserve">Garantia de proposta e garantia contratual </w:t>
      </w:r>
      <w:r>
        <w:rPr>
          <w:b w:val="0"/>
          <w:i w:val="0"/>
          <w:color w:val="3D8FA6"/>
        </w:rPr>
        <w:t xml:space="preserve">(gravidade baixa, item 3.16): </w:t>
      </w:r>
      <w:r>
        <w:rPr>
          <w:b w:val="0"/>
          <w:i w:val="0"/>
        </w:rPr>
        <w:t>Detalhar a garantia de proposta (modalidades, prazo, devolução e execução) ou dispensá-la, ponderando seu efeito sobre a competição em pregão. Retirar da minuta e do edital as referências a garantia contratual, ou passar a exigi-la, com percentual até 5% (ou até 10%, com justificativa), dado o grande número de postos.</w:t>
      </w:r>
    </w:p>
    <w:p>
      <w:pPr>
        <w:spacing w:before="0" w:after="80" w:line="360" w:lineRule="auto"/>
        <w:ind w:left="425" w:hanging="425"/>
        <w:jc w:val="both"/>
      </w:pPr>
      <w:r>
        <w:rPr>
          <w:b/>
          <w:i w:val="0"/>
          <w:color w:val="3D8FA6"/>
        </w:rPr>
        <w:t xml:space="preserve">17. </w:t>
      </w:r>
      <w:r>
        <w:rPr>
          <w:b/>
          <w:i w:val="0"/>
        </w:rPr>
        <w:t xml:space="preserve">Participação em consórcio </w:t>
      </w:r>
      <w:r>
        <w:rPr>
          <w:b w:val="0"/>
          <w:i w:val="0"/>
          <w:color w:val="3D8FA6"/>
        </w:rPr>
        <w:t xml:space="preserve">(gravidade baixa, item 3.17): </w:t>
      </w:r>
      <w:r>
        <w:rPr>
          <w:b w:val="0"/>
          <w:i w:val="0"/>
        </w:rPr>
        <w:t>Reforçar a motivação com elementos concretos do objeto e do mercado (ou admitir consórcio, com as regras do art. 15), e fazer constar a justificativa no ETP ou no TR de forma vinculada ao edital.</w:t>
      </w:r>
    </w:p>
    <w:p>
      <w:pPr>
        <w:spacing w:before="0" w:after="80" w:line="360" w:lineRule="auto"/>
        <w:ind w:left="425" w:hanging="425"/>
        <w:jc w:val="both"/>
      </w:pPr>
      <w:r>
        <w:rPr>
          <w:b/>
          <w:i w:val="0"/>
          <w:color w:val="3D8FA6"/>
        </w:rPr>
        <w:t xml:space="preserve">18. </w:t>
      </w:r>
      <w:r>
        <w:rPr>
          <w:b/>
          <w:i w:val="0"/>
        </w:rPr>
        <w:t xml:space="preserve">Impugnação e esclarecimentos </w:t>
      </w:r>
      <w:r>
        <w:rPr>
          <w:b w:val="0"/>
          <w:i w:val="0"/>
          <w:color w:val="3D8FA6"/>
        </w:rPr>
        <w:t xml:space="preserve">(gravidade baixa, item 3.18): </w:t>
      </w:r>
      <w:r>
        <w:rPr>
          <w:b w:val="0"/>
          <w:i w:val="0"/>
        </w:rPr>
        <w:t>Replicar integralmente o prazo, o limite e a divulgação oficial no item 1.8.1. Reavaliar o efeito suspensivo automático do item 1.8.2. Indicar canal institucional (sistema ou e-mail oficial) para os pedidos.</w:t>
      </w:r>
    </w:p>
    <w:p>
      <w:pPr>
        <w:spacing w:before="0" w:after="80" w:line="360" w:lineRule="auto"/>
        <w:ind w:left="425" w:hanging="425"/>
        <w:jc w:val="both"/>
      </w:pPr>
      <w:r>
        <w:rPr>
          <w:b/>
          <w:i w:val="0"/>
          <w:color w:val="3D8FA6"/>
        </w:rPr>
        <w:t xml:space="preserve">19. </w:t>
      </w:r>
      <w:r>
        <w:rPr>
          <w:b/>
          <w:i w:val="0"/>
        </w:rPr>
        <w:t xml:space="preserve">Recursos administrativos </w:t>
      </w:r>
      <w:r>
        <w:rPr>
          <w:b w:val="0"/>
          <w:i w:val="0"/>
          <w:color w:val="3D8FA6"/>
        </w:rPr>
        <w:t xml:space="preserve">(gravidade baixa, item 3.19): </w:t>
      </w:r>
      <w:r>
        <w:rPr>
          <w:b w:val="0"/>
          <w:i w:val="0"/>
        </w:rPr>
        <w:t>Substituir o item 14.5 por regra de não conhecimento do recurso sem razões no prazo. Ajustar o item 14.6 para prever o prazo legal de decisão da autoridade superior.</w:t>
      </w:r>
    </w:p>
    <w:p>
      <w:pPr>
        <w:spacing w:before="0" w:after="80" w:line="360" w:lineRule="auto"/>
        <w:ind w:left="425" w:hanging="425"/>
        <w:jc w:val="both"/>
      </w:pPr>
      <w:r>
        <w:rPr>
          <w:b/>
          <w:i w:val="0"/>
          <w:color w:val="3D8FA6"/>
        </w:rPr>
        <w:t xml:space="preserve">20. </w:t>
      </w:r>
      <w:r>
        <w:rPr>
          <w:b/>
          <w:i w:val="0"/>
        </w:rPr>
        <w:t xml:space="preserve">Exigência de via física original ou autenticada e de firma reconhecida em processo eletrônico </w:t>
      </w:r>
      <w:r>
        <w:rPr>
          <w:b w:val="0"/>
          <w:i w:val="0"/>
          <w:color w:val="3D8FA6"/>
        </w:rPr>
        <w:t xml:space="preserve">(gravidade baixa, item 3.20): </w:t>
      </w:r>
      <w:r>
        <w:rPr>
          <w:b w:val="0"/>
          <w:i w:val="0"/>
        </w:rPr>
        <w:t>Aceitar documentos digitais com meio de verificação de autenticidade e assinatura eletrônica qualificada, e só exigir original diante de dúvida fundada, mediante diligência.</w:t>
      </w:r>
    </w:p>
    <w:p>
      <w:pPr>
        <w:spacing w:before="0" w:after="80" w:line="360" w:lineRule="auto"/>
        <w:ind w:left="425" w:hanging="425"/>
        <w:jc w:val="both"/>
      </w:pPr>
      <w:r>
        <w:rPr>
          <w:b/>
          <w:i w:val="0"/>
          <w:color w:val="3D8FA6"/>
        </w:rPr>
        <w:t xml:space="preserve">21. </w:t>
      </w:r>
      <w:r>
        <w:rPr>
          <w:b/>
          <w:i w:val="0"/>
        </w:rPr>
        <w:t xml:space="preserve">Certidão de IPTU exigida apenas de licitantes domiciliadas em Maricá </w:t>
      </w:r>
      <w:r>
        <w:rPr>
          <w:b w:val="0"/>
          <w:i w:val="0"/>
          <w:color w:val="3D8FA6"/>
        </w:rPr>
        <w:t xml:space="preserve">(gravidade baixa, item 3.21): </w:t>
      </w:r>
      <w:r>
        <w:rPr>
          <w:b w:val="0"/>
          <w:i w:val="0"/>
        </w:rPr>
        <w:t>Manter apenas a regularidade fiscal municipal do domicílio ou da sede, aplicada a todas as licitantes de forma isonômica, e suprimir a exigência de IPTU e a declaração sobre propriedade do imóvel.</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Acórdão 1784/2024-Plenário. Relator: Ministro(a) Aroldo Cedraz. Julgado em 28 ago. 2024. TCU – Jurisprudência Selecionada (Informativo de Licitações e Contratos nº 490 de 24/09/2024 BJ nº 509 de 16/09/2024). Disponível em: https://pesquisa.apps.tcu.gov.br/documento/jurisprudencia-selecionada/*/KEY%253AJURISPRUDENCIA-SELECIONADA-173186/score%2520desc/0. Acesso em: 29 out. 2026.</w:t>
      </w:r>
    </w:p>
    <w:p>
      <w:pPr>
        <w:spacing w:before="0" w:after="240" w:line="240" w:lineRule="auto"/>
        <w:ind w:firstLine="0"/>
        <w:jc w:val="left"/>
      </w:pPr>
      <w:r>
        <w:rPr>
          <w:b w:val="0"/>
          <w:i w:val="0"/>
          <w:sz w:val="22"/>
        </w:rPr>
        <w:t>BRASIL. Tribunal de Contas da União (Plenário). Acórdão 2215/2026-Plenário. Relator: Ministro(a) Antonio Anastasia. Julgado em 19 ago. 2026. TCU – Jurisprudência Selecionada (BJ nº 599 de 07/09/2026). Disponível em: https://pesquisa.apps.tcu.gov.br/documento/jurisprudencia-selecionada/*/KEY%253AJURISPRUDENCIA-SELECIONADA-207661/score%2520desc/0. Acesso em: 29 out. 2026.</w:t>
      </w:r>
    </w:p>
    <w:p>
      <w:pPr>
        <w:spacing w:before="0" w:after="240" w:line="240" w:lineRule="auto"/>
        <w:ind w:firstLine="0"/>
        <w:jc w:val="left"/>
      </w:pPr>
      <w:r>
        <w:rPr>
          <w:b w:val="0"/>
          <w:i w:val="0"/>
          <w:sz w:val="22"/>
        </w:rPr>
        <w:t>BRASIL. Tribunal de Contas da União (Plenário). Acórdão 2724/2025-Plenário. Relator: Ministro(a) Benjamin Zymler. Julgado em 18 nov. 2025. TCU – Jurisprudência Selecionada (Informativo de Licitações e Contratos nº 519 de 03/02/2026 BJ nº 567 de 15/12/2025). Disponível em: https://pesquisa.apps.tcu.gov.br/documento/jurisprudencia-selecionada/*/KEY%253AJURISPRUDENCIA-SELECIONADA-193580/score%2520desc/0.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EDUCAÇÃO. Edital e minutas (ata e contrato) — Pregão Eletrônico nº 54/2026 – Processo Administrativo nº 18321/2025 (PNCP 29131075000193-1-000445/2026). Disponível em: https://pncp.gov.br/app/editais/29131075000193/2026/445.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Terceirização de atividades pedagógicas e risco de substituição de servidores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estimado sem composição de custos e sem pesquisa de preços demonstrada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IV; art. 23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Inabilitação do licitante por indisponibilidade de meio eletrônico de consulta da Administração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 de via física original ou autenticada e de firma reconhecida em processo eletrônico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Certidão de IPTU exigida apenas de licitantes domiciliadas em Maricá</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Quantitativo de 435 postos sem demonstração dos parâmetros de dimensionamento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j) </w:t>
      </w:r>
      <w:r>
        <w:rPr>
          <w:b w:val="0"/>
          <w:i w:val="0"/>
        </w:rPr>
        <w:t>O código de verificação 4B867D3E04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4B867D3E04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4B86/2026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jurisprudencia-selecionada/*/KEY%253AJURISPRUDENCIA-SELECIONADA-205696/score%2520desc/0" TargetMode="External"/><Relationship Id="rId13" Type="http://schemas.openxmlformats.org/officeDocument/2006/relationships/hyperlink" Target="https://pesquisa.apps.tcu.gov.br/documento/jurisprudencia-selecionada/*/KEY%253AJURISPRUDENCIA-SELECIONADA-207661/score%2520desc/0" TargetMode="External"/><Relationship Id="rId14" Type="http://schemas.openxmlformats.org/officeDocument/2006/relationships/hyperlink" Target="https://pesquisa.apps.tcu.gov.br/documento/jurisprudencia-selecionada/*/KEY%253AJURISPRUDENCIA-SELECIONADA-173186/score%2520desc/0" TargetMode="External"/><Relationship Id="rId15" Type="http://schemas.openxmlformats.org/officeDocument/2006/relationships/hyperlink" Target="https://pesquisa.apps.tcu.gov.br/documento/sumula/*/KEY%253ASUMULA-EJURIS-1689/score%2520desc/0" TargetMode="External"/><Relationship Id="rId16" Type="http://schemas.openxmlformats.org/officeDocument/2006/relationships/hyperlink" Target="https://pesquisa.apps.tcu.gov.br/documento/jurisprudencia-selecionada/*/KEY%253AJURISPRUDENCIA-SELECIONADA-193580/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