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340" w:type="dxa"/>
              <w:left w:w="340" w:type="dxa"/>
              <w:bottom w:w="340" w:type="dxa"/>
              <w:right w:w="34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9FD3DC"/>
                <w:sz w:val="22"/>
              </w:rPr>
              <w:t>LICITACON</w:t>
            </w:r>
            <w:r>
              <w:rPr>
                <w:b w:val="0"/>
                <w:i w:val="0"/>
                <w:color w:val="C9D6DE"/>
                <w:sz w:val="16"/>
              </w:rPr>
              <w:t xml:space="preserve">   ANÁLISE TÉCNICA EM LICITAÇÕES E CONTRATOS</w:t>
            </w:r>
          </w:p>
          <w:p>
            <w:pPr>
              <w:spacing w:before="80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52"/>
              </w:rPr>
              <w:t>PARECER TÉCNICO</w:t>
            </w:r>
          </w:p>
          <w:p>
            <w:pPr>
              <w:spacing w:before="40" w:after="600" w:line="240" w:lineRule="auto"/>
              <w:ind w:firstLine="0"/>
              <w:jc w:val="left"/>
            </w:pPr>
            <w:r>
              <w:rPr>
                <w:b w:val="0"/>
                <w:i w:val="0"/>
                <w:color w:val="9FD3DC"/>
                <w:sz w:val="26"/>
              </w:rPr>
              <w:t>nº 1355/2026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F7A8C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21"/>
              </w:rPr>
              <w:t>Conformidade do edital com a Lei 14.133/2021</w:t>
            </w:r>
          </w:p>
        </w:tc>
      </w:tr>
    </w:tbl>
    <w:p>
      <w:pPr>
        <w:spacing w:before="720" w:after="120" w:line="276" w:lineRule="auto"/>
        <w:ind w:firstLine="0"/>
        <w:jc w:val="left"/>
      </w:pPr>
      <w:r>
        <w:rPr>
          <w:b/>
          <w:i w:val="0"/>
          <w:color w:val="1F7A8C"/>
          <w:sz w:val="16"/>
        </w:rPr>
        <w:t>OBJETO</w:t>
      </w:r>
    </w:p>
    <w:p>
      <w:pPr>
        <w:spacing w:before="0" w:after="360" w:line="288" w:lineRule="auto"/>
        <w:ind w:firstLine="0"/>
        <w:jc w:val="left"/>
      </w:pPr>
      <w:r>
        <w:rPr>
          <w:b/>
          <w:i w:val="0"/>
          <w:color w:val="12324A"/>
          <w:sz w:val="30"/>
        </w:rPr>
        <w:t>Registro de preços para eventual contratação de empresa especializada em serviços de organização, produção e execução de estruturas decorativas e ornamentais para eventos públicos (confecção, ambientação temática, montagem, instalação e desmontagem), para a Secretaria Municipal de Cultura e Desenvolvimento do Turismo.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1"/>
        <w:gridCol w:w="7200"/>
      </w:tblGrid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INTERESSADO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Prefeitura Municipal de Campo Maior - PI (Secretaria Municipal de Cultura e Desenvolvimento do Turismo)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PROCESSO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Pregão Eletrônico nº 015/2026 - SRP (Edital nº 015/2026; PNCP 06716880000183-1-000022/2026)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MODALIDADE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Pregão eletrônico, sistema de registro de preços, menor preço por lote, modo de disputa aberto (certame já homologado: R$ 4.107.670,00)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BASE LEGAL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Lei 14.133/2021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DATA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29 de outubro de 2026</w:t>
            </w:r>
          </w:p>
        </w:tc>
      </w:tr>
    </w:tbl>
    <w:p>
      <w:pPr>
        <w:spacing w:before="520" w:after="0" w:line="240" w:lineRule="auto"/>
        <w:ind w:firstLine="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6" w:color="2E8B57" w:space="0"/>
              <w:bottom w:val="nil"/>
              <w:right w:val="nil"/>
            </w:tcBorders>
            <w:shd w:val="clear" w:color="auto" w:fill="E3F2E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2E8B57"/>
                <w:sz w:val="15"/>
              </w:rPr>
              <w:t xml:space="preserve">SITUAÇÃO GERAL  </w:t>
            </w:r>
            <w:r>
              <w:rPr>
                <w:b/>
                <w:i w:val="0"/>
                <w:color w:val="2E8B57"/>
                <w:sz w:val="21"/>
              </w:rPr>
              <w:t>Nenhuma não conformidade identificada nos itens verificados.</w:t>
            </w:r>
          </w:p>
        </w:tc>
      </w:tr>
    </w:tbl>
    <w:p>
      <w:pPr>
        <w:spacing w:before="1200" w:after="0" w:line="276" w:lineRule="auto"/>
        <w:ind w:firstLine="0"/>
        <w:jc w:val="center"/>
      </w:pPr>
      <w:r>
        <w:rPr>
          <w:b/>
          <w:i w:val="0"/>
          <w:sz w:val="22"/>
        </w:rPr>
        <w:t>Maricá – RJ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SUMÁRIO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1 PAINEL EXECUTIVO</w:t>
      </w:r>
      <w:r>
        <w:rPr>
          <w:b/>
          <w:i w:val="0"/>
          <w:sz w:val="22"/>
        </w:rPr>
        <w:tab/>
        <w:t>3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2 RELATÓRIO</w:t>
      </w:r>
      <w:r>
        <w:rPr>
          <w:b/>
          <w:i w:val="0"/>
          <w:sz w:val="22"/>
        </w:rPr>
        <w:tab/>
        <w:t>4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3 FUNDAMENTAÇÃO</w:t>
      </w:r>
      <w:r>
        <w:rPr>
          <w:b/>
          <w:i w:val="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4 RECOMENDAÇÕES DE MELHORIA</w:t>
      </w:r>
      <w:r>
        <w:rPr>
          <w:b/>
          <w:i w:val="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5 CONCLUSÃO</w:t>
      </w:r>
      <w:r>
        <w:rPr>
          <w:b/>
          <w:i w:val="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REFERÊNCIAS</w:t>
      </w:r>
      <w:r>
        <w:rPr>
          <w:b/>
          <w:i w:val="0"/>
          <w:sz w:val="22"/>
        </w:rPr>
        <w:tab/>
        <w:t>7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A – LISTA DE VERIFICAÇÃO</w:t>
      </w:r>
      <w:r>
        <w:rPr>
          <w:b/>
          <w:i w:val="0"/>
          <w:sz w:val="22"/>
        </w:rPr>
        <w:tab/>
        <w:t>8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B – METODOLOGIA E LIMITES</w:t>
      </w:r>
      <w:r>
        <w:rPr>
          <w:b/>
          <w:i w:val="0"/>
          <w:sz w:val="22"/>
        </w:rPr>
        <w:tab/>
        <w:t>9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1 PAINEL EXECUTIVO</w:t>
      </w:r>
    </w:p>
    <w:p>
      <w:pPr>
        <w:spacing w:before="0" w:after="16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Visão geral do resultado. O detalhamento, com o texto legal e os precedentes, está na seção 3.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12"/>
        <w:gridCol w:w="340"/>
        <w:gridCol w:w="2012"/>
        <w:gridCol w:w="340"/>
        <w:gridCol w:w="2012"/>
        <w:gridCol w:w="340"/>
        <w:gridCol w:w="2012"/>
      </w:tblGrid>
      <w:tr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B23A48" w:space="0"/>
              <w:left w:val="nil"/>
              <w:bottom w:val="nil"/>
              <w:right w:val="nil"/>
            </w:tcBorders>
            <w:shd w:val="clear" w:color="auto" w:fill="F8E6E8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ALTA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C9781E" w:space="0"/>
              <w:left w:val="nil"/>
              <w:bottom w:val="nil"/>
              <w:right w:val="nil"/>
            </w:tcBorders>
            <w:shd w:val="clear" w:color="auto" w:fill="FBEEDD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MÉDIA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3D8FA6" w:space="0"/>
              <w:left w:val="nil"/>
              <w:bottom w:val="nil"/>
              <w:right w:val="nil"/>
            </w:tcBorders>
            <w:shd w:val="clear" w:color="auto" w:fill="E3F1F5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BAIXA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2E8B57" w:space="0"/>
              <w:left w:val="nil"/>
              <w:bottom w:val="nil"/>
              <w:right w:val="nil"/>
            </w:tcBorders>
            <w:shd w:val="clear" w:color="auto" w:fill="E3F2EA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2E8B57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MELHORIAS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ind w:firstLine="0"/>
        <w:jc w:val="left"/>
      </w:pPr>
      <w:r>
        <w:rPr>
          <w:b/>
          <w:i w:val="0"/>
          <w:color w:val="66757F"/>
          <w:sz w:val="15"/>
        </w:rPr>
        <w:t xml:space="preserve">Índice de conformidade: </w:t>
      </w:r>
      <w:r>
        <w:rPr>
          <w:b w:val="0"/>
          <w:i w:val="0"/>
          <w:color w:val="66757F"/>
          <w:sz w:val="15"/>
        </w:rPr>
        <w:t>itens conformes mais metade dos parcialmente conformes, divididos pelos itens aplicáveis e verificáveis. Indicador de leitura rápida; não substitui o exame de cada apontamento.</w:t>
      </w:r>
    </w:p>
    <w:p>
      <w:pPr>
        <w:spacing w:before="0" w:after="120" w:line="240" w:lineRule="auto"/>
        <w:ind w:firstLine="0"/>
        <w:jc w:val="both"/>
      </w:pPr>
      <w:r>
        <w:rPr>
          <w:b/>
          <w:i w:val="0"/>
          <w:color w:val="1F7A8C"/>
          <w:sz w:val="18"/>
        </w:rPr>
        <w:t>PRINCIPAIS ACHADOS</w:t>
      </w:r>
    </w:p>
    <w:p>
      <w:pPr>
        <w:spacing w:before="0" w:after="0" w:line="360" w:lineRule="auto"/>
        <w:ind w:firstLine="0"/>
        <w:jc w:val="both"/>
      </w:pPr>
      <w:r>
        <w:rPr>
          <w:b w:val="0"/>
          <w:i/>
          <w:sz w:val="20"/>
        </w:rPr>
        <w:t>Nenhuma falha identificada nos itens aplicáveis.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PARECER TÉCNICO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nº 1355/2026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INTERESSADO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Prefeitura Municipal de Campo Maior - PI (Secretaria Municipal de Cultura e Desenvolvimento do Turismo)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ASSUNTO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Análise de conformidade — Registro de preços para eventual contratação de empresa especializada em serviços de organização, produção e execução de estruturas decorativas e ornamentais para eventos públicos (confecção, ambientação temática, montagem, instalação e desmontagem), para a Secretaria Municipal de Cultura e Desenvolvimento do Turismo.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REFERÊNCIA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Pregão Eletrônico nº 015/2026 - SRP (Edital nº 015/2026; PNCP 06716880000183-1-000022/2026)</w:t>
            </w:r>
          </w:p>
        </w:tc>
      </w:tr>
    </w:tbl>
    <w:p>
      <w:pPr>
        <w:spacing w:before="0" w:after="200" w:line="240" w:lineRule="auto"/>
        <w:ind w:firstLine="0"/>
        <w:jc w:val="both"/>
      </w:pPr>
    </w:p>
    <w:p>
      <w:pPr>
        <w:spacing w:before="0" w:after="80" w:line="240" w:lineRule="auto"/>
        <w:ind w:firstLine="0" w:left="3402"/>
        <w:jc w:val="both"/>
      </w:pPr>
      <w:r>
        <w:rPr>
          <w:b/>
          <w:i w:val="0"/>
          <w:color w:val="12324A"/>
          <w:sz w:val="20"/>
        </w:rPr>
        <w:t xml:space="preserve">EMENTA: </w:t>
      </w:r>
      <w:r>
        <w:rPr>
          <w:b/>
          <w:i w:val="0"/>
          <w:sz w:val="20"/>
        </w:rPr>
        <w:t xml:space="preserve">REGISTRO DE PREÇOS. PREGÃO ELETRÔNICO. MENOR PREÇO POR LOTE. ORÇAMENTO SIGILOSO. ADESÃO À ATA (CARONA). VIGÊNCIA DA ATA E QUANTITATIVOS. PRAZO DE PROPOSTAS. QUALIFICAÇÃO TÉCNICA. REAJUSTE. COERÊNCIA DO EDITAL. </w:t>
      </w:r>
      <w:r>
        <w:rPr>
          <w:b w:val="0"/>
          <w:i w:val="0"/>
          <w:sz w:val="20"/>
        </w:rPr>
        <w:t>O edital cumpre o conteúdo mínimo do art. 25, a fase recursal, as sanções e as impugnações. Há falhas relevantes: a ata admite adesão de órgãos federais, estaduais e distritais, em violação ao art. 86, §§ 3º, II, e 8º. As quantidades foram dimensionadas para 2026–2028, período maior que a vigência da ata. O julgamento por lote não tem a justificativa do art. 82, § 1º. O sigilo do orçamento é motivado de forma genérica. O prazo de propostas (9 dias úteis) é inferior ao mínimo para serviços comuns. Como o certame foi homologado, as providências se dirigem à execução da ata e aos próximos processos.</w:t>
      </w:r>
    </w:p>
    <w:p>
      <w:pPr>
        <w:spacing w:before="0" w:after="120" w:line="24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2 RELATÓRIO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Trata-se de análise técnica de conformidade solicitada em relação ao processo Pregão Eletrônico nº 015/2026 - SRP (Edital nº 015/2026; PNCP 06716880000183-1-000022/2026), do Prefeitura Municipal de Campo Maior - PI (Secretaria Municipal de Cultura e Desenvolvimento do Turismo), cujo objeto é: Registro de preços para eventual contratação de empresa especializada em serviços de organização, produção e execução de estruturas decorativas e ornamentais para eventos públicos (confecção, ambientação temática, montagem, instalação e desmontagem), para a Secretaria Municipal de Cultura e Desenvolvimento do Turismo.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Foram examinados os seguintes documentos: Edital e minutas (ata e contrato) (https://pncp.gov.br/app/editais/06716880000183/2026/22, 76 páginas). O exame teve por parâmetro a Lei 14.133/2021, aplicando-se o roteiro de verificação Licitacon (versão 2026-10-29), com 22 itens pertinentes ao caso.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Pregão Eletrônico SRP nº 015/2026, do Município de Campo Maior - PI, tem critério de menor preço por lote (sete lotes por evento) e regime de empreitada por preço unitário. O edital segue o modelo padronizado da Lei 14.133/2021 e do Decreto 11.462/2023. Estão conformes o conteúdo geral do edital, a qualificação econômico-financeira (apenas certidão de falência), a garantia de proposta (valor muito inferior a 1%), os recursos (art. 165), as impugnações (art. 164) e o regime de multas (0,5% a 30%). As principais falhas são: (i) a minuta da ata admite adesão de órgãos de todas as esferas (art. 86, §§ 3º, II, e 8º); (ii) as quantidades foram estimadas para 2026–2028, mas a ata vale 1 ano, prorrogável por mais 1; (iii) não há demonstração da inviabilidade de adjudicar por item nem da vantagem do agrupamento em lotes, nem preço unitário máximo; (iv) o orçamento sigiloso tem justificativa genérica e não indica o momento de divulgação, enquanto o PNCP registra o valor como 'sem sigilo'; (v) o prazo entre a divulgação e o fim do recebimento de propostas foi de 9 dias úteis, abaixo do mínimo de 10 dias úteis para serviços comuns; (vi) a qualificação técnica é genérica (serviços 'compatíveis') e não identifica parcelas de maior relevância; (vii) a data-base do reajuste não é determinável; (viii) faltam regras obrigatórias do art. 82 (quantidade mínima a cotar, cotação de quantitativo inferior ao máximo, vedação de participação em mais de uma ata). Há ainda incoerências internas.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É o relatório. Passa-se à fundamentação.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 FUNDAMENTAÇÃO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Cada apontamento indica a constatação no documento, o dispositivo legal aplicável (transcrito do texto oficial vigente), a análise do caso, o risco de manutenção, a providência recomendada e os precedentes localizados na Biblioteca Licitacon.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4 RECOMENDAÇÕES DE MELHORIA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Não há recomendações adicionais.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5 CONCLUSÃO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edital tem boa base de conteúdo e atende vários requisitos obrigatórios. Há, porém, vícios de planejamento e de redação que afetam a execução da ata, em especial a abertura indevida da adesão a órgãos de outras esferas, a quantidade superestimada para três anos e o agrupamento em lotes sem justificativa. Como o certame já foi homologado (R$ 4.107.670,00), recomenda-se: (a) não autorizar adesões de órgãos federais, estaduais ou distritais e restringir a ata aos órgãos municipais; (b) limitar as contratações à vigência da ata, com memória de cálculo, e registrar em novo SRP as demandas de 2027–2028; (c) juntar ao processo a justificativa do sigilo, o momento da divulgação do orçamento e a justificativa do agrupamento por lote, além de avaliar o efeito do prazo de propostas na competitividade; (d) esclarecer a data-base do reajuste por apostila; (e) revisar o modelo de edital, ETP, TR e minutas antes dos próximos certames, corrigindo as incoerências apontadas. A análise jurídica prévia (art. 53) não pôde ser verificada nos documentos enviados.</w:t>
      </w:r>
    </w:p>
    <w:p>
      <w:pPr>
        <w:spacing w:before="120" w:after="120" w:line="360" w:lineRule="auto"/>
        <w:ind w:firstLine="709"/>
        <w:jc w:val="both"/>
      </w:pPr>
      <w:r>
        <w:rPr>
          <w:b w:val="0"/>
          <w:i w:val="0"/>
        </w:rPr>
        <w:t>O presente parecer tem natureza técnica, de apoio à instrução do processo, e não substitui a análise jurídica prévia obrigatória (art. 53 da Lei 14.133/2021) nem a decisão da autoridade competente.</w:t>
      </w:r>
    </w:p>
    <w:p>
      <w:pPr>
        <w:spacing w:before="0" w:after="360" w:line="360" w:lineRule="auto"/>
        <w:ind w:firstLine="709"/>
        <w:jc w:val="both"/>
      </w:pPr>
      <w:r>
        <w:rPr>
          <w:b w:val="0"/>
          <w:i w:val="0"/>
        </w:rPr>
        <w:t>É o parecer técnico.</w:t>
      </w:r>
    </w:p>
    <w:p>
      <w:pPr>
        <w:spacing w:before="0" w:after="720" w:line="360" w:lineRule="auto"/>
        <w:ind w:firstLine="0"/>
        <w:jc w:val="right"/>
      </w:pPr>
      <w:r>
        <w:rPr>
          <w:b w:val="0"/>
          <w:i w:val="0"/>
        </w:rPr>
        <w:t>Maricá (RJ), 29 de outubro de 2026.</w:t>
      </w:r>
    </w:p>
    <w:p>
      <w:pPr>
        <w:spacing w:before="0" w:after="0" w:line="240" w:lineRule="auto"/>
        <w:ind w:firstLine="0"/>
        <w:jc w:val="center"/>
      </w:pPr>
      <w:r>
        <w:rPr>
          <w:b w:val="0"/>
          <w:i w:val="0"/>
          <w:color w:val="D9DEE2"/>
        </w:rPr>
        <w:t>__________________________________________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Agente Licitacon</w:t>
      </w:r>
    </w:p>
    <w:p>
      <w:pPr>
        <w:spacing w:before="0" w:after="0" w:line="276" w:lineRule="auto"/>
        <w:ind w:firstLine="0"/>
        <w:jc w:val="center"/>
      </w:pPr>
      <w:r>
        <w:rPr>
          <w:b w:val="0"/>
          <w:i w:val="0"/>
          <w:color w:val="66757F"/>
          <w:sz w:val="19"/>
        </w:rPr>
        <w:t>Análise técnica automatizada em licitações e contratos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REFERÊNCIAS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PREFEITURA MUNICIPAL DE CAMPO MAIOR - PI (SECRETARIA MUNICIPAL DE CULTURA E DESENVOLVIMENTO DO TURISMO). Edital e minutas (ata e contrato) — Pregão Eletrônico nº 015/2026 - SRP (Edital nº 015/2026; PNCP 06716880000183-1-000022/2026). Disponível em: https://pncp.gov.br/app/editais/06716880000183/2026/22. Acesso em: 29 out. 2026.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A – LISTA DE VERIFICAÇÃO</w:t>
      </w:r>
    </w:p>
    <w:p>
      <w:pPr>
        <w:spacing w:before="0" w:after="12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Todos os itens do roteiro aplicados a este processo.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1701"/>
        <w:gridCol w:w="1587"/>
        <w:gridCol w:w="2268"/>
      </w:tblGrid>
      <w:tr>
        <w:tc>
          <w:tcPr>
            <w:tcW w:type="dxa" w:w="3515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701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DOCUMENTO</w:t>
            </w:r>
          </w:p>
        </w:tc>
        <w:tc>
          <w:tcPr>
            <w:tcW w:type="dxa" w:w="1587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2268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FUNDAMENTO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Conteúdo mínimo do edital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Índice de reajuste com data-base no orçamento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25, § 7º; art. 92, § 3º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Critério de reajuste em serviços contínuos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25, § 8º, inciso I; art. 25, § 8º, inciso II; art. 92, § 4º, inciso II; art. 135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Divulgação de todos os anexos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25, § 3º; art. 54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Prazo mínimo para apresentação de propostas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55; art. 183; art. 183, § 1º, inciso 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Qualificação técnica proporcional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67, § 1º; art. 67,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Qualificação econômico-financeira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69; art. 69, § 2º; art. 69, § 4º; art. 69, § 5º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Garantia de proposta e garantia contratual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58, § 1º; art. 98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Participação em consórcio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15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Tratamento diferenciado a ME e EPP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4; art. 4, § 1º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Impugnação e esclarecimentos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164; art. 164, Parágrafo único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Recursos administrativos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165, inciso I; art. 165, § 1º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Sanções e multas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156; art. 156, § 3º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Orçamento sigiloso motivado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24; art. 18, inciso XI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Minuta de contrato como anexo e cláusulas necessárias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inciso VI; art. 92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Vigência e prorrogação de serviços contínuos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106; art. 107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Parecer jurídico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53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Registro de preços: julgamento por lote (grupo de itens)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82, § 1º; art. 82,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Registro de preços: quem pode aderir à ata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86, § 3º; art. 86, § 3º, inciso II; art. 86, § 8º; art. 86, § 4º; art. 86, § 5º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Registro de preços: quantidades e vigência da ata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82, inciso I; art. 84; art. 18, § 1º, inciso IV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Registro de preços: regras obrigatórias do edital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82, inciso II; art. 82, inciso IV; art. 82, inciso VI; art. 82, inciso VII; art. 82, inciso VIII; art. 82, inciso IX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Coerência interna do edital e dos anexos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Edital e minutas (ata e contrato)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25; art. 18, inciso IX</w:t>
            </w:r>
          </w:p>
        </w:tc>
      </w:tr>
    </w:tbl>
    <w:p>
      <w:pPr>
        <w:spacing w:before="0" w:after="120" w:line="36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B – METODOLOGIA E LIMITES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a) </w:t>
      </w:r>
      <w:r>
        <w:rPr>
          <w:b w:val="0"/>
          <w:i w:val="0"/>
        </w:rPr>
        <w:t>Cada item do roteiro de verificação foi conferido nos documentos enviados; o trecho transcrito indica onde a constatação foi feita.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b) </w:t>
      </w:r>
      <w:r>
        <w:rPr>
          <w:b w:val="0"/>
          <w:i w:val="0"/>
        </w:rPr>
        <w:t>Os dispositivos legais reproduzem o texto oficial vigente constante da base normativa do Licitacon na data da análise, conferido automaticamente quanto à existência, revogação e veto.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c) </w:t>
      </w:r>
      <w:r>
        <w:rPr>
          <w:b w:val="0"/>
          <w:i w:val="0"/>
        </w:rPr>
        <w:t>Os precedentes provêm exclusivamente da Biblioteca Licitacon, com indicação da fonte oficial; a ausência de precedente listado não significa ausência de jurisprudência.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d) </w:t>
      </w:r>
      <w:r>
        <w:rPr>
          <w:b w:val="0"/>
          <w:i w:val="0"/>
        </w:rPr>
        <w:t>Cálculos de planilha são conferidos por programa a partir de arquivo em Excel; planilhas em PDF não permitem conferir fórmulas.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e) </w:t>
      </w:r>
      <w:r>
        <w:rPr>
          <w:b w:val="0"/>
          <w:i w:val="0"/>
        </w:rPr>
        <w:t>Normas estaduais e municipais, regulamentos internos e orientações locais somente são considerados quando enviados com os documentos.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f) </w:t>
      </w:r>
      <w:r>
        <w:rPr>
          <w:b w:val="0"/>
          <w:i w:val="0"/>
        </w:rPr>
        <w:t>O código de verificação 1355632C9D identifica o conteúdo desta análise; qualquer alteração no resultado gera código diferente.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85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b w:val="0"/>
        <w:i w:val="0"/>
        <w:color w:val="66757F"/>
        <w:sz w:val="14"/>
      </w:rPr>
      <w:t>Análise técnica de apoio à instrução processual · não substitui o parecer jurídico do art. 53 da Lei 14.133/2021 · código de verificação 1355632C9D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6803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left"/>
          </w:pPr>
          <w:r>
            <w:rPr>
              <w:b/>
              <w:i w:val="0"/>
              <w:color w:val="1F7A8C"/>
              <w:sz w:val="16"/>
            </w:rPr>
            <w:t>LICITACON</w:t>
          </w:r>
          <w:r>
            <w:rPr>
              <w:b w:val="0"/>
              <w:i w:val="0"/>
              <w:color w:val="66757F"/>
              <w:sz w:val="16"/>
            </w:rPr>
            <w:t xml:space="preserve">  ·  Parecer Técnico nº 1355/2026</w:t>
          </w:r>
        </w:p>
      </w:tc>
      <w:tc>
        <w:tcPr>
          <w:tcW w:type="dxa" w:w="2268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right"/>
          </w:pPr>
          <w:r>
            <w:rPr>
              <w:color w:val="12324A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 w:eastAsia="Arial"/>
      <w:color w:val="1E2A3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