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2324A"/>
            <w:tcMar>
              <w:top w:w="340" w:type="dxa"/>
              <w:left w:w="340" w:type="dxa"/>
              <w:bottom w:w="340" w:type="dxa"/>
              <w:right w:w="340" w:type="dxa"/>
            </w:tcMar>
          </w:tcPr>
          <w:p>
            <w:pPr>
              <w:spacing w:before="0" w:after="40" w:line="240" w:lineRule="auto"/>
              <w:ind w:firstLine="0"/>
              <w:jc w:val="left"/>
            </w:pPr>
            <w:r>
              <w:rPr>
                <w:b/>
                <w:i w:val="0"/>
                <w:color w:val="9FD3DC"/>
                <w:sz w:val="22"/>
              </w:rPr>
              <w:t>LICITACON</w:t>
            </w:r>
            <w:r>
              <w:rPr>
                <w:b w:val="0"/>
                <w:i w:val="0"/>
                <w:color w:val="C9D6DE"/>
                <w:sz w:val="16"/>
              </w:rPr>
              <w:t xml:space="preserve">   ANÁLISE TÉCNICA EM LICITAÇÕES E CONTRATOS</w:t>
            </w:r>
          </w:p>
          <w:p>
            <w:pPr>
              <w:spacing w:before="800" w:after="0" w:line="240" w:lineRule="auto"/>
              <w:ind w:firstLine="0"/>
              <w:jc w:val="left"/>
            </w:pPr>
            <w:r>
              <w:rPr>
                <w:b/>
                <w:i w:val="0"/>
                <w:color w:val="FFFFFF"/>
                <w:sz w:val="52"/>
              </w:rPr>
              <w:t>PARECER TÉCNICO</w:t>
            </w:r>
          </w:p>
          <w:p>
            <w:pPr>
              <w:spacing w:before="40" w:after="600" w:line="240" w:lineRule="auto"/>
              <w:ind w:firstLine="0"/>
              <w:jc w:val="left"/>
            </w:pPr>
            <w:r>
              <w:rPr>
                <w:b w:val="0"/>
                <w:i w:val="0"/>
                <w:color w:val="9FD3DC"/>
                <w:sz w:val="26"/>
              </w:rPr>
              <w:t>nº C2E3/2026</w:t>
            </w:r>
          </w:p>
        </w:tc>
      </w:tr>
    </w:tbl>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cBorders>
            <w:shd w:val="clear" w:color="auto" w:fill="1F7A8C"/>
            <w:tcMar>
              <w:top w:w="198" w:type="dxa"/>
              <w:left w:w="198" w:type="dxa"/>
              <w:bottom w:w="198" w:type="dxa"/>
              <w:right w:w="198" w:type="dxa"/>
            </w:tcMar>
          </w:tcPr>
          <w:p>
            <w:pPr>
              <w:spacing w:before="0" w:after="0" w:line="240" w:lineRule="auto"/>
              <w:ind w:firstLine="0"/>
              <w:jc w:val="left"/>
            </w:pPr>
            <w:r>
              <w:rPr>
                <w:b/>
                <w:i w:val="0"/>
                <w:color w:val="FFFFFF"/>
                <w:sz w:val="21"/>
              </w:rPr>
              <w:t>Conformidade do edital com a Lei 14.133/2021</w:t>
            </w:r>
          </w:p>
        </w:tc>
      </w:tr>
    </w:tbl>
    <w:p>
      <w:pPr>
        <w:spacing w:before="720" w:after="120" w:line="276" w:lineRule="auto"/>
        <w:ind w:firstLine="0"/>
        <w:jc w:val="left"/>
      </w:pPr>
      <w:r>
        <w:rPr>
          <w:b/>
          <w:i w:val="0"/>
          <w:color w:val="1F7A8C"/>
          <w:sz w:val="16"/>
        </w:rPr>
        <w:t>OBJETO</w:t>
      </w:r>
    </w:p>
    <w:p>
      <w:pPr>
        <w:spacing w:before="0" w:after="360" w:line="288" w:lineRule="auto"/>
        <w:ind w:firstLine="0"/>
        <w:jc w:val="left"/>
      </w:pPr>
      <w:r>
        <w:rPr>
          <w:b/>
          <w:i w:val="0"/>
          <w:color w:val="12324A"/>
          <w:sz w:val="30"/>
        </w:rPr>
        <w:t>Registro de preços para contratação de empresa especializada na prestação de serviços de locação de máquinas e veículos (com motorista/operador), 20 itens, valor estimado de R$ 35.395.526,40</w:t>
      </w:r>
    </w:p>
    <w:tbl>
      <w:tblPr>
        <w:tblW w:type="auto" w:w="0"/>
        <w:jc w:val="center"/>
        <w:tblLook w:firstColumn="1" w:firstRow="1" w:lastColumn="0" w:lastRow="0" w:noHBand="0" w:noVBand="1" w:val="04A0"/>
        <w:tblLayout w:type="fixed"/>
      </w:tblPr>
      <w:tblGrid>
        <w:gridCol w:w="1871"/>
        <w:gridCol w:w="7200"/>
      </w:tblGrid>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INTERESSADO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Prefeitura Municipal de Maricá – Secretaria de Proteção e Defesa Civil</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PROCESSO</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nº 21/2025 – SRP (Processo 2790/2025; PNCP 29131075000193-1-000221/2025)</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MODALIDADE</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Pregão Eletrônico – Sistema de Registro de Preços, menor preço por grupo, modo de disputa fechado-aberto</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BASE LEGAL</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Lei 14.133/2021</w:t>
            </w:r>
          </w:p>
        </w:tc>
      </w:tr>
      <w:tr>
        <w:tc>
          <w:tcPr>
            <w:tcW w:type="dxa" w:w="1871"/>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i w:val="0"/>
                <w:color w:val="66757F"/>
                <w:sz w:val="15"/>
              </w:rPr>
              <w:t>DATA</w:t>
            </w:r>
          </w:p>
        </w:tc>
        <w:tc>
          <w:tcPr>
            <w:tcW w:type="dxa" w:w="7200"/>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64" w:lineRule="auto"/>
              <w:ind w:firstLine="0"/>
              <w:jc w:val="left"/>
            </w:pPr>
            <w:r>
              <w:rPr>
                <w:b w:val="0"/>
                <w:i w:val="0"/>
                <w:sz w:val="19"/>
              </w:rPr>
              <w:t>29 de outubro de 2026</w:t>
            </w:r>
          </w:p>
        </w:tc>
      </w:tr>
    </w:tbl>
    <w:p>
      <w:pPr>
        <w:spacing w:before="520" w:after="0" w:line="240" w:lineRule="auto"/>
        <w:ind w:firstLine="0"/>
        <w:jc w:val="left"/>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6" w:color="B23A48" w:space="0"/>
              <w:bottom w:val="nil"/>
              <w:right w:val="nil"/>
            </w:tcBorders>
            <w:shd w:val="clear" w:color="auto" w:fill="F8E6E8"/>
            <w:tcMar>
              <w:top w:w="170" w:type="dxa"/>
              <w:left w:w="170" w:type="dxa"/>
              <w:bottom w:w="170" w:type="dxa"/>
              <w:right w:w="170" w:type="dxa"/>
            </w:tcMar>
          </w:tcPr>
          <w:p>
            <w:pPr>
              <w:spacing w:before="0" w:after="0" w:line="264" w:lineRule="auto"/>
              <w:ind w:firstLine="0"/>
              <w:jc w:val="left"/>
            </w:pPr>
            <w:r>
              <w:rPr>
                <w:b/>
                <w:i w:val="0"/>
                <w:color w:val="B23A48"/>
                <w:sz w:val="15"/>
              </w:rPr>
              <w:t xml:space="preserve">SITUAÇÃO GERAL  </w:t>
            </w:r>
            <w:r>
              <w:rPr>
                <w:b/>
                <w:i w:val="0"/>
                <w:color w:val="B23A48"/>
                <w:sz w:val="21"/>
              </w:rPr>
              <w:t>Há falhas graves que recomendam correção.</w:t>
            </w:r>
          </w:p>
        </w:tc>
      </w:tr>
    </w:tbl>
    <w:p>
      <w:pPr>
        <w:spacing w:before="160" w:after="0" w:line="276" w:lineRule="auto"/>
        <w:ind w:firstLine="0"/>
        <w:jc w:val="left"/>
      </w:pPr>
      <w:r>
        <w:rPr>
          <w:b/>
          <w:i w:val="0"/>
          <w:color w:val="1F7A8C"/>
          <w:sz w:val="15"/>
        </w:rPr>
        <w:t xml:space="preserve">PARECER OPINATIVO  </w:t>
      </w:r>
      <w:r>
        <w:rPr>
          <w:b w:val="0"/>
          <w:i w:val="0"/>
          <w:color w:val="1E2A32"/>
          <w:sz w:val="18"/>
        </w:rPr>
        <w:t>As recomendações não vinculam o destinatário; a decisão final é sempre de quem recebe este parecer.</w:t>
      </w:r>
    </w:p>
    <w:p>
      <w:pPr>
        <w:spacing w:before="1200" w:after="0" w:line="276" w:lineRule="auto"/>
        <w:ind w:firstLine="0"/>
        <w:jc w:val="center"/>
      </w:pPr>
      <w:r>
        <w:rPr>
          <w:b/>
          <w:i w:val="0"/>
          <w:sz w:val="22"/>
        </w:rPr>
        <w:t>Maricá – RJ</w:t>
      </w:r>
    </w:p>
    <w:p>
      <w:pPr>
        <w:spacing w:before="0" w:after="0" w:line="276" w:lineRule="auto"/>
        <w:ind w:firstLine="0"/>
        <w:jc w:val="center"/>
      </w:pPr>
      <w:r>
        <w:rPr>
          <w:b/>
          <w:i w:val="0"/>
          <w:sz w:val="22"/>
        </w:rPr>
        <w:t>2026</w:t>
      </w:r>
    </w:p>
    <w:p>
      <w:r>
        <w:br w:type="page"/>
      </w:r>
    </w:p>
    <w:p>
      <w:pPr>
        <w:pStyle w:val="Heading1"/>
        <w:keepNext/>
        <w:spacing w:before="360" w:after="160" w:line="360" w:lineRule="auto"/>
        <w:ind w:firstLine="0"/>
        <w:jc w:val="left"/>
      </w:pPr>
      <w:r>
        <w:rPr>
          <w:rFonts w:ascii="Arial" w:hAnsi="Arial"/>
          <w:b/>
          <w:i w:val="0"/>
          <w:color w:val="12324A"/>
          <w:sz w:val="24"/>
        </w:rPr>
        <w:t>SUMÁRIO</w:t>
      </w:r>
    </w:p>
    <w:p>
      <w:pPr>
        <w:tabs>
          <w:tab w:pos="9071" w:val="right" w:leader="dot"/>
        </w:tabs>
        <w:spacing w:before="0" w:after="0" w:line="360" w:lineRule="auto"/>
        <w:ind w:firstLine="0" w:left="0"/>
        <w:jc w:val="left"/>
      </w:pPr>
      <w:r>
        <w:rPr>
          <w:b/>
          <w:i w:val="0"/>
          <w:sz w:val="22"/>
        </w:rPr>
        <w:t>1 PAINEL EXECUTIVO</w:t>
      </w:r>
      <w:r>
        <w:rPr>
          <w:b/>
          <w:i w:val="0"/>
          <w:sz w:val="22"/>
        </w:rPr>
        <w:tab/>
        <w:t>4</w:t>
      </w:r>
    </w:p>
    <w:p>
      <w:pPr>
        <w:tabs>
          <w:tab w:pos="9071" w:val="right" w:leader="dot"/>
        </w:tabs>
        <w:spacing w:before="0" w:after="0" w:line="360" w:lineRule="auto"/>
        <w:ind w:firstLine="0" w:left="0"/>
        <w:jc w:val="left"/>
      </w:pPr>
      <w:r>
        <w:rPr>
          <w:b/>
          <w:i w:val="0"/>
          <w:sz w:val="22"/>
        </w:rPr>
        <w:t>2 RELATÓRIO</w:t>
      </w:r>
      <w:r>
        <w:rPr>
          <w:b/>
          <w:i w:val="0"/>
          <w:sz w:val="22"/>
        </w:rPr>
        <w:tab/>
        <w:t>6</w:t>
      </w:r>
    </w:p>
    <w:p>
      <w:pPr>
        <w:tabs>
          <w:tab w:pos="9071" w:val="right" w:leader="dot"/>
        </w:tabs>
        <w:spacing w:before="0" w:after="0" w:line="360" w:lineRule="auto"/>
        <w:ind w:firstLine="0" w:left="0"/>
        <w:jc w:val="left"/>
      </w:pPr>
      <w:r>
        <w:rPr>
          <w:b/>
          <w:i w:val="0"/>
          <w:sz w:val="22"/>
        </w:rPr>
        <w:t>3 FUNDAMENTAÇÃO</w:t>
      </w:r>
      <w:r>
        <w:rPr>
          <w:b/>
          <w:i w:val="0"/>
          <w:sz w:val="22"/>
        </w:rPr>
        <w:tab/>
        <w:t>7</w:t>
      </w:r>
    </w:p>
    <w:p>
      <w:pPr>
        <w:tabs>
          <w:tab w:pos="9071" w:val="right" w:leader="dot"/>
        </w:tabs>
        <w:spacing w:before="0" w:after="0" w:line="360" w:lineRule="auto"/>
        <w:ind w:firstLine="0" w:left="340"/>
        <w:jc w:val="left"/>
      </w:pPr>
      <w:r>
        <w:rPr>
          <w:b w:val="0"/>
          <w:i w:val="0"/>
          <w:sz w:val="21"/>
        </w:rPr>
        <w:t>3.1 Prazo mínimo para apresentação de propostas</w:t>
      </w:r>
      <w:r>
        <w:rPr>
          <w:b w:val="0"/>
          <w:i w:val="0"/>
          <w:sz w:val="21"/>
        </w:rPr>
        <w:tab/>
        <w:t>8</w:t>
      </w:r>
    </w:p>
    <w:p>
      <w:pPr>
        <w:tabs>
          <w:tab w:pos="9071" w:val="right" w:leader="dot"/>
        </w:tabs>
        <w:spacing w:before="0" w:after="0" w:line="360" w:lineRule="auto"/>
        <w:ind w:firstLine="0" w:left="340"/>
        <w:jc w:val="left"/>
      </w:pPr>
      <w:r>
        <w:rPr>
          <w:b w:val="0"/>
          <w:i w:val="0"/>
          <w:sz w:val="21"/>
        </w:rPr>
        <w:t>3.2 Qualificação técnica proporcional</w:t>
      </w:r>
      <w:r>
        <w:rPr>
          <w:b w:val="0"/>
          <w:i w:val="0"/>
          <w:sz w:val="21"/>
        </w:rPr>
        <w:tab/>
        <w:t>9</w:t>
      </w:r>
    </w:p>
    <w:p>
      <w:pPr>
        <w:tabs>
          <w:tab w:pos="9071" w:val="right" w:leader="dot"/>
        </w:tabs>
        <w:spacing w:before="0" w:after="0" w:line="360" w:lineRule="auto"/>
        <w:ind w:firstLine="0" w:left="340"/>
        <w:jc w:val="left"/>
      </w:pPr>
      <w:r>
        <w:rPr>
          <w:b w:val="0"/>
          <w:i w:val="0"/>
          <w:sz w:val="21"/>
        </w:rPr>
        <w:t>3.3 Registro de preços: julgamento por lote (grupo de itens)</w:t>
      </w:r>
      <w:r>
        <w:rPr>
          <w:b w:val="0"/>
          <w:i w:val="0"/>
          <w:sz w:val="21"/>
        </w:rPr>
        <w:tab/>
        <w:t>10</w:t>
      </w:r>
    </w:p>
    <w:p>
      <w:pPr>
        <w:tabs>
          <w:tab w:pos="9071" w:val="right" w:leader="dot"/>
        </w:tabs>
        <w:spacing w:before="0" w:after="0" w:line="360" w:lineRule="auto"/>
        <w:ind w:firstLine="0" w:left="340"/>
        <w:jc w:val="left"/>
      </w:pPr>
      <w:r>
        <w:rPr>
          <w:b w:val="0"/>
          <w:i w:val="0"/>
          <w:sz w:val="21"/>
        </w:rPr>
        <w:t>3.4 Orçamento estimado sem pesquisa de preços demonstrada</w:t>
      </w:r>
      <w:r>
        <w:rPr>
          <w:b w:val="0"/>
          <w:i w:val="0"/>
          <w:sz w:val="21"/>
        </w:rPr>
        <w:tab/>
        <w:t>12</w:t>
      </w:r>
    </w:p>
    <w:p>
      <w:pPr>
        <w:tabs>
          <w:tab w:pos="9071" w:val="right" w:leader="dot"/>
        </w:tabs>
        <w:spacing w:before="0" w:after="0" w:line="360" w:lineRule="auto"/>
        <w:ind w:firstLine="0" w:left="340"/>
        <w:jc w:val="left"/>
      </w:pPr>
      <w:r>
        <w:rPr>
          <w:b w:val="0"/>
          <w:i w:val="0"/>
          <w:sz w:val="21"/>
        </w:rPr>
        <w:t>3.5 Linhas duplicadas com descrição idêntica e preços muito diferentes (risco de jogo de planilha)</w:t>
      </w:r>
      <w:r>
        <w:rPr>
          <w:b w:val="0"/>
          <w:i w:val="0"/>
          <w:sz w:val="21"/>
        </w:rPr>
        <w:tab/>
        <w:t>13</w:t>
      </w:r>
    </w:p>
    <w:p>
      <w:pPr>
        <w:tabs>
          <w:tab w:pos="9071" w:val="right" w:leader="dot"/>
        </w:tabs>
        <w:spacing w:before="0" w:after="0" w:line="360" w:lineRule="auto"/>
        <w:ind w:firstLine="0" w:left="340"/>
        <w:jc w:val="left"/>
      </w:pPr>
      <w:r>
        <w:rPr>
          <w:b w:val="0"/>
          <w:i w:val="0"/>
          <w:sz w:val="21"/>
        </w:rPr>
        <w:t>3.6 Índice de reajuste com data-base no orçamento</w:t>
      </w:r>
      <w:r>
        <w:rPr>
          <w:b w:val="0"/>
          <w:i w:val="0"/>
          <w:sz w:val="21"/>
        </w:rPr>
        <w:tab/>
        <w:t>14</w:t>
      </w:r>
    </w:p>
    <w:p>
      <w:pPr>
        <w:tabs>
          <w:tab w:pos="9071" w:val="right" w:leader="dot"/>
        </w:tabs>
        <w:spacing w:before="0" w:after="0" w:line="360" w:lineRule="auto"/>
        <w:ind w:firstLine="0" w:left="340"/>
        <w:jc w:val="left"/>
      </w:pPr>
      <w:r>
        <w:rPr>
          <w:b w:val="0"/>
          <w:i w:val="0"/>
          <w:sz w:val="21"/>
        </w:rPr>
        <w:t>3.7 Qualificação econômico-financeira</w:t>
      </w:r>
      <w:r>
        <w:rPr>
          <w:b w:val="0"/>
          <w:i w:val="0"/>
          <w:sz w:val="21"/>
        </w:rPr>
        <w:tab/>
        <w:t>15</w:t>
      </w:r>
    </w:p>
    <w:p>
      <w:pPr>
        <w:tabs>
          <w:tab w:pos="9071" w:val="right" w:leader="dot"/>
        </w:tabs>
        <w:spacing w:before="0" w:after="0" w:line="360" w:lineRule="auto"/>
        <w:ind w:firstLine="0" w:left="340"/>
        <w:jc w:val="left"/>
      </w:pPr>
      <w:r>
        <w:rPr>
          <w:b w:val="0"/>
          <w:i w:val="0"/>
          <w:sz w:val="21"/>
        </w:rPr>
        <w:t>3.8 Participação em consórcio</w:t>
      </w:r>
      <w:r>
        <w:rPr>
          <w:b w:val="0"/>
          <w:i w:val="0"/>
          <w:sz w:val="21"/>
        </w:rPr>
        <w:tab/>
        <w:t>17</w:t>
      </w:r>
    </w:p>
    <w:p>
      <w:pPr>
        <w:tabs>
          <w:tab w:pos="9071" w:val="right" w:leader="dot"/>
        </w:tabs>
        <w:spacing w:before="0" w:after="0" w:line="360" w:lineRule="auto"/>
        <w:ind w:firstLine="0" w:left="340"/>
        <w:jc w:val="left"/>
      </w:pPr>
      <w:r>
        <w:rPr>
          <w:b w:val="0"/>
          <w:i w:val="0"/>
          <w:sz w:val="21"/>
        </w:rPr>
        <w:t>3.9 Tratamento diferenciado a ME e EPP</w:t>
      </w:r>
      <w:r>
        <w:rPr>
          <w:b w:val="0"/>
          <w:i w:val="0"/>
          <w:sz w:val="21"/>
        </w:rPr>
        <w:tab/>
        <w:t>18</w:t>
      </w:r>
    </w:p>
    <w:p>
      <w:pPr>
        <w:tabs>
          <w:tab w:pos="9071" w:val="right" w:leader="dot"/>
        </w:tabs>
        <w:spacing w:before="0" w:after="0" w:line="360" w:lineRule="auto"/>
        <w:ind w:firstLine="0" w:left="340"/>
        <w:jc w:val="left"/>
      </w:pPr>
      <w:r>
        <w:rPr>
          <w:b w:val="0"/>
          <w:i w:val="0"/>
          <w:sz w:val="21"/>
        </w:rPr>
        <w:t>3.10 Minuta de contrato como anexo e cláusulas necessárias</w:t>
      </w:r>
      <w:r>
        <w:rPr>
          <w:b w:val="0"/>
          <w:i w:val="0"/>
          <w:sz w:val="21"/>
        </w:rPr>
        <w:tab/>
        <w:t>19</w:t>
      </w:r>
    </w:p>
    <w:p>
      <w:pPr>
        <w:tabs>
          <w:tab w:pos="9071" w:val="right" w:leader="dot"/>
        </w:tabs>
        <w:spacing w:before="0" w:after="0" w:line="360" w:lineRule="auto"/>
        <w:ind w:firstLine="0" w:left="340"/>
        <w:jc w:val="left"/>
      </w:pPr>
      <w:r>
        <w:rPr>
          <w:b w:val="0"/>
          <w:i w:val="0"/>
          <w:sz w:val="21"/>
        </w:rPr>
        <w:t>3.11 Registro de preços: quantidades e vigência da ata</w:t>
      </w:r>
      <w:r>
        <w:rPr>
          <w:b w:val="0"/>
          <w:i w:val="0"/>
          <w:sz w:val="21"/>
        </w:rPr>
        <w:tab/>
        <w:t>20</w:t>
      </w:r>
    </w:p>
    <w:p>
      <w:pPr>
        <w:tabs>
          <w:tab w:pos="9071" w:val="right" w:leader="dot"/>
        </w:tabs>
        <w:spacing w:before="0" w:after="0" w:line="360" w:lineRule="auto"/>
        <w:ind w:firstLine="0" w:left="340"/>
        <w:jc w:val="left"/>
      </w:pPr>
      <w:r>
        <w:rPr>
          <w:b w:val="0"/>
          <w:i w:val="0"/>
          <w:sz w:val="21"/>
        </w:rPr>
        <w:t>3.12 Coerência interna do edital e dos anexos</w:t>
      </w:r>
      <w:r>
        <w:rPr>
          <w:b w:val="0"/>
          <w:i w:val="0"/>
          <w:sz w:val="21"/>
        </w:rPr>
        <w:tab/>
        <w:t>21</w:t>
      </w:r>
    </w:p>
    <w:p>
      <w:pPr>
        <w:tabs>
          <w:tab w:pos="9071" w:val="right" w:leader="dot"/>
        </w:tabs>
        <w:spacing w:before="0" w:after="0" w:line="360" w:lineRule="auto"/>
        <w:ind w:firstLine="0" w:left="340"/>
        <w:jc w:val="left"/>
      </w:pPr>
      <w:r>
        <w:rPr>
          <w:b w:val="0"/>
          <w:i w:val="0"/>
          <w:sz w:val="21"/>
        </w:rPr>
        <w:t>3.13 Vedação ampla a licitantes com servidores e ex-ocupantes de cargos do Município</w:t>
      </w:r>
      <w:r>
        <w:rPr>
          <w:b w:val="0"/>
          <w:i w:val="0"/>
          <w:sz w:val="21"/>
        </w:rPr>
        <w:tab/>
        <w:t>23</w:t>
      </w:r>
    </w:p>
    <w:p>
      <w:pPr>
        <w:tabs>
          <w:tab w:pos="9071" w:val="right" w:leader="dot"/>
        </w:tabs>
        <w:spacing w:before="0" w:after="0" w:line="360" w:lineRule="auto"/>
        <w:ind w:firstLine="0" w:left="340"/>
        <w:jc w:val="left"/>
      </w:pPr>
      <w:r>
        <w:rPr>
          <w:b w:val="0"/>
          <w:i w:val="0"/>
          <w:sz w:val="21"/>
        </w:rPr>
        <w:t>3.14 Certidão de IPTU e regras específicas para licitantes locais e com filial em Maricá</w:t>
      </w:r>
      <w:r>
        <w:rPr>
          <w:b w:val="0"/>
          <w:i w:val="0"/>
          <w:sz w:val="21"/>
        </w:rPr>
        <w:tab/>
        <w:t>24</w:t>
      </w:r>
    </w:p>
    <w:p>
      <w:pPr>
        <w:tabs>
          <w:tab w:pos="9071" w:val="right" w:leader="dot"/>
        </w:tabs>
        <w:spacing w:before="0" w:after="0" w:line="360" w:lineRule="auto"/>
        <w:ind w:firstLine="0" w:left="340"/>
        <w:jc w:val="left"/>
      </w:pPr>
      <w:r>
        <w:rPr>
          <w:b w:val="0"/>
          <w:i w:val="0"/>
          <w:sz w:val="21"/>
        </w:rPr>
        <w:t>3.15 Exigência de CTF do licitante e do "fabricante/indústria" como condição de aceitação, em prazo de 2 horas</w:t>
      </w:r>
      <w:r>
        <w:rPr>
          <w:b w:val="0"/>
          <w:i w:val="0"/>
          <w:sz w:val="21"/>
        </w:rPr>
        <w:tab/>
        <w:t>25</w:t>
      </w:r>
    </w:p>
    <w:p>
      <w:pPr>
        <w:tabs>
          <w:tab w:pos="9071" w:val="right" w:leader="dot"/>
        </w:tabs>
        <w:spacing w:before="0" w:after="0" w:line="360" w:lineRule="auto"/>
        <w:ind w:firstLine="0" w:left="340"/>
        <w:jc w:val="left"/>
      </w:pPr>
      <w:r>
        <w:rPr>
          <w:b w:val="0"/>
          <w:i w:val="0"/>
          <w:sz w:val="21"/>
        </w:rPr>
        <w:t>3.16 Multas de trânsito atribuídas à Contratante "através de seus condutores" quando os motoristas são da Contratada</w:t>
      </w:r>
      <w:r>
        <w:rPr>
          <w:b w:val="0"/>
          <w:i w:val="0"/>
          <w:sz w:val="21"/>
        </w:rPr>
        <w:tab/>
        <w:t>26</w:t>
      </w:r>
    </w:p>
    <w:p>
      <w:pPr>
        <w:tabs>
          <w:tab w:pos="9071" w:val="right" w:leader="dot"/>
        </w:tabs>
        <w:spacing w:before="0" w:after="0" w:line="360" w:lineRule="auto"/>
        <w:ind w:firstLine="0" w:left="340"/>
        <w:jc w:val="left"/>
      </w:pPr>
      <w:r>
        <w:rPr>
          <w:b w:val="0"/>
          <w:i w:val="0"/>
          <w:sz w:val="21"/>
        </w:rPr>
        <w:t>3.17 Critério de reajuste em serviços contínuos</w:t>
      </w:r>
      <w:r>
        <w:rPr>
          <w:b w:val="0"/>
          <w:i w:val="0"/>
          <w:sz w:val="21"/>
        </w:rPr>
        <w:tab/>
        <w:t>27</w:t>
      </w:r>
    </w:p>
    <w:p>
      <w:pPr>
        <w:tabs>
          <w:tab w:pos="9071" w:val="right" w:leader="dot"/>
        </w:tabs>
        <w:spacing w:before="0" w:after="0" w:line="360" w:lineRule="auto"/>
        <w:ind w:firstLine="0" w:left="340"/>
        <w:jc w:val="left"/>
      </w:pPr>
      <w:r>
        <w:rPr>
          <w:b w:val="0"/>
          <w:i w:val="0"/>
          <w:sz w:val="21"/>
        </w:rPr>
        <w:t>3.18 Impugnação e esclarecimentos</w:t>
      </w:r>
      <w:r>
        <w:rPr>
          <w:b w:val="0"/>
          <w:i w:val="0"/>
          <w:sz w:val="21"/>
        </w:rPr>
        <w:tab/>
        <w:t>28</w:t>
      </w:r>
    </w:p>
    <w:p>
      <w:pPr>
        <w:tabs>
          <w:tab w:pos="9071" w:val="right" w:leader="dot"/>
        </w:tabs>
        <w:spacing w:before="0" w:after="0" w:line="360" w:lineRule="auto"/>
        <w:ind w:firstLine="0" w:left="340"/>
        <w:jc w:val="left"/>
      </w:pPr>
      <w:r>
        <w:rPr>
          <w:b w:val="0"/>
          <w:i w:val="0"/>
          <w:sz w:val="21"/>
        </w:rPr>
        <w:t>3.19 Recursos administrativos</w:t>
      </w:r>
      <w:r>
        <w:rPr>
          <w:b w:val="0"/>
          <w:i w:val="0"/>
          <w:sz w:val="21"/>
        </w:rPr>
        <w:tab/>
        <w:t>29</w:t>
      </w:r>
    </w:p>
    <w:p>
      <w:pPr>
        <w:tabs>
          <w:tab w:pos="9071" w:val="right" w:leader="dot"/>
        </w:tabs>
        <w:spacing w:before="0" w:after="0" w:line="360" w:lineRule="auto"/>
        <w:ind w:firstLine="0" w:left="340"/>
        <w:jc w:val="left"/>
      </w:pPr>
      <w:r>
        <w:rPr>
          <w:b w:val="0"/>
          <w:i w:val="0"/>
          <w:sz w:val="21"/>
        </w:rPr>
        <w:t>3.20 Sanções e multas</w:t>
      </w:r>
      <w:r>
        <w:rPr>
          <w:b w:val="0"/>
          <w:i w:val="0"/>
          <w:sz w:val="21"/>
        </w:rPr>
        <w:tab/>
        <w:t>30</w:t>
      </w:r>
    </w:p>
    <w:p>
      <w:pPr>
        <w:tabs>
          <w:tab w:pos="9071" w:val="right" w:leader="dot"/>
        </w:tabs>
        <w:spacing w:before="0" w:after="0" w:line="360" w:lineRule="auto"/>
        <w:ind w:firstLine="0" w:left="340"/>
        <w:jc w:val="left"/>
      </w:pPr>
      <w:r>
        <w:rPr>
          <w:b w:val="0"/>
          <w:i w:val="0"/>
          <w:sz w:val="21"/>
        </w:rPr>
        <w:t>3.21 Vigência e prorrogação de serviços contínuos</w:t>
      </w:r>
      <w:r>
        <w:rPr>
          <w:b w:val="0"/>
          <w:i w:val="0"/>
          <w:sz w:val="21"/>
        </w:rPr>
        <w:tab/>
        <w:t>31</w:t>
      </w:r>
    </w:p>
    <w:p>
      <w:pPr>
        <w:tabs>
          <w:tab w:pos="9071" w:val="right" w:leader="dot"/>
        </w:tabs>
        <w:spacing w:before="0" w:after="0" w:line="360" w:lineRule="auto"/>
        <w:ind w:firstLine="0" w:left="340"/>
        <w:jc w:val="left"/>
      </w:pPr>
      <w:r>
        <w:rPr>
          <w:b w:val="0"/>
          <w:i w:val="0"/>
          <w:sz w:val="21"/>
        </w:rPr>
        <w:t>3.22 Exigência de via física original ou autenticada e de firma reconhecida na procuração</w:t>
      </w:r>
      <w:r>
        <w:rPr>
          <w:b w:val="0"/>
          <w:i w:val="0"/>
          <w:sz w:val="21"/>
        </w:rPr>
        <w:tab/>
        <w:t>32</w:t>
      </w:r>
    </w:p>
    <w:p>
      <w:pPr>
        <w:tabs>
          <w:tab w:pos="9071" w:val="right" w:leader="dot"/>
        </w:tabs>
        <w:spacing w:before="0" w:after="0" w:line="360" w:lineRule="auto"/>
        <w:ind w:firstLine="0" w:left="340"/>
        <w:jc w:val="left"/>
      </w:pPr>
      <w:r>
        <w:rPr>
          <w:b w:val="0"/>
          <w:i w:val="0"/>
          <w:sz w:val="21"/>
        </w:rPr>
        <w:t>3.23 Participação de cooperativas tratada como consórcio e texto de modelo sobre contribuição previdenciária</w:t>
      </w:r>
      <w:r>
        <w:rPr>
          <w:b w:val="0"/>
          <w:i w:val="0"/>
          <w:sz w:val="21"/>
        </w:rPr>
        <w:tab/>
        <w:t>32</w:t>
      </w:r>
    </w:p>
    <w:p>
      <w:pPr>
        <w:tabs>
          <w:tab w:pos="9071" w:val="right" w:leader="dot"/>
        </w:tabs>
        <w:spacing w:before="0" w:after="0" w:line="360" w:lineRule="auto"/>
        <w:ind w:firstLine="0" w:left="0"/>
        <w:jc w:val="left"/>
      </w:pPr>
      <w:r>
        <w:rPr>
          <w:b/>
          <w:i w:val="0"/>
          <w:sz w:val="22"/>
        </w:rPr>
        <w:t>4 ANÁLISE DE PREÇOS</w:t>
      </w:r>
      <w:r>
        <w:rPr>
          <w:b/>
          <w:i w:val="0"/>
          <w:sz w:val="22"/>
        </w:rPr>
        <w:tab/>
        <w:t>33</w:t>
      </w:r>
    </w:p>
    <w:p>
      <w:pPr>
        <w:tabs>
          <w:tab w:pos="9071" w:val="right" w:leader="dot"/>
        </w:tabs>
        <w:spacing w:before="0" w:after="0" w:line="360" w:lineRule="auto"/>
        <w:ind w:firstLine="0" w:left="0"/>
        <w:jc w:val="left"/>
      </w:pPr>
      <w:r>
        <w:rPr>
          <w:b/>
          <w:i w:val="0"/>
          <w:sz w:val="22"/>
        </w:rPr>
        <w:t>5 RECOMENDAÇÕES DE MELHORIA</w:t>
      </w:r>
      <w:r>
        <w:rPr>
          <w:b/>
          <w:i w:val="0"/>
          <w:sz w:val="22"/>
        </w:rPr>
        <w:tab/>
        <w:t>34</w:t>
      </w:r>
    </w:p>
    <w:p>
      <w:pPr>
        <w:tabs>
          <w:tab w:pos="9071" w:val="right" w:leader="dot"/>
        </w:tabs>
        <w:spacing w:before="0" w:after="0" w:line="360" w:lineRule="auto"/>
        <w:ind w:firstLine="0" w:left="0"/>
        <w:jc w:val="left"/>
      </w:pPr>
      <w:r>
        <w:rPr>
          <w:b/>
          <w:i w:val="0"/>
          <w:sz w:val="22"/>
        </w:rPr>
        <w:t>6 CONCLUSÃO</w:t>
      </w:r>
      <w:r>
        <w:rPr>
          <w:b/>
          <w:i w:val="0"/>
          <w:sz w:val="22"/>
        </w:rPr>
        <w:tab/>
        <w:t>36</w:t>
      </w:r>
    </w:p>
    <w:p>
      <w:pPr>
        <w:tabs>
          <w:tab w:pos="9071" w:val="right" w:leader="dot"/>
        </w:tabs>
        <w:spacing w:before="0" w:after="0" w:line="360" w:lineRule="auto"/>
        <w:ind w:firstLine="0" w:left="0"/>
        <w:jc w:val="left"/>
      </w:pPr>
      <w:r>
        <w:rPr>
          <w:b/>
          <w:i w:val="0"/>
          <w:sz w:val="22"/>
        </w:rPr>
        <w:t>REFERÊNCIAS</w:t>
      </w:r>
      <w:r>
        <w:rPr>
          <w:b/>
          <w:i w:val="0"/>
          <w:sz w:val="22"/>
        </w:rPr>
        <w:tab/>
        <w:t>41</w:t>
      </w:r>
    </w:p>
    <w:p>
      <w:pPr>
        <w:tabs>
          <w:tab w:pos="9071" w:val="right" w:leader="dot"/>
        </w:tabs>
        <w:spacing w:before="0" w:after="0" w:line="360" w:lineRule="auto"/>
        <w:ind w:firstLine="0" w:left="0"/>
        <w:jc w:val="left"/>
      </w:pPr>
      <w:r>
        <w:rPr>
          <w:b/>
          <w:i w:val="0"/>
          <w:sz w:val="22"/>
        </w:rPr>
        <w:t>APÊNDICE A – LISTA DE VERIFICAÇÃO</w:t>
      </w:r>
      <w:r>
        <w:rPr>
          <w:b/>
          <w:i w:val="0"/>
          <w:sz w:val="22"/>
        </w:rPr>
        <w:tab/>
        <w:t>42</w:t>
      </w:r>
    </w:p>
    <w:p>
      <w:pPr>
        <w:tabs>
          <w:tab w:pos="9071" w:val="right" w:leader="dot"/>
        </w:tabs>
        <w:spacing w:before="0" w:after="0" w:line="360" w:lineRule="auto"/>
        <w:ind w:firstLine="0" w:left="0"/>
        <w:jc w:val="left"/>
      </w:pPr>
      <w:r>
        <w:rPr>
          <w:b/>
          <w:i w:val="0"/>
          <w:sz w:val="22"/>
        </w:rPr>
        <w:t>APÊNDICE B – METODOLOGIA E LIMITES</w:t>
      </w:r>
      <w:r>
        <w:rPr>
          <w:b/>
          <w:i w:val="0"/>
          <w:sz w:val="22"/>
        </w:rPr>
        <w:tab/>
        <w:t>43</w:t>
      </w:r>
    </w:p>
    <w:p>
      <w:r>
        <w:br w:type="page"/>
      </w:r>
    </w:p>
    <w:p>
      <w:pPr>
        <w:pStyle w:val="Heading1"/>
        <w:keepNext/>
        <w:spacing w:before="360" w:after="160" w:line="360" w:lineRule="auto"/>
        <w:ind w:firstLine="0"/>
        <w:jc w:val="left"/>
      </w:pPr>
      <w:r>
        <w:rPr>
          <w:rFonts w:ascii="Arial" w:hAnsi="Arial"/>
          <w:b/>
          <w:i w:val="0"/>
          <w:color w:val="12324A"/>
          <w:sz w:val="24"/>
        </w:rPr>
        <w:t>1 PAINEL EXECUTIVO</w:t>
      </w:r>
    </w:p>
    <w:p>
      <w:pPr>
        <w:spacing w:before="0" w:after="160" w:line="360" w:lineRule="auto"/>
        <w:ind w:firstLine="0"/>
        <w:jc w:val="both"/>
      </w:pPr>
      <w:r>
        <w:rPr>
          <w:b w:val="0"/>
          <w:i/>
          <w:color w:val="66757F"/>
          <w:sz w:val="20"/>
        </w:rPr>
        <w:t>Visão geral do resultado. O detalhamento, com o texto legal e os precedentes, está na seção 3.</w:t>
      </w:r>
    </w:p>
    <w:tbl>
      <w:tblPr>
        <w:tblW w:type="auto" w:w="0"/>
        <w:jc w:val="center"/>
        <w:tblLook w:firstColumn="1" w:firstRow="1" w:lastColumn="0" w:lastRow="0" w:noHBand="0" w:noVBand="1" w:val="04A0"/>
        <w:tblLayout w:type="fixed"/>
      </w:tblPr>
      <w:tblGrid>
        <w:gridCol w:w="2012"/>
        <w:gridCol w:w="340"/>
        <w:gridCol w:w="2012"/>
        <w:gridCol w:w="340"/>
        <w:gridCol w:w="2012"/>
        <w:gridCol w:w="340"/>
        <w:gridCol w:w="2012"/>
      </w:tblGrid>
      <w:tr>
        <w:tc>
          <w:tcPr>
            <w:tcW w:type="dxa" w:w="2013"/>
            <w:tcBorders>
              <w:top w:val="nil"/>
              <w:left w:val="nil"/>
              <w:bottom w:val="nil"/>
              <w:right w:val="nil"/>
              <w:top w:val="single" w:sz="24" w:color="B23A48" w:space="0"/>
              <w:left w:val="nil"/>
              <w:bottom w:val="nil"/>
              <w:right w:val="nil"/>
            </w:tcBorders>
            <w:shd w:val="clear" w:color="auto" w:fill="F8E6E8"/>
            <w:tcMar>
              <w:top w:w="113" w:type="dxa"/>
              <w:left w:w="113" w:type="dxa"/>
              <w:bottom w:w="113" w:type="dxa"/>
              <w:right w:w="113" w:type="dxa"/>
            </w:tcMar>
          </w:tcPr>
          <w:p>
            <w:pPr>
              <w:spacing w:before="0" w:after="0" w:line="240" w:lineRule="auto"/>
              <w:ind w:firstLine="0"/>
              <w:jc w:val="left"/>
            </w:pPr>
            <w:r>
              <w:rPr>
                <w:b/>
                <w:i w:val="0"/>
                <w:color w:val="B23A48"/>
                <w:sz w:val="48"/>
              </w:rPr>
              <w:t>5</w:t>
            </w:r>
          </w:p>
          <w:p>
            <w:pPr>
              <w:spacing w:before="0" w:after="40" w:line="240" w:lineRule="auto"/>
              <w:ind w:firstLine="0"/>
              <w:jc w:val="left"/>
            </w:pPr>
            <w:r>
              <w:rPr>
                <w:b/>
                <w:i w:val="0"/>
                <w:color w:val="1E2A32"/>
                <w:sz w:val="14"/>
              </w:rPr>
              <w:t>GRAVIDADE ALTA</w:t>
            </w:r>
          </w:p>
        </w:tc>
        <w:tc>
          <w:tcPr>
            <w:tcW w:type="dxa" w:w="340"/>
            <w:tcBorders>
              <w:top w:val="nil"/>
              <w:left w:val="nil"/>
              <w:bottom w:val="nil"/>
              <w:right w:val="nil"/>
            </w:tcBorders>
          </w:tcPr>
          <w:p/>
        </w:tc>
        <w:tc>
          <w:tcPr>
            <w:tcW w:type="dxa" w:w="2013"/>
            <w:tcBorders>
              <w:top w:val="nil"/>
              <w:left w:val="nil"/>
              <w:bottom w:val="nil"/>
              <w:right w:val="nil"/>
              <w:top w:val="single" w:sz="24" w:color="C9781E" w:space="0"/>
              <w:left w:val="nil"/>
              <w:bottom w:val="nil"/>
              <w:right w:val="nil"/>
            </w:tcBorders>
            <w:shd w:val="clear" w:color="auto" w:fill="FBEEDD"/>
            <w:tcMar>
              <w:top w:w="113" w:type="dxa"/>
              <w:left w:w="113" w:type="dxa"/>
              <w:bottom w:w="113" w:type="dxa"/>
              <w:right w:w="113" w:type="dxa"/>
            </w:tcMar>
          </w:tcPr>
          <w:p>
            <w:pPr>
              <w:spacing w:before="0" w:after="0" w:line="240" w:lineRule="auto"/>
              <w:ind w:firstLine="0"/>
              <w:jc w:val="left"/>
            </w:pPr>
            <w:r>
              <w:rPr>
                <w:b/>
                <w:i w:val="0"/>
                <w:color w:val="C9781E"/>
                <w:sz w:val="48"/>
              </w:rPr>
              <w:t>11</w:t>
            </w:r>
          </w:p>
          <w:p>
            <w:pPr>
              <w:spacing w:before="0" w:after="40" w:line="240" w:lineRule="auto"/>
              <w:ind w:firstLine="0"/>
              <w:jc w:val="left"/>
            </w:pPr>
            <w:r>
              <w:rPr>
                <w:b/>
                <w:i w:val="0"/>
                <w:color w:val="1E2A32"/>
                <w:sz w:val="14"/>
              </w:rPr>
              <w:t>GRAVIDADE MÉDIA</w:t>
            </w:r>
          </w:p>
        </w:tc>
        <w:tc>
          <w:tcPr>
            <w:tcW w:type="dxa" w:w="340"/>
            <w:tcBorders>
              <w:top w:val="nil"/>
              <w:left w:val="nil"/>
              <w:bottom w:val="nil"/>
              <w:right w:val="nil"/>
            </w:tcBorders>
          </w:tcPr>
          <w:p/>
        </w:tc>
        <w:tc>
          <w:tcPr>
            <w:tcW w:type="dxa" w:w="2013"/>
            <w:tcBorders>
              <w:top w:val="nil"/>
              <w:left w:val="nil"/>
              <w:bottom w:val="nil"/>
              <w:right w:val="nil"/>
              <w:top w:val="single" w:sz="24" w:color="3D8FA6" w:space="0"/>
              <w:left w:val="nil"/>
              <w:bottom w:val="nil"/>
              <w:right w:val="nil"/>
            </w:tcBorders>
            <w:shd w:val="clear" w:color="auto" w:fill="E3F1F5"/>
            <w:tcMar>
              <w:top w:w="113" w:type="dxa"/>
              <w:left w:w="113" w:type="dxa"/>
              <w:bottom w:w="113" w:type="dxa"/>
              <w:right w:w="113" w:type="dxa"/>
            </w:tcMar>
          </w:tcPr>
          <w:p>
            <w:pPr>
              <w:spacing w:before="0" w:after="0" w:line="240" w:lineRule="auto"/>
              <w:ind w:firstLine="0"/>
              <w:jc w:val="left"/>
            </w:pPr>
            <w:r>
              <w:rPr>
                <w:b/>
                <w:i w:val="0"/>
                <w:color w:val="3D8FA6"/>
                <w:sz w:val="48"/>
              </w:rPr>
              <w:t>7</w:t>
            </w:r>
          </w:p>
          <w:p>
            <w:pPr>
              <w:spacing w:before="0" w:after="40" w:line="240" w:lineRule="auto"/>
              <w:ind w:firstLine="0"/>
              <w:jc w:val="left"/>
            </w:pPr>
            <w:r>
              <w:rPr>
                <w:b/>
                <w:i w:val="0"/>
                <w:color w:val="1E2A32"/>
                <w:sz w:val="14"/>
              </w:rPr>
              <w:t>GRAVIDADE BAIXA</w:t>
            </w:r>
          </w:p>
        </w:tc>
        <w:tc>
          <w:tcPr>
            <w:tcW w:type="dxa" w:w="340"/>
            <w:tcBorders>
              <w:top w:val="nil"/>
              <w:left w:val="nil"/>
              <w:bottom w:val="nil"/>
              <w:right w:val="nil"/>
            </w:tcBorders>
          </w:tcPr>
          <w:p/>
        </w:tc>
        <w:tc>
          <w:tcPr>
            <w:tcW w:type="dxa" w:w="2013"/>
            <w:tcBorders>
              <w:top w:val="nil"/>
              <w:left w:val="nil"/>
              <w:bottom w:val="nil"/>
              <w:right w:val="nil"/>
              <w:top w:val="single" w:sz="24" w:color="2E8B57" w:space="0"/>
              <w:left w:val="nil"/>
              <w:bottom w:val="nil"/>
              <w:right w:val="nil"/>
            </w:tcBorders>
            <w:shd w:val="clear" w:color="auto" w:fill="E3F2EA"/>
            <w:tcMar>
              <w:top w:w="113" w:type="dxa"/>
              <w:left w:w="113" w:type="dxa"/>
              <w:bottom w:w="113" w:type="dxa"/>
              <w:right w:w="113" w:type="dxa"/>
            </w:tcMar>
          </w:tcPr>
          <w:p>
            <w:pPr>
              <w:spacing w:before="0" w:after="0" w:line="240" w:lineRule="auto"/>
              <w:ind w:firstLine="0"/>
              <w:jc w:val="left"/>
            </w:pPr>
            <w:r>
              <w:rPr>
                <w:b/>
                <w:i w:val="0"/>
                <w:color w:val="2E8B57"/>
                <w:sz w:val="48"/>
              </w:rPr>
              <w:t>6</w:t>
            </w:r>
          </w:p>
          <w:p>
            <w:pPr>
              <w:spacing w:before="0" w:after="40" w:line="240" w:lineRule="auto"/>
              <w:ind w:firstLine="0"/>
              <w:jc w:val="left"/>
            </w:pPr>
            <w:r>
              <w:rPr>
                <w:b/>
                <w:i w:val="0"/>
                <w:color w:val="1E2A32"/>
                <w:sz w:val="14"/>
              </w:rPr>
              <w:t>MELHORIAS</w:t>
            </w:r>
          </w:p>
        </w:tc>
      </w:tr>
    </w:tbl>
    <w:p>
      <w:pPr>
        <w:spacing w:before="0" w:after="80" w:line="240" w:lineRule="auto"/>
        <w:ind w:firstLine="0"/>
        <w:jc w:val="both"/>
      </w:pPr>
    </w:p>
    <w:p>
      <w:pPr>
        <w:spacing w:before="0" w:after="40" w:line="240" w:lineRule="auto"/>
        <w:ind w:firstLine="0"/>
        <w:jc w:val="center"/>
      </w:pPr>
      <w:r>
        <w:drawing>
          <wp:inline xmlns:a="http://schemas.openxmlformats.org/drawingml/2006/main" xmlns:pic="http://schemas.openxmlformats.org/drawingml/2006/picture">
            <wp:extent cx="5760000" cy="2250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2250000"/>
                    </a:xfrm>
                    <a:prstGeom prst="rect"/>
                  </pic:spPr>
                </pic:pic>
              </a:graphicData>
            </a:graphic>
          </wp:inline>
        </w:drawing>
      </w:r>
    </w:p>
    <w:p>
      <w:pPr>
        <w:spacing w:before="0" w:after="240" w:line="240" w:lineRule="auto"/>
        <w:ind w:firstLine="0"/>
        <w:jc w:val="left"/>
      </w:pPr>
      <w:r>
        <w:rPr>
          <w:b/>
          <w:i w:val="0"/>
          <w:color w:val="66757F"/>
          <w:sz w:val="15"/>
        </w:rPr>
        <w:t xml:space="preserve">Índice de conformidade: </w:t>
      </w:r>
      <w:r>
        <w:rPr>
          <w:b w:val="0"/>
          <w:i w:val="0"/>
          <w:color w:val="66757F"/>
          <w:sz w:val="15"/>
        </w:rPr>
        <w:t>itens conformes mais metade dos parcialmente conformes, divididos pelos itens aplicáveis e verificáveis. Indicador de leitura rápida; não substitui o exame de cada apontamento.</w:t>
      </w:r>
    </w:p>
    <w:p>
      <w:pPr>
        <w:spacing w:before="0" w:after="120" w:line="240" w:lineRule="auto"/>
        <w:ind w:firstLine="0"/>
        <w:jc w:val="both"/>
      </w:pPr>
      <w:r>
        <w:rPr>
          <w:b/>
          <w:i w:val="0"/>
          <w:color w:val="1F7A8C"/>
          <w:sz w:val="18"/>
        </w:rPr>
        <w:t>PRINCIPAIS ACHADOS</w:t>
      </w:r>
    </w:p>
    <w:tbl>
      <w:tblPr>
        <w:tblW w:type="auto" w:w="0"/>
        <w:jc w:val="center"/>
        <w:tblLook w:firstColumn="1" w:firstRow="1" w:lastColumn="0" w:lastRow="0" w:noHBand="0" w:noVBand="1" w:val="04A0"/>
        <w:tblLayout w:type="fixed"/>
      </w:tblPr>
      <w:tblGrid>
        <w:gridCol w:w="567"/>
        <w:gridCol w:w="4876"/>
        <w:gridCol w:w="1474"/>
        <w:gridCol w:w="2154"/>
      </w:tblGrid>
      <w:tr>
        <w:tc>
          <w:tcPr>
            <w:tcW w:type="dxa" w:w="567"/>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ITEM</w:t>
            </w:r>
          </w:p>
        </w:tc>
        <w:tc>
          <w:tcPr>
            <w:tcW w:type="dxa" w:w="4876"/>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ACHADO</w:t>
            </w:r>
          </w:p>
        </w:tc>
        <w:tc>
          <w:tcPr>
            <w:tcW w:type="dxa" w:w="147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GRAVIDADE</w:t>
            </w:r>
          </w:p>
        </w:tc>
        <w:tc>
          <w:tcPr>
            <w:tcW w:type="dxa" w:w="2154"/>
            <w:tcBorders>
              <w:top w:val="nil"/>
              <w:left w:val="nil"/>
              <w:bottom w:val="nil"/>
              <w:right w:val="nil"/>
            </w:tcBorders>
            <w:shd w:val="clear" w:color="auto" w:fill="12324A"/>
            <w:tcMar>
              <w:top w:w="68" w:type="dxa"/>
              <w:left w:w="68" w:type="dxa"/>
              <w:bottom w:w="68" w:type="dxa"/>
              <w:right w:w="68" w:type="dxa"/>
            </w:tcMar>
          </w:tcPr>
          <w:p>
            <w:pPr>
              <w:spacing w:before="0" w:after="0" w:line="240" w:lineRule="auto"/>
              <w:ind w:firstLine="0"/>
              <w:jc w:val="left"/>
            </w:pPr>
            <w:r>
              <w:rPr>
                <w:b/>
                <w:i w:val="0"/>
                <w:color w:val="FFFFFF"/>
                <w:sz w:val="15"/>
              </w:rPr>
              <w:t>DISPOSITIVO</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Prazo mínimo para apresentação de propostas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Não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55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Qualificação técnica proporcional</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67, § 1º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Registro de preços: julgamento por lote (grupo de itens)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Não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82, § 1º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Orçamento estimado sem pesquisa de preços demonstrada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23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Linhas duplicadas com descrição idêntica e preços muito diferentes (risco de jogo de planilha)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B23A48"/>
                <w:sz w:val="18"/>
              </w:rPr>
              <w:t xml:space="preserve">● </w:t>
            </w:r>
            <w:r>
              <w:rPr>
                <w:b/>
                <w:i w:val="0"/>
                <w:color w:val="B23A48"/>
                <w:sz w:val="17"/>
              </w:rPr>
              <w:t>Alta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23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3.6</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Índice de reajuste com data-base no orçamento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25, § 7º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3.7</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Qualificação econômico-financeira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69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3.8</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Participação em consórcio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15</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3.9</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Tratamento diferenciado a ME e EPP</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4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3.10</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Minuta de contrato como anexo e cláusulas necessárias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18, inciso VI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Registro de preços: quantidades e vigência da ata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82, inciso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Coerência interna do edital e dos anexos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Não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25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Vedação ampla a licitantes com servidores e ex-ocupantes de cargos do Município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9, § 1º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3.14</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Certidão de IPTU e regras específicas para licitantes locais e com filial em Maricá</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68, inciso III</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3.15</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Exigência de CTF do licitante e do "fabricante/indústria" como condição de aceitação, em prazo de 2 horas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62</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3.16</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Multas de trânsito atribuídas à Contratante "através de seus condutores" quando os motoristas são da Contratada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C9781E"/>
                <w:sz w:val="18"/>
              </w:rPr>
              <w:t xml:space="preserve">● </w:t>
            </w:r>
            <w:r>
              <w:rPr>
                <w:b/>
                <w:i w:val="0"/>
                <w:color w:val="C9781E"/>
                <w:sz w:val="17"/>
              </w:rPr>
              <w:t>Média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120</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3.17</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Critério de reajuste em serviços contínuos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25, § 8º, inciso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3.18</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Impugnação e esclarecimentos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164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3.19</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Recursos administrativos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165, inciso I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3.20</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Sanções e multas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156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3.21</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Vigência e prorrogação de serviços contínuos</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Parcialmente conforme</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art. 106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i w:val="0"/>
                <w:color w:val="12324A"/>
                <w:sz w:val="17"/>
              </w:rPr>
              <w:t>3.22</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Exigência de via física original ou autenticada e de firma reconhecida na procuração</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shd w:val="clear" w:color="auto" w:fill="FAFBFC"/>
          </w:tcPr>
          <w:p>
            <w:pPr>
              <w:spacing w:before="0" w:after="0" w:line="252" w:lineRule="auto"/>
              <w:ind w:firstLine="0"/>
              <w:jc w:val="left"/>
            </w:pPr>
            <w:r>
              <w:rPr>
                <w:b w:val="0"/>
                <w:i w:val="0"/>
                <w:sz w:val="17"/>
              </w:rPr>
              <w:t>art. 12, inciso IV e outros</w:t>
            </w:r>
          </w:p>
        </w:tc>
      </w:tr>
      <w:tr>
        <w:tc>
          <w:tcPr>
            <w:tcW w:type="dxa" w:w="567"/>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i w:val="0"/>
                <w:color w:val="12324A"/>
                <w:sz w:val="17"/>
              </w:rPr>
              <w:t>3.23</w:t>
            </w:r>
          </w:p>
        </w:tc>
        <w:tc>
          <w:tcPr>
            <w:tcW w:type="dxa" w:w="4876"/>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Participação de cooperativas tratada como consórcio e texto de modelo sobre contribuição previdenciária</w:t>
            </w:r>
          </w:p>
        </w:tc>
        <w:tc>
          <w:tcPr>
            <w:tcW w:type="dxa" w:w="147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color w:val="3D8FA6"/>
                <w:sz w:val="18"/>
              </w:rPr>
              <w:t xml:space="preserve">● </w:t>
            </w:r>
            <w:r>
              <w:rPr>
                <w:b/>
                <w:i w:val="0"/>
                <w:color w:val="3D8FA6"/>
                <w:sz w:val="17"/>
              </w:rPr>
              <w:t>Baixa</w:t>
            </w:r>
          </w:p>
          <w:p>
            <w:pPr>
              <w:spacing w:before="0" w:after="0" w:line="240" w:lineRule="auto"/>
              <w:ind w:firstLine="0"/>
              <w:jc w:val="left"/>
            </w:pPr>
            <w:r>
              <w:rPr>
                <w:b w:val="0"/>
                <w:i w:val="0"/>
                <w:color w:val="66757F"/>
                <w:sz w:val="14"/>
              </w:rPr>
              <w:t>Apontamento adicional</w:t>
            </w:r>
          </w:p>
        </w:tc>
        <w:tc>
          <w:tcPr>
            <w:tcW w:type="dxa" w:w="2154"/>
            <w:tcBorders>
              <w:top w:val="nil"/>
              <w:left w:val="nil"/>
              <w:bottom w:val="nil"/>
              <w:right w:val="nil"/>
              <w:top w:val="nil"/>
              <w:left w:val="nil"/>
              <w:bottom w:val="single" w:sz="4" w:color="D9DEE2" w:space="0"/>
              <w:right w:val="nil"/>
            </w:tcBorders>
            <w:tcMar>
              <w:top w:w="68" w:type="dxa"/>
              <w:left w:w="68" w:type="dxa"/>
              <w:bottom w:w="68" w:type="dxa"/>
              <w:right w:w="68" w:type="dxa"/>
            </w:tcMar>
          </w:tcPr>
          <w:p>
            <w:pPr>
              <w:spacing w:before="0" w:after="0" w:line="252" w:lineRule="auto"/>
              <w:ind w:firstLine="0"/>
              <w:jc w:val="left"/>
            </w:pPr>
            <w:r>
              <w:rPr>
                <w:b w:val="0"/>
                <w:i w:val="0"/>
                <w:sz w:val="17"/>
              </w:rPr>
              <w:t>—</w:t>
            </w:r>
          </w:p>
        </w:tc>
      </w:tr>
    </w:tbl>
    <w:p>
      <w:r>
        <w:br w:type="page"/>
      </w:r>
    </w:p>
    <w:tbl>
      <w:tblPr>
        <w:tblW w:type="auto" w:w="0"/>
        <w:jc w:val="center"/>
        <w:tblLook w:firstColumn="1" w:firstRow="1" w:lastColumn="0" w:lastRow="0" w:noHBand="0" w:noVBand="1" w:val="04A0"/>
        <w:tblLayout w:type="fixed"/>
      </w:tblPr>
      <w:tblGrid>
        <w:gridCol w:w="1814"/>
        <w:gridCol w:w="7257"/>
      </w:tblGrid>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PARECER TÉCNICO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nº C2E3/2026</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INTERESSADO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Prefeitura Municipal de Maricá – Secretaria de Proteção e Defesa Civil</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ASSUNTO</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Análise de conformidade — Registro de preços para contratação de empresa especializada na prestação de serviços de locação de máquinas e veículos (com motorista/operador), 20 itens, valor estimado de R$ 35.395.526,40</w:t>
            </w:r>
          </w:p>
        </w:tc>
      </w:tr>
      <w:tr>
        <w:tc>
          <w:tcPr>
            <w:tcW w:type="dxa" w:w="181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i w:val="0"/>
                <w:color w:val="66757F"/>
                <w:sz w:val="16"/>
              </w:rPr>
              <w:t>REFERÊNCIA</w:t>
            </w:r>
          </w:p>
        </w:tc>
        <w:tc>
          <w:tcPr>
            <w:tcW w:type="dxa" w:w="725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64" w:lineRule="auto"/>
              <w:ind w:firstLine="0"/>
              <w:jc w:val="left"/>
            </w:pPr>
            <w:r>
              <w:rPr>
                <w:b w:val="0"/>
                <w:i w:val="0"/>
                <w:sz w:val="20"/>
              </w:rPr>
              <w:t>Pregão Eletrônico nº 21/2025 – SRP (Processo 2790/2025; PNCP 29131075000193-1-000221/2025)</w:t>
            </w:r>
          </w:p>
        </w:tc>
      </w:tr>
    </w:tbl>
    <w:p>
      <w:pPr>
        <w:spacing w:before="0" w:after="200" w:line="240" w:lineRule="auto"/>
        <w:ind w:firstLine="0"/>
        <w:jc w:val="both"/>
      </w:pPr>
    </w:p>
    <w:p>
      <w:pPr>
        <w:spacing w:before="0" w:after="80" w:line="240" w:lineRule="auto"/>
        <w:ind w:firstLine="0" w:left="3402"/>
        <w:jc w:val="both"/>
      </w:pPr>
      <w:r>
        <w:rPr>
          <w:b/>
          <w:i w:val="0"/>
          <w:color w:val="12324A"/>
          <w:sz w:val="20"/>
        </w:rPr>
        <w:t xml:space="preserve">EMENTA: </w:t>
      </w:r>
      <w:r>
        <w:rPr>
          <w:b/>
          <w:i w:val="0"/>
          <w:sz w:val="20"/>
        </w:rPr>
        <w:t xml:space="preserve">PREGÃO ELETRÔNICO. REGISTRO DE PREÇOS. LOCAÇÃO DE MÁQUINAS E VEÍCULOS. MENOR PREÇO POR GRUPO. PRAZO DE PROPOSTAS. PESQUISA DE PREÇOS. QUALIFICAÇÃO TÉCNICA. REAJUSTE. INCONSISTÊNCIAS ENTRE EDITAL, TR E MINUTAS </w:t>
      </w:r>
      <w:r>
        <w:rPr>
          <w:b w:val="0"/>
          <w:i w:val="0"/>
          <w:sz w:val="20"/>
        </w:rPr>
        <w:t>O edital de pregão eletrônico para registro de preços de locação de máquinas e veículos com motorista, estimado em R$ 35,4 milhões, tem estrutura formal razoável. Há, porém, falhas relevantes: prazo de propostas de 9 dias úteis para objeto que o próprio documento trata como serviço, julgamento por grupo único sem demonstração e sem preço unitário máximo, e orçamento sem pesquisa de preços demonstrada. Também há atestados descritos como "fornecimento de bens", índice de reajuste (INCC-M) inadequado ao objeto e muitas contradições entre edital, termo de referência e minutas.</w:t>
      </w:r>
    </w:p>
    <w:p>
      <w:pPr>
        <w:spacing w:before="0" w:after="120" w:line="240" w:lineRule="auto"/>
        <w:ind w:firstLine="0"/>
        <w:jc w:val="both"/>
      </w:pP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1F7A8C" w:space="0"/>
              <w:bottom w:val="nil"/>
              <w:right w:val="nil"/>
            </w:tcBorders>
            <w:shd w:val="clear" w:color="auto" w:fill="EEF4F6"/>
            <w:tcMar>
              <w:top w:w="170" w:type="dxa"/>
              <w:left w:w="170" w:type="dxa"/>
              <w:bottom w:w="170" w:type="dxa"/>
              <w:right w:w="170" w:type="dxa"/>
            </w:tcMar>
          </w:tcPr>
          <w:p>
            <w:pPr>
              <w:spacing w:before="0" w:after="80" w:line="264" w:lineRule="auto"/>
              <w:ind w:firstLine="0"/>
              <w:jc w:val="left"/>
            </w:pPr>
            <w:r>
              <w:rPr>
                <w:b/>
                <w:i w:val="0"/>
                <w:color w:val="1F7A8C"/>
                <w:sz w:val="18"/>
              </w:rPr>
              <w:t>NATUREZA OPINATIVA DESTE PARECER</w:t>
            </w:r>
          </w:p>
          <w:p>
            <w:pPr>
              <w:spacing w:before="0" w:after="80" w:line="276" w:lineRule="auto"/>
              <w:ind w:firstLine="0"/>
              <w:jc w:val="both"/>
            </w:pPr>
            <w:r>
              <w:rPr>
                <w:b w:val="0"/>
                <w:i w:val="0"/>
                <w:sz w:val="19"/>
              </w:rPr>
              <w:t>Este parecer técnico tem natureza exclusivamente opinativa. Ele expõe a análise de conformidade dos documentos examinados, aponta todos os aspectos identificados — dos críticos aos de baixa vulnerabilidade — e recomenda providências, mas não vincula quem o recebe.</w:t>
            </w:r>
          </w:p>
          <w:p>
            <w:pPr>
              <w:spacing w:before="0" w:after="80" w:line="276" w:lineRule="auto"/>
              <w:ind w:firstLine="0"/>
              <w:jc w:val="both"/>
            </w:pPr>
            <w:r>
              <w:rPr>
                <w:b w:val="0"/>
                <w:i w:val="0"/>
                <w:sz w:val="19"/>
              </w:rPr>
              <w:t>A decisão de adotar, total ou parcialmente, as recomendações, ou de manter o documento como está, é de competência e responsabilidade exclusivas do destinatário (o agente público, a autoridade competente ou o contratante), que deve ponderá-las com os demais elementos do processo.</w:t>
            </w:r>
          </w:p>
          <w:p>
            <w:pPr>
              <w:spacing w:before="0" w:after="80" w:line="276" w:lineRule="auto"/>
              <w:ind w:firstLine="0"/>
              <w:jc w:val="both"/>
            </w:pPr>
            <w:r>
              <w:rPr>
                <w:b w:val="0"/>
                <w:i w:val="0"/>
                <w:sz w:val="19"/>
              </w:rPr>
              <w:t>Fundamento: o Supremo Tribunal Federal distingue o parecer facultativo, o obrigatório e o vinculante; no parecer facultativo e no obrigatório não vinculante, a autoridade não fica adstrita à opinião emitida e responde pela decisão que tomar (STF, MS 24.631/DF, Plenário, rel. Min. Joaquim Barbosa, j. 9 ago. 2007). A distinção entre parecer vinculante e não vinculante também consta da Lei nº 9.784/1999 (art. 42, §§ 1º e 2º). A Lei de Introdução às Normas do Direito Brasileiro estabelece que o agente público responde pessoalmente por suas decisões ou opiniões técnicas em caso de dolo ou erro grosseiro (art. 28).</w:t>
            </w:r>
          </w:p>
          <w:p>
            <w:pPr>
              <w:spacing w:before="0" w:after="80" w:line="276" w:lineRule="auto"/>
              <w:ind w:firstLine="0"/>
              <w:jc w:val="both"/>
            </w:pPr>
            <w:r>
              <w:rPr>
                <w:b w:val="0"/>
                <w:i w:val="0"/>
                <w:sz w:val="19"/>
              </w:rPr>
              <w:t>Este parecer, contratado livremente e sem previsão legal que o torne obrigatório ou vinculante, não substitui o parecer jurídico de controle prévio de legalidade (art. 53 da Lei nº 14.133/2021) nem a manifestação dos órgãos de assessoramento e controle.</w:t>
            </w:r>
          </w:p>
        </w:tc>
      </w:tr>
    </w:tbl>
    <w:p>
      <w:pPr>
        <w:spacing w:before="0" w:after="120" w:line="240" w:lineRule="auto"/>
        <w:ind w:firstLine="0"/>
        <w:jc w:val="both"/>
      </w:pPr>
    </w:p>
    <w:p>
      <w:pPr>
        <w:pStyle w:val="Heading1"/>
        <w:keepNext/>
        <w:spacing w:before="360" w:after="160" w:line="360" w:lineRule="auto"/>
        <w:ind w:firstLine="0"/>
        <w:jc w:val="left"/>
      </w:pPr>
      <w:r>
        <w:rPr>
          <w:rFonts w:ascii="Arial" w:hAnsi="Arial"/>
          <w:b/>
          <w:i w:val="0"/>
          <w:color w:val="12324A"/>
          <w:sz w:val="24"/>
        </w:rPr>
        <w:t>2 RELATÓRIO</w:t>
      </w:r>
    </w:p>
    <w:p>
      <w:pPr>
        <w:spacing w:before="0" w:after="120" w:line="360" w:lineRule="auto"/>
        <w:ind w:firstLine="709"/>
        <w:jc w:val="both"/>
      </w:pPr>
      <w:r>
        <w:rPr>
          <w:b w:val="0"/>
          <w:i w:val="0"/>
        </w:rPr>
        <w:t>Trata-se de análise técnica de conformidade solicitada em relação ao processo Pregão Eletrônico nº 21/2025 – SRP (Processo 2790/2025; PNCP 29131075000193-1-000221/2025), do Prefeitura Municipal de Maricá – Secretaria de Proteção e Defesa Civil, cujo objeto é: Registro de preços para contratação de empresa especializada na prestação de serviços de locação de máquinas e veículos (com motorista/operador), 20 itens, valor estimado de R$ 35.395.526,40.</w:t>
      </w:r>
    </w:p>
    <w:p>
      <w:pPr>
        <w:spacing w:before="0" w:after="120" w:line="360" w:lineRule="auto"/>
        <w:ind w:firstLine="709"/>
        <w:jc w:val="both"/>
      </w:pPr>
      <w:r>
        <w:rPr>
          <w:b w:val="0"/>
          <w:i w:val="0"/>
        </w:rPr>
        <w:t>Foram examinados os seguintes documentos: Edital e minutas (ata e contrato) (https://pncp.gov.br/app/editais/29131075000193/2025/221, 143 páginas). O exame teve por parâmetro a Lei 14.133/2021, aplicando-se o roteiro de verificação Licitacon (versão 2026-10-29b), com 36 itens pertinentes ao caso.</w:t>
      </w:r>
    </w:p>
    <w:p>
      <w:pPr>
        <w:spacing w:before="0" w:after="120" w:line="360" w:lineRule="auto"/>
        <w:ind w:firstLine="709"/>
        <w:jc w:val="both"/>
      </w:pPr>
      <w:r>
        <w:rPr>
          <w:b w:val="0"/>
          <w:i w:val="0"/>
        </w:rPr>
        <w:t>Analisou-se o edital do Pregão Eletrônico SRP nº 21/2025 de Maricá, com Anexos I a XIV: orçamento, termo de referência, memória de cálculo, declarações, minuta de ata e minuta de contrato. O objeto é locação de máquinas e veículos com motorista/operador e combustível, por hora, com contrato de 12 meses e ata de 12 meses. Não se trata de dedicação exclusiva de mão de obra, o que torna não aplicáveis os itens plan-01 a plan-03 e plan-05. A declaração do art. 63, § 1º, está presente. A aritmética do Anexo I foi conferida e está correta, com total de R$ 35.395.526,40. Os principais problemas são:</w:t>
        <w:br/>
        <w:t>- prazo de propostas de 9 dias úteis, abaixo dos 10 exigidos para serviços comuns;</w:t>
        <w:br/>
        <w:t>- menor preço por grupo (um só grupo de 20 itens heterogêneos no Anexo I, dez grupos no TR), sem demonstração do art. 82, § 1º, e sem preço unitário máximo;</w:t>
        <w:br/>
        <w:t>- orçamento baseado só na tabela EMOP/fev-2025, com a cotação "a ser anexada" e linhas duplicadas de mesma descrição com preços muito distintos;</w:t>
        <w:br/>
        <w:t>- atestados e documentos com redação de "fornecimento de bens";</w:t>
        <w:br/>
        <w:t>- reajuste por INCC-M;</w:t>
        <w:br/>
        <w:t>- vedação a consórcio com justificativa frágil;</w:t>
        <w:br/>
        <w:t>- tratamento de ME/EPP confuso;</w:t>
        <w:br/>
        <w:t>- minuta de contrato genérica, com campos em branco e contradições (garantia, vigência, reajuste, sigilo do orçamento).</w:t>
        <w:br/>
        <w:t>O parecer jurídico não consta do documento.</w:t>
      </w:r>
    </w:p>
    <w:p>
      <w:pPr>
        <w:spacing w:before="0" w:after="120" w:line="360" w:lineRule="auto"/>
        <w:ind w:firstLine="709"/>
        <w:jc w:val="both"/>
      </w:pPr>
      <w:r>
        <w:rPr>
          <w:b w:val="0"/>
          <w:i w:val="0"/>
        </w:rPr>
        <w:t>É o relatório. Passa-se à fundamentação.</w:t>
      </w:r>
    </w:p>
    <w:p>
      <w:pPr>
        <w:pStyle w:val="Heading1"/>
        <w:keepNext/>
        <w:spacing w:before="360" w:after="160" w:line="360" w:lineRule="auto"/>
        <w:ind w:firstLine="0"/>
        <w:jc w:val="left"/>
      </w:pPr>
      <w:r>
        <w:rPr>
          <w:rFonts w:ascii="Arial" w:hAnsi="Arial"/>
          <w:b/>
          <w:i w:val="0"/>
          <w:color w:val="12324A"/>
          <w:sz w:val="24"/>
        </w:rPr>
        <w:t>3 FUNDAMENTAÇÃO</w:t>
      </w:r>
    </w:p>
    <w:p>
      <w:pPr>
        <w:spacing w:before="0" w:after="120" w:line="360" w:lineRule="auto"/>
        <w:ind w:firstLine="709"/>
        <w:jc w:val="both"/>
      </w:pPr>
      <w:r>
        <w:rPr>
          <w:b w:val="0"/>
          <w:i w:val="0"/>
        </w:rPr>
        <w:t>Cada apontamento indica a constatação no documento, o dispositivo legal aplicável (transcrito do texto oficial vigente), a análise do caso, o risco de manutenção, a providência recomendada e os precedentes localizados na Biblioteca Licitacon.</w:t>
      </w:r>
    </w:p>
    <w:p>
      <w:pPr>
        <w:pStyle w:val="Heading2"/>
        <w:keepNext/>
        <w:spacing w:before="240" w:after="160" w:line="360" w:lineRule="auto"/>
        <w:ind w:firstLine="0"/>
        <w:jc w:val="left"/>
      </w:pPr>
      <w:r>
        <w:rPr>
          <w:rFonts w:ascii="Arial" w:hAnsi="Arial"/>
          <w:b/>
          <w:i w:val="0"/>
          <w:color w:val="12324A"/>
          <w:sz w:val="24"/>
        </w:rPr>
        <w:t>3.1 Prazo mínimo para apresentação de propostas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Não conforme   ·   Edital e minutas (ata e contrato), Item 3.1 – [página 4]; objeto, item 4.1 – [página 4]; TR 1.3 – [página 58]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foi divulgado no PNCP em 08/08/2025 (sexta-feira). O dia do começo é 11/08/2025, e o encerramento em 22/08/2025 cai no 9º dia útil (cálculo do sistema, só feriados nacionais). O objeto é descrito reiteradamente como "prestação de serviços de locação" e "serviço contínuo", com motorista e operador. Para serviços comuns, o art. 55, II, "a", prevê 10 dias úteis. O prazo de 9 dias úteis só atenderia o mínimo (8 dias úteis) se o objeto fosse classificado como bem comum, classificação que o TR tenta fazer em 1.3 e que contradiz o restante do documento.</w:t>
      </w:r>
    </w:p>
    <w:p>
      <w:pPr>
        <w:spacing w:before="0" w:after="120" w:line="360" w:lineRule="auto"/>
        <w:ind w:firstLine="709"/>
        <w:jc w:val="both"/>
      </w:pPr>
      <w:r>
        <w:rPr>
          <w:b w:val="0"/>
          <w:i w:val="0"/>
        </w:rPr>
        <w:t>O documento dispõe: “No dia 22 de agosto de 2025, às 10h, o Pregoeiro iniciará a sessão pública do PREGÃO” (Item 3.1 – [página 4]; objeto, item 4.1 – [página 4]; TR 1.3 – [página 58]).</w:t>
      </w:r>
    </w:p>
    <w:p>
      <w:pPr>
        <w:spacing w:before="0" w:after="80" w:line="360" w:lineRule="auto"/>
        <w:ind w:firstLine="709"/>
        <w:jc w:val="both"/>
      </w:pPr>
      <w:r>
        <w:rPr>
          <w:b/>
          <w:i w:val="0"/>
          <w:color w:val="12324A"/>
        </w:rPr>
        <w:t xml:space="preserve">Dispositivo aplicável. </w:t>
      </w:r>
      <w:r>
        <w:rPr>
          <w:b w:val="0"/>
          <w:i w:val="0"/>
        </w:rPr>
        <w:t>A matéria é disciplinada pelo art. 55, pelo art. 183 e pelo art. 183, § 1º, inciso I, da Lei 14.133/2021, que assim dispõem:</w:t>
      </w:r>
    </w:p>
    <w:p>
      <w:pPr>
        <w:spacing w:before="80" w:after="200" w:line="240" w:lineRule="auto"/>
        <w:ind w:firstLine="0" w:left="2268"/>
        <w:jc w:val="both"/>
      </w:pPr>
      <w:r>
        <w:rPr>
          <w:b w:val="0"/>
          <w:i w:val="0"/>
          <w:sz w:val="20"/>
        </w:rPr>
        <w:t>Os prazos mínimos para apresentação de propostas e lances, contados a partir da data de divulgação do edital de licitação, são de: […]</w:t>
      </w:r>
      <w:r>
        <w:rPr>
          <w:b w:val="0"/>
          <w:i w:val="0"/>
          <w:sz w:val="20"/>
        </w:rPr>
        <w:t xml:space="preserve"> (BRASIL, 2021, art. 55)</w:t>
      </w:r>
    </w:p>
    <w:p>
      <w:pPr>
        <w:spacing w:before="80" w:after="200" w:line="240" w:lineRule="auto"/>
        <w:ind w:firstLine="0" w:left="2268"/>
        <w:jc w:val="both"/>
      </w:pPr>
      <w:r>
        <w:rPr>
          <w:b w:val="0"/>
          <w:i w:val="0"/>
          <w:sz w:val="20"/>
        </w:rPr>
        <w:t>Os prazos previstos nesta Lei serão contados com exclusão do dia do começo e inclusão do dia do vencimento e observarão as seguintes disposições: […]</w:t>
      </w:r>
      <w:r>
        <w:rPr>
          <w:b w:val="0"/>
          <w:i w:val="0"/>
          <w:sz w:val="20"/>
        </w:rPr>
        <w:t xml:space="preserve"> (BRASIL, 2021, art. 183)</w:t>
      </w:r>
    </w:p>
    <w:p>
      <w:pPr>
        <w:spacing w:before="80" w:after="200" w:line="240" w:lineRule="auto"/>
        <w:ind w:firstLine="0" w:left="2268"/>
        <w:jc w:val="both"/>
      </w:pPr>
      <w:r>
        <w:rPr>
          <w:b w:val="0"/>
          <w:i w:val="0"/>
          <w:sz w:val="20"/>
        </w:rPr>
        <w:t>Salvo disposição em contrário, considera-se dia do começo do prazo: […] o primeiro dia útil seguinte ao da disponibilização da informação na internet;</w:t>
      </w:r>
      <w:r>
        <w:rPr>
          <w:b w:val="0"/>
          <w:i w:val="0"/>
          <w:sz w:val="20"/>
        </w:rPr>
        <w:t xml:space="preserve"> (BRASIL, 2021, art. 183, § 1º, inciso I)</w:t>
      </w:r>
    </w:p>
    <w:p>
      <w:pPr>
        <w:spacing w:before="0" w:after="120" w:line="360" w:lineRule="auto"/>
        <w:ind w:firstLine="709"/>
        <w:jc w:val="both"/>
      </w:pPr>
      <w:r>
        <w:rPr>
          <w:b/>
          <w:i w:val="0"/>
          <w:color w:val="12324A"/>
        </w:rPr>
        <w:t xml:space="preserve">Análise. </w:t>
      </w:r>
      <w:r>
        <w:rPr>
          <w:b w:val="0"/>
          <w:i w:val="0"/>
        </w:rPr>
        <w:t>O art. 55 fixa prazos mínimos contados da divulgação, e o art. 183 exclui o dia do começo (primeiro dia útil seguinte à divulgação). Prazo inferior ao mínimo restringe a competitividade e é vício que enseja republicação.</w:t>
      </w:r>
    </w:p>
    <w:p>
      <w:pPr>
        <w:spacing w:before="0" w:after="120" w:line="360" w:lineRule="auto"/>
        <w:ind w:firstLine="709"/>
        <w:jc w:val="both"/>
      </w:pPr>
      <w:r>
        <w:rPr>
          <w:b/>
          <w:i w:val="0"/>
          <w:color w:val="B23A48"/>
        </w:rPr>
        <w:t xml:space="preserve">Risco de manutenção. </w:t>
      </w:r>
      <w:r>
        <w:rPr>
          <w:b w:val="0"/>
          <w:i w:val="0"/>
        </w:rPr>
        <w:t>Questionamento por licitante, representação ao tribunal de contas e nulidade do certame ou da ata.</w:t>
      </w:r>
    </w:p>
    <w:p>
      <w:pPr>
        <w:spacing w:before="0" w:after="120" w:line="360" w:lineRule="auto"/>
        <w:ind w:firstLine="709"/>
        <w:jc w:val="both"/>
      </w:pPr>
      <w:r>
        <w:rPr>
          <w:b/>
          <w:i w:val="0"/>
          <w:color w:val="12324A"/>
        </w:rPr>
        <w:t xml:space="preserve">Providência recomendada. </w:t>
      </w:r>
      <w:r>
        <w:rPr>
          <w:b w:val="0"/>
          <w:i w:val="0"/>
        </w:rPr>
        <w:t>Para os próximos certames, adotar no mínimo 10 dias úteis para locação de máquinas e veículos com motorista (serviço comum) e conferir a contagem com feriados estaduais e municipais. Quanto ao certame já realizado, o órgão deve avaliar se houve efetiva competição e documentar a motivação; qualquer republicação dependerá da fase em que o processo se encontra.</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Denúncia sobre pregão eletrônico para coletes balísticos (eleições 2026; estimado R$ 3,2 milhões). O prazo mínimo para apresentação de propostas é contado a partir do primeiro dia útil seguinte à divulgação do edital no PNCP (art. 183, caput e § 1º, I, da Lei 14.133/2021). O recebimento foi encerrado antes do fim desse prazo, mas houve competição efetiva e não se demonstrou prejuízo: parcialmente procedente, com ciência e arquivamento. Ata 41/2026; conferido na base oficial do TCU.</w:t>
      </w:r>
      <w:r>
        <w:rPr>
          <w:b w:val="0"/>
          <w:i w:val="0"/>
          <w:sz w:val="20"/>
        </w:rPr>
        <w:t xml:space="preserve"> (TCU, Acórdão 2921/2026-Plenário – TC 021.316/2026-0)</w:t>
      </w:r>
      <w:r>
        <w:rPr>
          <w:b w:val="0"/>
          <w:i w:val="0"/>
          <w:sz w:val="20"/>
        </w:rPr>
        <w:t xml:space="preserve"> </w:t>
      </w:r>
      <w:hyperlink r:id="rId12">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3.2 Qualificação técnica proporcional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Parcialmente conforme   ·   Edital e minutas (ata e contrato), Item 13, (E.1.2) – [página 30]; TR 9.37 – [página 86]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As parcelas escolhidas (caminhão basculante, tanque, carroceria 7,5t, carreta e retroescavadeira) superam 4% do valor estimado, e o quantitativo mínimo de 30% está abaixo do limite de 50%. Sem exigências de tempo ou local. Contudo, a redação é de modelo de compra de bens: os atestados devem comprovar "fornecimento de insumos"/"fornecimento de bens" e a "comercialização dos itens na atividade principal da empresa", condição incompatível com um objeto de locação com motorista. A redação pode inabilitar locadoras com atestados de locação. Os itens E.2 e E.3 tratam de "responsável técnico" sem indicar a profissão, o registro ou a necessidade dessa exigência para este objeto. A justificativa das parcelas de maior relevância (art. 18, IX) não consta do documento.</w:t>
      </w:r>
    </w:p>
    <w:p>
      <w:pPr>
        <w:spacing w:before="0" w:after="120" w:line="360" w:lineRule="auto"/>
        <w:ind w:firstLine="709"/>
        <w:jc w:val="both"/>
      </w:pPr>
      <w:r>
        <w:rPr>
          <w:b w:val="0"/>
          <w:i w:val="0"/>
        </w:rPr>
        <w:t>O documento dispõe: “Deverá ser observado que os atestados deverão ater-se ao fornecimento de bens com” (Item 13, (E.1.2) – [página 30]; TR 9.37 – [página 86]).</w:t>
      </w:r>
    </w:p>
    <w:p>
      <w:pPr>
        <w:spacing w:before="0" w:after="80" w:line="360" w:lineRule="auto"/>
        <w:ind w:firstLine="709"/>
        <w:jc w:val="both"/>
      </w:pPr>
      <w:r>
        <w:rPr>
          <w:b/>
          <w:i w:val="0"/>
          <w:color w:val="12324A"/>
        </w:rPr>
        <w:t xml:space="preserve">Dispositivo aplicável. </w:t>
      </w:r>
      <w:r>
        <w:rPr>
          <w:b w:val="0"/>
          <w:i w:val="0"/>
        </w:rPr>
        <w:t>A matéria é disciplinada pelo art. 67, § 1º e pelo art. 67, § 2º, da Lei 14.133/2021, que assim dispõem:</w:t>
      </w:r>
    </w:p>
    <w:p>
      <w:pPr>
        <w:spacing w:before="80" w:after="200" w:line="240" w:lineRule="auto"/>
        <w:ind w:firstLine="0" w:left="2268"/>
        <w:jc w:val="both"/>
      </w:pPr>
      <w:r>
        <w:rPr>
          <w:b w:val="0"/>
          <w:i w:val="0"/>
          <w:sz w:val="20"/>
        </w:rPr>
        <w:t>A exigência de atestados será restrita às parcelas de maior relevância ou valor significativo do objeto da licitação, assim consideradas as que tenham valor individual igual ou superior a 4% (quatro por cento) do valor total estimado da contratação.</w:t>
      </w:r>
      <w:r>
        <w:rPr>
          <w:b w:val="0"/>
          <w:i w:val="0"/>
          <w:sz w:val="20"/>
        </w:rPr>
        <w:t xml:space="preserve"> (BRASIL, 2021, art. 67, § 1º)</w:t>
      </w:r>
    </w:p>
    <w:p>
      <w:pPr>
        <w:spacing w:before="80" w:after="200" w:line="240" w:lineRule="auto"/>
        <w:ind w:firstLine="0" w:left="2268"/>
        <w:jc w:val="both"/>
      </w:pPr>
      <w:r>
        <w:rPr>
          <w:b w:val="0"/>
          <w:i w:val="0"/>
          <w:sz w:val="20"/>
        </w:rPr>
        <w:t>Observado o disposto no caput e no § 1º deste artigo, será admitida a exigência de atestados com quantidades mínimas de até 50% (cinquenta por cento) das parcelas de que trata o referido parágrafo, vedadas limitações de tempo e de locais específicos relativas aos atestados.</w:t>
      </w:r>
      <w:r>
        <w:rPr>
          <w:b w:val="0"/>
          <w:i w:val="0"/>
          <w:sz w:val="20"/>
        </w:rPr>
        <w:t xml:space="preserve"> (BRASIL, 2021, art. 67, § 2º)</w:t>
      </w:r>
    </w:p>
    <w:p>
      <w:pPr>
        <w:spacing w:before="0" w:after="120" w:line="360" w:lineRule="auto"/>
        <w:ind w:firstLine="709"/>
        <w:jc w:val="both"/>
      </w:pPr>
      <w:r>
        <w:rPr>
          <w:b/>
          <w:i w:val="0"/>
          <w:color w:val="12324A"/>
        </w:rPr>
        <w:t xml:space="preserve">Análise. </w:t>
      </w:r>
      <w:r>
        <w:rPr>
          <w:b w:val="0"/>
          <w:i w:val="0"/>
        </w:rPr>
        <w:t>O art. 67, §§ 1º e 2º, restringe a exigência de atestados às parcelas de maior relevância e a quantitativos de até 50%, limitando-se ao necessário para aferir a aptidão para o objeto. Exigir experiência em "fornecimento de bens" e atividade principal de "comercialização" é critério desalinhado do objeto (locação de serviços) e restringe o universo de licitantes.</w:t>
      </w:r>
    </w:p>
    <w:p>
      <w:pPr>
        <w:spacing w:before="0" w:after="120" w:line="360" w:lineRule="auto"/>
        <w:ind w:firstLine="709"/>
        <w:jc w:val="both"/>
      </w:pPr>
      <w:r>
        <w:rPr>
          <w:b/>
          <w:i w:val="0"/>
          <w:color w:val="B23A48"/>
        </w:rPr>
        <w:t xml:space="preserve">Risco de manutenção. </w:t>
      </w:r>
      <w:r>
        <w:rPr>
          <w:b w:val="0"/>
          <w:i w:val="0"/>
        </w:rPr>
        <w:t>Inabilitação indevida de locadoras e restrição da competição, com impugnação ou representação.</w:t>
      </w:r>
    </w:p>
    <w:p>
      <w:pPr>
        <w:spacing w:before="0" w:after="120" w:line="360" w:lineRule="auto"/>
        <w:ind w:firstLine="709"/>
        <w:jc w:val="both"/>
      </w:pPr>
      <w:r>
        <w:rPr>
          <w:b/>
          <w:i w:val="0"/>
          <w:color w:val="12324A"/>
        </w:rPr>
        <w:t xml:space="preserve">Providência recomendada. </w:t>
      </w:r>
      <w:r>
        <w:rPr>
          <w:b w:val="0"/>
          <w:i w:val="0"/>
        </w:rPr>
        <w:t>Reescrever a exigência para atestados de locação/prestação de serviços de máquinas e veículos compatíveis, retirar a referência a comercialização e atividade principal (exigir compatibilidade do objeto social com a locação), e excluir ou justificar o responsável técnico. Registrar no ETP/TR o percentual de cada parcela de maior relevância.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Atestado(s) de capacidade técnica, emitido(s) por pessoa jurídica de direito público ou privado, que comprove(m) a prestação de serviços de locação de equipamentos/veículos com características compatíveis com as parcelas de maior relevância (itens 1 a 5), em quantitativo de até 30% das horas estimadas, admitida a soma de atestados.</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3.3 Registro de preços: julgamento por lote (grupo de itens)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Não conforme   ·   Edital e minutas (ata e contrato), Item 12.11 – [página 21]; Anexo I – [páginas 50-51]; TR 9.1 – [página 80]</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julgamento é por "Menor Preço Grupo" (itens 1.1, 6.1 e 10.1.2). No Anexo I, os 20 itens (caminhões, carretas, retroescavadeiras, veículos de passeio, micro-ônibus e pick-ups) aparecem sob um único "GRUPO", enquanto o TR os organiza em 10 grupos de dois itens. Em qualquer das leituras, o processo não demonstra a inviabilidade de adjudicar por item nem a vantagem técnica e econômica do agrupamento: o TR traz só fundamentos genéricos sobre pregão e registro de preços (9.3 a 9.10). O edital também não indica preço unitário máximo: a aceitabilidade é aferida pelo valor global (12.1 e 12.11, que remetem ao item 5.2, total de R$ 35,4 milhões).</w:t>
      </w:r>
    </w:p>
    <w:p>
      <w:pPr>
        <w:spacing w:before="0" w:after="120" w:line="360" w:lineRule="auto"/>
        <w:ind w:firstLine="709"/>
        <w:jc w:val="both"/>
      </w:pPr>
      <w:r>
        <w:rPr>
          <w:b w:val="0"/>
          <w:i w:val="0"/>
        </w:rPr>
        <w:t>O documento dispõe: “permanecendo acima do máximo estipulado para a contratação no item 5.2” (Item 12.11 – [página 21]; Anexo I – [páginas 50-51]; TR 9.1 – [página 80]).</w:t>
      </w:r>
    </w:p>
    <w:p>
      <w:pPr>
        <w:spacing w:before="0" w:after="80" w:line="360" w:lineRule="auto"/>
        <w:ind w:firstLine="709"/>
        <w:jc w:val="both"/>
      </w:pPr>
      <w:r>
        <w:rPr>
          <w:b/>
          <w:i w:val="0"/>
          <w:color w:val="12324A"/>
        </w:rPr>
        <w:t xml:space="preserve">Dispositivo aplicável. </w:t>
      </w:r>
      <w:r>
        <w:rPr>
          <w:b w:val="0"/>
          <w:i w:val="0"/>
        </w:rPr>
        <w:t>A matéria é disciplinada pelo art. 82, § 1º e pelo art. 82, § 2º, da Lei 14.133/2021, que assim dispõem:</w:t>
      </w:r>
    </w:p>
    <w:p>
      <w:pPr>
        <w:spacing w:before="80" w:after="200" w:line="240" w:lineRule="auto"/>
        <w:ind w:firstLine="0" w:left="2268"/>
        <w:jc w:val="both"/>
      </w:pPr>
      <w:r>
        <w:rPr>
          <w:b w:val="0"/>
          <w:i w:val="0"/>
          <w:sz w:val="20"/>
        </w:rPr>
        <w:t>O critério de julgamento de menor preço por grupo de itens somente poderá ser adotado quando for demonstrada a inviabilidade de se promover a adjudicação por item e for evidenciada a sua vantagem técnica e econômica, e o critério de aceitabilidade de preços unitários máximos deverá ser indicado no edital.</w:t>
      </w:r>
      <w:r>
        <w:rPr>
          <w:b w:val="0"/>
          <w:i w:val="0"/>
          <w:sz w:val="20"/>
        </w:rPr>
        <w:t xml:space="preserve"> (BRASIL, 2021, art. 82, § 1º)</w:t>
      </w:r>
    </w:p>
    <w:p>
      <w:pPr>
        <w:spacing w:before="80" w:after="200" w:line="240" w:lineRule="auto"/>
        <w:ind w:firstLine="0" w:left="2268"/>
        <w:jc w:val="both"/>
      </w:pPr>
      <w:r>
        <w:rPr>
          <w:b w:val="0"/>
          <w:i w:val="0"/>
          <w:sz w:val="20"/>
        </w:rPr>
        <w:t>Na hipótese de que trata o § 1º deste artigo, observados os parâmetros estabelecidos nos §§ 1º, 2º e 3º do art. 23 desta Lei, a contratação posterior de item específico constante de grupo de itens exigirá prévia pesquisa de mercado e demonstração de sua vantagem para o órgão ou entidade.</w:t>
      </w:r>
      <w:r>
        <w:rPr>
          <w:b w:val="0"/>
          <w:i w:val="0"/>
          <w:sz w:val="20"/>
        </w:rPr>
        <w:t xml:space="preserve"> (BRASIL, 2021, art. 82, § 2º)</w:t>
      </w:r>
    </w:p>
    <w:p>
      <w:pPr>
        <w:spacing w:before="0" w:after="120" w:line="360" w:lineRule="auto"/>
        <w:ind w:firstLine="709"/>
        <w:jc w:val="both"/>
      </w:pPr>
      <w:r>
        <w:rPr>
          <w:b/>
          <w:i w:val="0"/>
          <w:color w:val="12324A"/>
        </w:rPr>
        <w:t xml:space="preserve">Análise. </w:t>
      </w:r>
      <w:r>
        <w:rPr>
          <w:b w:val="0"/>
          <w:i w:val="0"/>
        </w:rPr>
        <w:t>O art. 82, § 1º, só admite menor preço por grupo com demonstração da inviabilidade de adjudicar por item e da vantagem técnica e econômica, e exige a indicação do critério de aceitabilidade de preços unitários máximos. Reunir frotas de natureza distinta num só lote afasta locadoras especializadas e permite lances com itens individualmente acima do mercado, compensados em outros, o que é o jogo de planilha.</w:t>
      </w:r>
    </w:p>
    <w:p>
      <w:pPr>
        <w:spacing w:before="0" w:after="120" w:line="360" w:lineRule="auto"/>
        <w:ind w:firstLine="709"/>
        <w:jc w:val="both"/>
      </w:pPr>
      <w:r>
        <w:rPr>
          <w:b/>
          <w:i w:val="0"/>
          <w:color w:val="B23A48"/>
        </w:rPr>
        <w:t xml:space="preserve">Risco de manutenção. </w:t>
      </w:r>
      <w:r>
        <w:rPr>
          <w:b w:val="0"/>
          <w:i w:val="0"/>
        </w:rPr>
        <w:t>Restrição da competição, direcionamento a quem tenha toda a frota e sobrepreço oculto em itens individuais.</w:t>
      </w:r>
    </w:p>
    <w:p>
      <w:pPr>
        <w:spacing w:before="0" w:after="120" w:line="360" w:lineRule="auto"/>
        <w:ind w:firstLine="709"/>
        <w:jc w:val="both"/>
      </w:pPr>
      <w:r>
        <w:rPr>
          <w:b/>
          <w:i w:val="0"/>
          <w:color w:val="12324A"/>
        </w:rPr>
        <w:t xml:space="preserve">Providência recomendada. </w:t>
      </w:r>
      <w:r>
        <w:rPr>
          <w:b w:val="0"/>
          <w:i w:val="0"/>
        </w:rPr>
        <w:t>Quanto à ata e aos contratos já formados, adotar no gerenciamento a conferência do preço de cada item e a pesquisa prévia (art. 82, § 2º) a cada contratação. Nos próximos certames, licitar por item (ou por grupos de afinidade demonstrada), fixar preços unitários máximos no edital e justificar o agrupamento no ETP.</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As propostas deverão observar, para cada item, os preços unitários máximos constantes do Anexo I, sendo desclassificada a proposta que apresentar qualquer preço unitário superior ao máximo, ainda que o valor global esteja dentro do estimado.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É obrigatória a admissão da adjudicação por item e não por preço global, nos editais das licitações para a contratação de obras, serviços, compras e alienações, cujo objeto seja divisível, desde que não haja prejuízo para o conjunto ou complexo ou perda de economia de escala, tendo em vista o objetivo de propiciar a ampla participação de licitantes que, embora não dispondo de capacidade para a execução, fornecimento ou aquisição da totalidade do objeto, possam fazê-lo com relação a itens ou unidades autônomas, devendo as exigências de habilitação adequar-se a essa divisibilidade. (Súmula vigente, aprovada pelo Acórdão 1782/2004-Plenário; data indicada = ano de aprovação.)</w:t>
      </w:r>
      <w:r>
        <w:rPr>
          <w:b w:val="0"/>
          <w:i w:val="0"/>
          <w:sz w:val="20"/>
        </w:rPr>
        <w:t xml:space="preserve"> (TCU, Súmula TCU 247)</w:t>
      </w:r>
      <w:r>
        <w:rPr>
          <w:b w:val="0"/>
          <w:i w:val="0"/>
          <w:sz w:val="20"/>
        </w:rPr>
        <w:t xml:space="preserve"> </w:t>
      </w:r>
      <w:hyperlink r:id="rId13">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3.4 Orçamento estimado sem pesquisa de preços demonstrada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Apontamento adicional   ·   Edital e minutas (ata e contrato), TR 13.1 – [página 91]; Anexo I – [página 50]</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valor de R$ 35.395.526,40 decorre apenas da tabela EMOP de fevereiro/2025, acrescida de BDI uniforme de 10%. O TR (13.1) ainda anuncia que o valor "será anexado pelo setor de cotação", e o documento não traz mapa de preços nem cesta de fontes. A tabela é de fevereiro/2025 e a divulgação é de agosto/2025. A análise de preços do sistema não encontrou amostra suficiente em nenhum dos 20 itens, e por isso não se afirma sobrepreço. Também não se demonstra que o preço EMOP inclua combustível, que o TR (6.1) atribui à contratada, nem as condições de execução (disponibilidade por hora). O estudo de mercado do art. 23 não está evidenciado.</w:t>
      </w:r>
    </w:p>
    <w:p>
      <w:pPr>
        <w:spacing w:before="0" w:after="120" w:line="360" w:lineRule="auto"/>
        <w:ind w:firstLine="709"/>
        <w:jc w:val="both"/>
      </w:pPr>
      <w:r>
        <w:rPr>
          <w:b w:val="0"/>
          <w:i w:val="0"/>
        </w:rPr>
        <w:t>O documento dispõe: “O valor estimado do fornecimento será anexado pelo setor de cotação” (TR 13.1 – [página 91]; Anexo I – [página 50]).</w:t>
      </w:r>
    </w:p>
    <w:p>
      <w:pPr>
        <w:spacing w:before="0" w:after="80" w:line="360" w:lineRule="auto"/>
        <w:ind w:firstLine="709"/>
        <w:jc w:val="both"/>
      </w:pPr>
      <w:r>
        <w:rPr>
          <w:b/>
          <w:i w:val="0"/>
          <w:color w:val="12324A"/>
        </w:rPr>
        <w:t xml:space="preserve">Dispositivo aplicável. </w:t>
      </w:r>
      <w:r>
        <w:rPr>
          <w:b w:val="0"/>
          <w:i w:val="0"/>
        </w:rPr>
        <w:t>A matéria é disciplinada pelo art. 23 e pelo art. 18, inciso IV, da Lei 14.133/2021, que assim dispõem:</w:t>
      </w:r>
    </w:p>
    <w:p>
      <w:pPr>
        <w:spacing w:before="80" w:after="200" w:line="240" w:lineRule="auto"/>
        <w:ind w:firstLine="0" w:left="2268"/>
        <w:jc w:val="both"/>
      </w:pPr>
      <w:r>
        <w:rPr>
          <w:b w:val="0"/>
          <w:i w:val="0"/>
          <w:sz w:val="20"/>
        </w:rPr>
        <w:t>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r>
        <w:rPr>
          <w:b w:val="0"/>
          <w:i w:val="0"/>
          <w:sz w:val="20"/>
        </w:rPr>
        <w:t xml:space="preserve"> (BRASIL, 2021, art. 23)</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o orçamento estimado, com as composições dos preços utilizados para sua formação;</w:t>
      </w:r>
      <w:r>
        <w:rPr>
          <w:b w:val="0"/>
          <w:i w:val="0"/>
          <w:sz w:val="20"/>
        </w:rPr>
        <w:t xml:space="preserve"> (BRASIL, 2021, art. 18, inciso IV)</w:t>
      </w:r>
    </w:p>
    <w:p>
      <w:pPr>
        <w:spacing w:before="0" w:after="120" w:line="360" w:lineRule="auto"/>
        <w:ind w:firstLine="709"/>
        <w:jc w:val="both"/>
      </w:pPr>
      <w:r>
        <w:rPr>
          <w:b/>
          <w:i w:val="0"/>
          <w:color w:val="12324A"/>
        </w:rPr>
        <w:t xml:space="preserve">Análise. </w:t>
      </w:r>
      <w:r>
        <w:rPr>
          <w:b w:val="0"/>
          <w:i w:val="0"/>
        </w:rPr>
        <w:t>O valor estimado deve ser compatível com os praticados no mercado, considerados bancos de dados públicos, contratações similares e peculiaridades do local. Um orçamento amparado em fonte única, sem composição nem demonstração de equivalência de condições, não permite aferir a compatibilidade com o mercado.</w:t>
      </w:r>
    </w:p>
    <w:p>
      <w:pPr>
        <w:spacing w:before="0" w:after="120" w:line="360" w:lineRule="auto"/>
        <w:ind w:firstLine="709"/>
        <w:jc w:val="both"/>
      </w:pPr>
      <w:r>
        <w:rPr>
          <w:b/>
          <w:i w:val="0"/>
          <w:color w:val="B23A48"/>
        </w:rPr>
        <w:t xml:space="preserve">Risco de manutenção. </w:t>
      </w:r>
      <w:r>
        <w:rPr>
          <w:b w:val="0"/>
          <w:i w:val="0"/>
        </w:rPr>
        <w:t>Sobrepreço ou inexequibilidade não percebidos e questionamento do preço de referência da ata.</w:t>
      </w:r>
    </w:p>
    <w:p>
      <w:pPr>
        <w:spacing w:before="0" w:after="120" w:line="360" w:lineRule="auto"/>
        <w:ind w:firstLine="709"/>
        <w:jc w:val="both"/>
      </w:pPr>
      <w:r>
        <w:rPr>
          <w:b/>
          <w:i w:val="0"/>
          <w:color w:val="12324A"/>
        </w:rPr>
        <w:t xml:space="preserve">Providência recomendada. </w:t>
      </w:r>
      <w:r>
        <w:rPr>
          <w:b w:val="0"/>
          <w:i w:val="0"/>
        </w:rPr>
        <w:t>Anexar ao processo a pesquisa de preços (contratações similares do PNCP, outras fontes, atas), a composição do BDI e a memória sobre combustível e disponibilidade. Rever os preços de referência antes de qualquer prorrogação da ata ou do contrato.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3.5 Linhas duplicadas com descrição idêntica e preços muito diferentes (risco de jogo de planilha)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B23A48" w:space="0"/>
              <w:bottom w:val="nil"/>
              <w:right w:val="nil"/>
            </w:tcBorders>
            <w:shd w:val="clear" w:color="auto" w:fill="F8E6E8"/>
            <w:tcMar>
              <w:top w:w="85" w:type="dxa"/>
              <w:left w:w="85" w:type="dxa"/>
              <w:bottom w:w="85" w:type="dxa"/>
              <w:right w:w="85" w:type="dxa"/>
            </w:tcMar>
          </w:tcPr>
          <w:p>
            <w:pPr>
              <w:spacing w:before="0" w:after="0" w:line="240" w:lineRule="auto"/>
              <w:ind w:firstLine="0"/>
              <w:jc w:val="left"/>
            </w:pPr>
            <w:r>
              <w:rPr>
                <w:b/>
                <w:i w:val="0"/>
                <w:color w:val="B23A48"/>
                <w:sz w:val="16"/>
              </w:rPr>
              <w:t>GRAVIDADE ALTA</w:t>
            </w:r>
            <w:r>
              <w:rPr>
                <w:b w:val="0"/>
                <w:i w:val="0"/>
                <w:color w:val="1E2A32"/>
                <w:sz w:val="16"/>
              </w:rPr>
              <w:t xml:space="preserve">   ·   Apontamento adicional   ·   Edital e minutas (ata e contrato), Anexo I – [páginas 50-51]; TR 6.15 – [página 71]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No Anexo I, cada equipamento aparece em duas linhas de descrição idêntica e código EMOP diferente (sufixos "-2" e "-3"), com quantidades 80/20 e preço da segunda linha em torno de 41% da primeira (por exemplo, caminhão basculante: R$ 243,61/h e R$ 100,45/h). O edital e o TR não explicam a diferença (hora produtiva ou improdutiva, disponibilidade, cota reservada). O TR (6.15 e 8.23) dispõe que só se paga a hora de serviço efetivo, sem deslocamentos ou interrupções não solicitadas, o que torna incompreensível a linha de menor preço. Os itens 13 e 15 e 14 e 16 têm preços idênticos, e o Anexo I não distingue "hatch" e "sedan".</w:t>
      </w:r>
    </w:p>
    <w:p>
      <w:pPr>
        <w:spacing w:before="0" w:after="120" w:line="360" w:lineRule="auto"/>
        <w:ind w:firstLine="709"/>
        <w:jc w:val="both"/>
      </w:pPr>
      <w:r>
        <w:rPr>
          <w:b w:val="0"/>
          <w:i w:val="0"/>
        </w:rPr>
        <w:t>O documento dispõe: “A título de execução do serviço, será contabilizada a hora da máquina/veículo a partir” (Anexo I – [páginas 50-51]; TR 6.15 – [página 71]).</w:t>
      </w:r>
    </w:p>
    <w:p>
      <w:pPr>
        <w:spacing w:before="0" w:after="80" w:line="360" w:lineRule="auto"/>
        <w:ind w:firstLine="709"/>
        <w:jc w:val="both"/>
      </w:pPr>
      <w:r>
        <w:rPr>
          <w:b/>
          <w:i w:val="0"/>
          <w:color w:val="12324A"/>
        </w:rPr>
        <w:t xml:space="preserve">Dispositivo aplicável. </w:t>
      </w:r>
      <w:r>
        <w:rPr>
          <w:b w:val="0"/>
          <w:i w:val="0"/>
        </w:rPr>
        <w:t>A matéria é disciplinada pelo art. 23 e pelo art. 18, inciso IV, da Lei 14.133/2021, que assim dispõem:</w:t>
      </w:r>
    </w:p>
    <w:p>
      <w:pPr>
        <w:spacing w:before="80" w:after="200" w:line="240" w:lineRule="auto"/>
        <w:ind w:firstLine="0" w:left="2268"/>
        <w:jc w:val="both"/>
      </w:pPr>
      <w:r>
        <w:rPr>
          <w:b w:val="0"/>
          <w:i w:val="0"/>
          <w:sz w:val="20"/>
        </w:rPr>
        <w:t>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r>
        <w:rPr>
          <w:b w:val="0"/>
          <w:i w:val="0"/>
          <w:sz w:val="20"/>
        </w:rPr>
        <w:t xml:space="preserve"> (BRASIL, 2021, art. 23)</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o orçamento estimado, com as composições dos preços utilizados para sua formação;</w:t>
      </w:r>
      <w:r>
        <w:rPr>
          <w:b w:val="0"/>
          <w:i w:val="0"/>
          <w:sz w:val="20"/>
        </w:rPr>
        <w:t xml:space="preserve"> (BRASIL, 2021, art. 18, inciso IV)</w:t>
      </w:r>
    </w:p>
    <w:p>
      <w:pPr>
        <w:spacing w:before="0" w:after="120" w:line="360" w:lineRule="auto"/>
        <w:ind w:firstLine="709"/>
        <w:jc w:val="both"/>
      </w:pPr>
      <w:r>
        <w:rPr>
          <w:b/>
          <w:i w:val="0"/>
          <w:color w:val="12324A"/>
        </w:rPr>
        <w:t xml:space="preserve">Análise. </w:t>
      </w:r>
      <w:r>
        <w:rPr>
          <w:b w:val="0"/>
          <w:i w:val="0"/>
        </w:rPr>
        <w:t>Itens sem definição clara dificultam a formulação das propostas e a fiscalização, e permitem a manipulação de preços por linha, com risco de superfaturamento na execução, sobretudo em julgamento por grupo e com contratação por linha na ata.</w:t>
      </w:r>
    </w:p>
    <w:p>
      <w:pPr>
        <w:spacing w:before="0" w:after="120" w:line="360" w:lineRule="auto"/>
        <w:ind w:firstLine="709"/>
        <w:jc w:val="both"/>
      </w:pPr>
      <w:r>
        <w:rPr>
          <w:b/>
          <w:i w:val="0"/>
          <w:color w:val="B23A48"/>
        </w:rPr>
        <w:t xml:space="preserve">Risco de manutenção. </w:t>
      </w:r>
      <w:r>
        <w:rPr>
          <w:b w:val="0"/>
          <w:i w:val="0"/>
        </w:rPr>
        <w:t>Pagamento a maior por linhas mais caras, contestação das propostas e dificuldade de medir a execução.</w:t>
      </w:r>
    </w:p>
    <w:p>
      <w:pPr>
        <w:spacing w:before="0" w:after="120" w:line="360" w:lineRule="auto"/>
        <w:ind w:firstLine="709"/>
        <w:jc w:val="both"/>
      </w:pPr>
      <w:r>
        <w:rPr>
          <w:b/>
          <w:i w:val="0"/>
          <w:color w:val="12324A"/>
        </w:rPr>
        <w:t xml:space="preserve">Providência recomendada. </w:t>
      </w:r>
      <w:r>
        <w:rPr>
          <w:b w:val="0"/>
          <w:i w:val="0"/>
        </w:rPr>
        <w:t>Definir no TR o que cada linha remunera (e se uma delas é cota reservada) e a regra de medição de cada uma, ou unificar as linhas. Explicar a diferença de preço ou rever o orçamento, e fixar preços unitários máximos.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3.6 Índice de reajuste com data-base no orçamento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Item 23.2 – [página 42]; TR 2.2 – [página 58]; Minuta, Cláusula Quinta – [página 127-128]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data-base do reajuste está corretamente vinculada à data do orçamento estimado (itens 23.1 e 23.2 e TR 2.2). Entretanto, o índice escolhido é o INCC-M, que mede o custo da construção civil e não reflete a variação de custos de locação de caminhões, carretas, veículos de passeio, micro-ônibus e pick-ups com motorista e combustível. Além disso, a minuta de contrato deixa o índice e o prazo em branco e, em § 5º, vincula a repactuação à data das propostas, divergindo do edital.</w:t>
      </w:r>
    </w:p>
    <w:p>
      <w:pPr>
        <w:spacing w:before="0" w:after="120" w:line="360" w:lineRule="auto"/>
        <w:ind w:firstLine="709"/>
        <w:jc w:val="both"/>
      </w:pPr>
      <w:r>
        <w:rPr>
          <w:b w:val="0"/>
          <w:i w:val="0"/>
        </w:rPr>
        <w:t>O documento dispõe: “Os preços serão reajustados de acordo com a variação do Índice Nacional de Custo da Construção (INCC-M) fornecido pela Fundação Getúlio Vargas (FGV)” (Item 23.2 – [página 42]; TR 2.2 – [página 58]; Minuta, Cláusula Quinta – [página 127-128]).</w:t>
      </w:r>
    </w:p>
    <w:p>
      <w:pPr>
        <w:spacing w:before="0" w:after="80" w:line="360" w:lineRule="auto"/>
        <w:ind w:firstLine="709"/>
        <w:jc w:val="both"/>
      </w:pPr>
      <w:r>
        <w:rPr>
          <w:b/>
          <w:i w:val="0"/>
          <w:color w:val="12324A"/>
        </w:rPr>
        <w:t xml:space="preserve">Dispositivo aplicável. </w:t>
      </w:r>
      <w:r>
        <w:rPr>
          <w:b w:val="0"/>
          <w:i w:val="0"/>
        </w:rPr>
        <w:t>A matéria é disciplinada pelo art. 25, § 7º e pelo art. 92, § 3º, da Lei 14.133/2021, que assim dispõem:</w:t>
      </w:r>
    </w:p>
    <w:p>
      <w:pPr>
        <w:spacing w:before="80" w:after="200" w:line="240" w:lineRule="auto"/>
        <w:ind w:firstLine="0" w:left="2268"/>
        <w:jc w:val="both"/>
      </w:pPr>
      <w:r>
        <w:rPr>
          <w:b w:val="0"/>
          <w:i w:val="0"/>
          <w:sz w:val="20"/>
        </w:rPr>
        <w:t>Independentemente do prazo de duração do contrato, será obrigatória a previsão no edital de índice de reajustamento de preço, com data-base vinculada à data do orçamento estimado e com a possibilidade de ser estabelecido mais de um índice específico ou setorial, em conformidade com a realidade de mercado dos respectivos insumos.</w:t>
      </w:r>
      <w:r>
        <w:rPr>
          <w:b w:val="0"/>
          <w:i w:val="0"/>
          <w:sz w:val="20"/>
        </w:rPr>
        <w:t xml:space="preserve"> (BRASIL, 2021, art. 25, § 7º)</w:t>
      </w:r>
    </w:p>
    <w:p>
      <w:pPr>
        <w:spacing w:before="80" w:after="200" w:line="240" w:lineRule="auto"/>
        <w:ind w:firstLine="0" w:left="2268"/>
        <w:jc w:val="both"/>
      </w:pPr>
      <w:r>
        <w:rPr>
          <w:b w:val="0"/>
          <w:i w:val="0"/>
          <w:sz w:val="20"/>
        </w:rPr>
        <w:t>Independentemente do prazo de duração, o contrato deverá conter cláusula que estabeleça o índice de reajustamento de preço, com data-base vinculada à data do orçamento estimado, e poderá ser estabelecido mais de um índice específico ou setorial, em conformidade com a realidade de mercado dos respectivos insumos.</w:t>
      </w:r>
      <w:r>
        <w:rPr>
          <w:b w:val="0"/>
          <w:i w:val="0"/>
          <w:sz w:val="20"/>
        </w:rPr>
        <w:t xml:space="preserve"> (BRASIL, 2021, art. 92, § 3º)</w:t>
      </w:r>
    </w:p>
    <w:p>
      <w:pPr>
        <w:spacing w:before="0" w:after="120" w:line="360" w:lineRule="auto"/>
        <w:ind w:firstLine="709"/>
        <w:jc w:val="both"/>
      </w:pPr>
      <w:r>
        <w:rPr>
          <w:b/>
          <w:i w:val="0"/>
          <w:color w:val="12324A"/>
        </w:rPr>
        <w:t xml:space="preserve">Análise. </w:t>
      </w:r>
      <w:r>
        <w:rPr>
          <w:b w:val="0"/>
          <w:i w:val="0"/>
        </w:rPr>
        <w:t>O art. 25, § 7º, exige índice com data-base no orçamento, em conformidade com a realidade de mercado dos respectivos insumos. Índice de construção civil pode gerar reajustes dissociados dos custos reais do objeto (combustível, mão de obra de motorista, depreciação, manutenção).</w:t>
      </w:r>
    </w:p>
    <w:p>
      <w:pPr>
        <w:spacing w:before="0" w:after="120" w:line="360" w:lineRule="auto"/>
        <w:ind w:firstLine="709"/>
        <w:jc w:val="both"/>
      </w:pPr>
      <w:r>
        <w:rPr>
          <w:b/>
          <w:i w:val="0"/>
          <w:color w:val="C9781E"/>
        </w:rPr>
        <w:t xml:space="preserve">Risco de manutenção. </w:t>
      </w:r>
      <w:r>
        <w:rPr>
          <w:b w:val="0"/>
          <w:i w:val="0"/>
        </w:rPr>
        <w:t>Reajuste desconectado dos custos reais, com pleitos de reequilíbrio ou pagamento a maior/menor durante a execução da ata e dos contratos.</w:t>
      </w:r>
    </w:p>
    <w:p>
      <w:pPr>
        <w:spacing w:before="0" w:after="120" w:line="360" w:lineRule="auto"/>
        <w:ind w:firstLine="709"/>
        <w:jc w:val="both"/>
      </w:pPr>
      <w:r>
        <w:rPr>
          <w:b/>
          <w:i w:val="0"/>
          <w:color w:val="12324A"/>
        </w:rPr>
        <w:t xml:space="preserve">Providência recomendada. </w:t>
      </w:r>
      <w:r>
        <w:rPr>
          <w:b w:val="0"/>
          <w:i w:val="0"/>
        </w:rPr>
        <w:t>Justificar tecnicamente o INCC-M ou adotar índice mais aderente (por exemplo, índice de preços ao consumidor/transporte ou cesta com índices específicos por insumo). Preencher a minuta de contrato com o mesmo índice, prazo e data-base do edital.</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2E8B57" w:space="0"/>
              <w:bottom w:val="nil"/>
              <w:right w:val="nil"/>
            </w:tcBorders>
            <w:shd w:val="clear" w:color="auto" w:fill="E3F2EA"/>
            <w:tcMar>
              <w:top w:w="141" w:type="dxa"/>
              <w:left w:w="141" w:type="dxa"/>
              <w:bottom w:w="141" w:type="dxa"/>
              <w:right w:w="141" w:type="dxa"/>
            </w:tcMar>
          </w:tcPr>
          <w:p>
            <w:pPr>
              <w:spacing w:before="0" w:after="0" w:line="276" w:lineRule="auto"/>
              <w:ind w:firstLine="0"/>
              <w:jc w:val="both"/>
            </w:pPr>
            <w:r>
              <w:rPr>
                <w:b/>
                <w:i w:val="0"/>
                <w:color w:val="2E8B57"/>
                <w:sz w:val="16"/>
              </w:rPr>
              <w:t xml:space="preserve">REDAÇÃO SUGERIDA  </w:t>
            </w:r>
            <w:r>
              <w:rPr>
                <w:b w:val="0"/>
                <w:i w:val="0"/>
                <w:sz w:val="20"/>
              </w:rPr>
              <w:t>Os preços serão reajustados pelo [índice específico/setorial justificado no processo], com data-base na data do orçamento estimado (fevereiro/2025), observado o interregno mínimo de um ano.</w:t>
            </w:r>
          </w:p>
        </w:tc>
      </w:tr>
    </w:tbl>
    <w:p>
      <w:pPr>
        <w:spacing w:before="0" w:after="80" w:line="240" w:lineRule="auto"/>
        <w:ind w:firstLine="0"/>
        <w:jc w:val="both"/>
      </w:pP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3.7 Qualificação econômico-financeira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Item 13, (B.1) e (B.2) – [páginas 25-26]; TR 9.30 a 9.34 – [página 85]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Exigem-se índices ILG, ILC e ISG maiores que 1 e, para quem não os atinja, patrimônio líquido mínimo de 10% do valor estimado, que está no limite do § 4º. Sem faturamento mínimo nem índices de rentabilidade. Porém:</w:t>
        <w:br/>
        <w:t>(a) o documento não traz justificativa dos índices e dos valores;</w:t>
        <w:br/>
        <w:t>(b) o edital (B.2) fala em patrimônio líquido, enquanto o TR (9.31) fala em "capital mínimo", e o TR (9.34) exige declaração de contador sobre os índices, que o edital não prevê;</w:t>
        <w:br/>
        <w:t>(c) o valor estimado de 10% (R$ 3,54 milhões) tem por base o valor total, que é teto de consumo em registro de preços.</w:t>
      </w:r>
    </w:p>
    <w:p>
      <w:pPr>
        <w:spacing w:before="0" w:after="120" w:line="360" w:lineRule="auto"/>
        <w:ind w:firstLine="709"/>
        <w:jc w:val="both"/>
      </w:pPr>
      <w:r>
        <w:rPr>
          <w:b w:val="0"/>
          <w:i w:val="0"/>
        </w:rPr>
        <w:t>O documento dispõe: “A licitante que não alcançar o índice (ou quaisquer dos índices) acima exigido(s)” (Item 13, (B.1) e (B.2) – [páginas 25-26]; TR 9.30 a 9.34 – [página 85]).</w:t>
      </w:r>
    </w:p>
    <w:p>
      <w:pPr>
        <w:spacing w:before="0" w:after="80" w:line="360" w:lineRule="auto"/>
        <w:ind w:firstLine="709"/>
        <w:jc w:val="both"/>
      </w:pPr>
      <w:r>
        <w:rPr>
          <w:b/>
          <w:i w:val="0"/>
          <w:color w:val="12324A"/>
        </w:rPr>
        <w:t xml:space="preserve">Dispositivo aplicável. </w:t>
      </w:r>
      <w:r>
        <w:rPr>
          <w:b w:val="0"/>
          <w:i w:val="0"/>
        </w:rPr>
        <w:t>A matéria é disciplinada pelo art. 69, pelo art. 69, § 2º, pelo art. 69, § 4º e pelo art. 69, § 5º, da Lei 14.133/2021, que assim dispõem:</w:t>
      </w:r>
    </w:p>
    <w:p>
      <w:pPr>
        <w:spacing w:before="80" w:after="200" w:line="240" w:lineRule="auto"/>
        <w:ind w:firstLine="0" w:left="2268"/>
        <w:jc w:val="both"/>
      </w:pPr>
      <w:r>
        <w:rPr>
          <w:b w:val="0"/>
          <w:i w:val="0"/>
          <w:sz w:val="20"/>
        </w:rPr>
        <w:t>A habilitação econômico-financeira visa a demonstrar a aptidão econômica do licitante para cumprir as obrigações decorrentes do futuro contrato, devendo ser comprovada de forma objetiva, por coeficientes e índices econômicos previstos no edital, devidamente justificados no processo licitatório, e será restrita à apresentação da seguinte documentação: […]</w:t>
      </w:r>
      <w:r>
        <w:rPr>
          <w:b w:val="0"/>
          <w:i w:val="0"/>
          <w:sz w:val="20"/>
        </w:rPr>
        <w:t xml:space="preserve"> (BRASIL, 2021, art. 69)</w:t>
      </w:r>
    </w:p>
    <w:p>
      <w:pPr>
        <w:spacing w:before="80" w:after="200" w:line="240" w:lineRule="auto"/>
        <w:ind w:firstLine="0" w:left="2268"/>
        <w:jc w:val="both"/>
      </w:pPr>
      <w:r>
        <w:rPr>
          <w:b w:val="0"/>
          <w:i w:val="0"/>
          <w:sz w:val="20"/>
        </w:rPr>
        <w:t>Para o atendimento do disposto no caput deste artigo, é vedada a exigência de valores mínimos de faturamento anterior e de índices de rentabilidade ou lucratividade.</w:t>
      </w:r>
      <w:r>
        <w:rPr>
          <w:b w:val="0"/>
          <w:i w:val="0"/>
          <w:sz w:val="20"/>
        </w:rPr>
        <w:t xml:space="preserve"> (BRASIL, 2021, art. 69, § 2º)</w:t>
      </w:r>
    </w:p>
    <w:p>
      <w:pPr>
        <w:spacing w:before="80" w:after="200" w:line="240" w:lineRule="auto"/>
        <w:ind w:firstLine="0" w:left="2268"/>
        <w:jc w:val="both"/>
      </w:pPr>
      <w:r>
        <w:rPr>
          <w:b w:val="0"/>
          <w:i w:val="0"/>
          <w:sz w:val="20"/>
        </w:rPr>
        <w:t>A Administração, nas compras para entrega futura e na execução de obras e serviços, poderá estabelecer no edital a exigência de capital mínimo ou de patrimônio líquido mínimo equivalente a até 10% (dez por cento) do valor estimado da contratação.</w:t>
      </w:r>
      <w:r>
        <w:rPr>
          <w:b w:val="0"/>
          <w:i w:val="0"/>
          <w:sz w:val="20"/>
        </w:rPr>
        <w:t xml:space="preserve"> (BRASIL, 2021, art. 69, § 4º)</w:t>
      </w:r>
    </w:p>
    <w:p>
      <w:pPr>
        <w:spacing w:before="80" w:after="200" w:line="240" w:lineRule="auto"/>
        <w:ind w:firstLine="0" w:left="2268"/>
        <w:jc w:val="both"/>
      </w:pPr>
      <w:r>
        <w:rPr>
          <w:b w:val="0"/>
          <w:i w:val="0"/>
          <w:sz w:val="20"/>
        </w:rPr>
        <w:t>É vedada a exigência de índices e valores não usualmente adotados para a avaliação de situação econômico-financeira suficiente para o cumprimento das obrigações decorrentes da licitação.</w:t>
      </w:r>
      <w:r>
        <w:rPr>
          <w:b w:val="0"/>
          <w:i w:val="0"/>
          <w:sz w:val="20"/>
        </w:rPr>
        <w:t xml:space="preserve"> (BRASIL, 2021, art. 69, § 5º)</w:t>
      </w:r>
    </w:p>
    <w:p>
      <w:pPr>
        <w:spacing w:before="0" w:after="120" w:line="360" w:lineRule="auto"/>
        <w:ind w:firstLine="709"/>
        <w:jc w:val="both"/>
      </w:pPr>
      <w:r>
        <w:rPr>
          <w:b/>
          <w:i w:val="0"/>
          <w:color w:val="12324A"/>
        </w:rPr>
        <w:t xml:space="preserve">Análise. </w:t>
      </w:r>
      <w:r>
        <w:rPr>
          <w:b w:val="0"/>
          <w:i w:val="0"/>
        </w:rPr>
        <w:t>O art. 69 exige índices usuais, justificados no processo (Súmula TCU 289), e o § 4º limita o capital/PL mínimo a 10% do valor estimado. Divergências entre edital e TR geram dúvida sobre a exigência efetivamente aplicável.</w:t>
      </w:r>
    </w:p>
    <w:p>
      <w:pPr>
        <w:spacing w:before="0" w:after="120" w:line="360" w:lineRule="auto"/>
        <w:ind w:firstLine="709"/>
        <w:jc w:val="both"/>
      </w:pPr>
      <w:r>
        <w:rPr>
          <w:b/>
          <w:i w:val="0"/>
          <w:color w:val="C9781E"/>
        </w:rPr>
        <w:t xml:space="preserve">Risco de manutenção. </w:t>
      </w:r>
      <w:r>
        <w:rPr>
          <w:b w:val="0"/>
          <w:i w:val="0"/>
        </w:rPr>
        <w:t>Impugnação por exigência injustificada e inabilitação por critério ambíguo.</w:t>
      </w:r>
    </w:p>
    <w:p>
      <w:pPr>
        <w:spacing w:before="0" w:after="120" w:line="360" w:lineRule="auto"/>
        <w:ind w:firstLine="709"/>
        <w:jc w:val="both"/>
      </w:pPr>
      <w:r>
        <w:rPr>
          <w:b/>
          <w:i w:val="0"/>
          <w:color w:val="12324A"/>
        </w:rPr>
        <w:t xml:space="preserve">Providência recomendada. </w:t>
      </w:r>
      <w:r>
        <w:rPr>
          <w:b w:val="0"/>
          <w:i w:val="0"/>
        </w:rPr>
        <w:t>Justificar no ETP/TR os índices adotados com base no mercado do objeto, uniformizar a redação (patrimônio líquido ou capital mínimo, a ser escolhido pelo órgão) e retirar ou incluir no edital a declaração contábil do TR 9.34.</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exigência de índices contábeis de capacidade financeira, a exemplo dos de liquidez, deve estar justificada no processo da licitação, conter parâmetros atualizados de mercado e atender às características do objeto licitado, sendo vedado o uso de índice cuja fórmula inclua rentabilidade ou lucratividade. (Súmula vigente, aprovada pelo Acórdão 354/2016-Plenário; data indicada = ano de aprovação.)</w:t>
      </w:r>
      <w:r>
        <w:rPr>
          <w:b w:val="0"/>
          <w:i w:val="0"/>
          <w:sz w:val="20"/>
        </w:rPr>
        <w:t xml:space="preserve"> (TCU, Súmula TCU 289)</w:t>
      </w:r>
      <w:r>
        <w:rPr>
          <w:b w:val="0"/>
          <w:i w:val="0"/>
          <w:sz w:val="20"/>
        </w:rPr>
        <w:t xml:space="preserve"> </w:t>
      </w:r>
      <w:hyperlink r:id="rId14">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3.8 Participação em consórcio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Item 8.9 – [página 9]; TR 9.13 e 9.14 – [página 82]</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veda consórcio (8.9) e o TR contém justificativa (9.12 a 9.14). A motivação é genérica: afirma que, por ser registro de preços e "não demandar alta complexidade técnica", o consórcio não seria viável, e que traria prejuízo ao "ânimo competitivo", sem demonstrar concretamente por quê. O objeto, de R$ 35,4 milhões, reúne 20 itens heterogêneos (pesados, leves e coletivos), cenário em que o consórcio poderia ampliar a competição. O TR ainda mistura cooperativa e consórcio (9.15: "atos praticados pelo Consórcio").</w:t>
      </w:r>
    </w:p>
    <w:p>
      <w:pPr>
        <w:spacing w:before="0" w:after="120" w:line="360" w:lineRule="auto"/>
        <w:ind w:firstLine="709"/>
        <w:jc w:val="both"/>
      </w:pPr>
      <w:r>
        <w:rPr>
          <w:b w:val="0"/>
          <w:i w:val="0"/>
        </w:rPr>
        <w:t>O documento dispõe: “Não será permitida a participação em consórcio.” (Item 8.9 – [página 9]; TR 9.13 e 9.14 – [página 82]).</w:t>
      </w:r>
    </w:p>
    <w:p>
      <w:pPr>
        <w:spacing w:before="0" w:after="80" w:line="360" w:lineRule="auto"/>
        <w:ind w:firstLine="709"/>
        <w:jc w:val="both"/>
      </w:pPr>
      <w:r>
        <w:rPr>
          <w:b/>
          <w:i w:val="0"/>
          <w:color w:val="12324A"/>
        </w:rPr>
        <w:t xml:space="preserve">Dispositivo aplicável. </w:t>
      </w:r>
      <w:r>
        <w:rPr>
          <w:b w:val="0"/>
          <w:i w:val="0"/>
        </w:rPr>
        <w:t>A matéria é disciplinada pelo art. 15, da Lei 14.133/2021, que assim dispõe:</w:t>
      </w:r>
    </w:p>
    <w:p>
      <w:pPr>
        <w:spacing w:before="80" w:after="200" w:line="240" w:lineRule="auto"/>
        <w:ind w:firstLine="0" w:left="2268"/>
        <w:jc w:val="both"/>
      </w:pPr>
      <w:r>
        <w:rPr>
          <w:b w:val="0"/>
          <w:i w:val="0"/>
          <w:sz w:val="20"/>
        </w:rPr>
        <w:t>Salvo vedação devidamente justificada no processo licitatório, pessoa jurídica poderá participar de licitação em consórcio, observadas as seguintes normas: […]</w:t>
      </w:r>
      <w:r>
        <w:rPr>
          <w:b w:val="0"/>
          <w:i w:val="0"/>
          <w:sz w:val="20"/>
        </w:rPr>
        <w:t xml:space="preserve"> (BRASIL, 2021, art. 15)</w:t>
      </w:r>
    </w:p>
    <w:p>
      <w:pPr>
        <w:spacing w:before="0" w:after="120" w:line="360" w:lineRule="auto"/>
        <w:ind w:firstLine="709"/>
        <w:jc w:val="both"/>
      </w:pPr>
      <w:r>
        <w:rPr>
          <w:b/>
          <w:i w:val="0"/>
          <w:color w:val="12324A"/>
        </w:rPr>
        <w:t xml:space="preserve">Análise. </w:t>
      </w:r>
      <w:r>
        <w:rPr>
          <w:b w:val="0"/>
          <w:i w:val="0"/>
        </w:rPr>
        <w:t>O art. 15 admite o consórcio, salvo vedação devidamente justificada no processo. Justificativa por fórmula genérica, sem análise do mercado e do porte do objeto, pode ser tida como insuficiente.</w:t>
      </w:r>
    </w:p>
    <w:p>
      <w:pPr>
        <w:spacing w:before="0" w:after="120" w:line="360" w:lineRule="auto"/>
        <w:ind w:firstLine="709"/>
        <w:jc w:val="both"/>
      </w:pPr>
      <w:r>
        <w:rPr>
          <w:b/>
          <w:i w:val="0"/>
          <w:color w:val="C9781E"/>
        </w:rPr>
        <w:t xml:space="preserve">Risco de manutenção. </w:t>
      </w:r>
      <w:r>
        <w:rPr>
          <w:b w:val="0"/>
          <w:i w:val="0"/>
        </w:rPr>
        <w:t>Impugnação e questionamento por restrição da competição em objeto de grande valor.</w:t>
      </w:r>
    </w:p>
    <w:p>
      <w:pPr>
        <w:spacing w:before="0" w:after="120" w:line="360" w:lineRule="auto"/>
        <w:ind w:firstLine="709"/>
        <w:jc w:val="both"/>
      </w:pPr>
      <w:r>
        <w:rPr>
          <w:b/>
          <w:i w:val="0"/>
          <w:color w:val="12324A"/>
        </w:rPr>
        <w:t xml:space="preserve">Providência recomendada. </w:t>
      </w:r>
      <w:r>
        <w:rPr>
          <w:b w:val="0"/>
          <w:i w:val="0"/>
        </w:rPr>
        <w:t>Complementar a motivação com dados concretos (número de locadoras aptas a executar sozinhas todos os itens, ausência de ganho competitivo) ou admitir consórcio com as regras do art. 15. Corrigir o item 9.15 do TR.</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3.9 Tratamento diferenciado a ME e EPP</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TR 10.2 – [página 87]; Edital, item 12.8 (OBS) – [página 19]</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prevê o empate ficto de 5% (12.5), a regularização fiscal tardia (C.6) e a declaração de enquadramento (10.9), com observação genérica sobre o art. 4º, § 1º. Contudo, o TR (10.2) adota critério de R$ 80.000,00 por item (derivado da exclusividade do art. 48, I, da LC 123) para afastar o "percentual destinado" a ME/EPP, quando todos os itens superam esse valor, sem justificativa baseada no art. 4º, § 1º, I (item acima da receita bruta de EPP) nem no art. 49 da LC 123. Não se esclarece a cota reservada. Como o julgamento é por grupo único de 20 itens (R$ 35,4 milhões), o edital não diz se o benefício é aferido por item ou por grupo. A divisão de quantidades 80/20 das linhas "-2" e "-3" não é explicada como cota.</w:t>
      </w:r>
    </w:p>
    <w:p>
      <w:pPr>
        <w:spacing w:before="0" w:after="120" w:line="360" w:lineRule="auto"/>
        <w:ind w:firstLine="709"/>
        <w:jc w:val="both"/>
      </w:pPr>
      <w:r>
        <w:rPr>
          <w:b w:val="0"/>
          <w:i w:val="0"/>
        </w:rPr>
        <w:t>O documento dispõe: “Os itens cotados acima de R$ 80.000,00 (oitenta mil), não terão percentual destinado” (TR 10.2 – [página 87]; Edital, item 12.8 (OBS) – [página 19]).</w:t>
      </w:r>
    </w:p>
    <w:p>
      <w:pPr>
        <w:spacing w:before="0" w:after="80" w:line="360" w:lineRule="auto"/>
        <w:ind w:firstLine="709"/>
        <w:jc w:val="both"/>
      </w:pPr>
      <w:r>
        <w:rPr>
          <w:b/>
          <w:i w:val="0"/>
          <w:color w:val="12324A"/>
        </w:rPr>
        <w:t xml:space="preserve">Dispositivo aplicável. </w:t>
      </w:r>
      <w:r>
        <w:rPr>
          <w:b w:val="0"/>
          <w:i w:val="0"/>
        </w:rPr>
        <w:t>A matéria é disciplinada pelo art. 4 e pelo art. 4, § 1º, da Lei 14.133/2021, que assim dispõem:</w:t>
      </w:r>
    </w:p>
    <w:p>
      <w:pPr>
        <w:spacing w:before="80" w:after="200" w:line="240" w:lineRule="auto"/>
        <w:ind w:firstLine="0" w:left="2268"/>
        <w:jc w:val="both"/>
      </w:pPr>
      <w:r>
        <w:rPr>
          <w:b w:val="0"/>
          <w:i w:val="0"/>
          <w:sz w:val="20"/>
        </w:rPr>
        <w:t>Aplicam-se às licitações e contratos disciplinados por esta Lei as disposições constantes dos arts. 42 a 49 da Lei Complementar nº 123, de 14 de dezembro de 2006.</w:t>
      </w:r>
      <w:r>
        <w:rPr>
          <w:b w:val="0"/>
          <w:i w:val="0"/>
          <w:sz w:val="20"/>
        </w:rPr>
        <w:t xml:space="preserve"> (BRASIL, 2021, art. 4)</w:t>
      </w:r>
    </w:p>
    <w:p>
      <w:pPr>
        <w:spacing w:before="80" w:after="200" w:line="240" w:lineRule="auto"/>
        <w:ind w:firstLine="0" w:left="2268"/>
        <w:jc w:val="both"/>
      </w:pPr>
      <w:r>
        <w:rPr>
          <w:b w:val="0"/>
          <w:i w:val="0"/>
          <w:sz w:val="20"/>
        </w:rPr>
        <w:t>As disposições a que se refere o caput deste artigo não são aplicadas: […]</w:t>
      </w:r>
      <w:r>
        <w:rPr>
          <w:b w:val="0"/>
          <w:i w:val="0"/>
          <w:sz w:val="20"/>
        </w:rPr>
        <w:t xml:space="preserve"> (BRASIL, 2021, art. 4, § 1º)</w:t>
      </w:r>
    </w:p>
    <w:p>
      <w:pPr>
        <w:spacing w:before="0" w:after="120" w:line="360" w:lineRule="auto"/>
        <w:ind w:firstLine="709"/>
        <w:jc w:val="both"/>
      </w:pPr>
      <w:r>
        <w:rPr>
          <w:b/>
          <w:i w:val="0"/>
          <w:color w:val="12324A"/>
        </w:rPr>
        <w:t xml:space="preserve">Análise. </w:t>
      </w:r>
      <w:r>
        <w:rPr>
          <w:b w:val="0"/>
          <w:i w:val="0"/>
        </w:rPr>
        <w:t>O art. 4º aplica os arts. 42 a 49 da LC 123, e o afastamento só ocorre nas hipóteses do § 1º ou do art. 49. A omissão da cota reservada com base em limite que não é o legal torna a regra confusa e sujeita a questionamento.</w:t>
      </w:r>
    </w:p>
    <w:p>
      <w:pPr>
        <w:spacing w:before="0" w:after="120" w:line="360" w:lineRule="auto"/>
        <w:ind w:firstLine="709"/>
        <w:jc w:val="both"/>
      </w:pPr>
      <w:r>
        <w:rPr>
          <w:b/>
          <w:i w:val="0"/>
          <w:color w:val="C9781E"/>
        </w:rPr>
        <w:t xml:space="preserve">Risco de manutenção. </w:t>
      </w:r>
      <w:r>
        <w:rPr>
          <w:b w:val="0"/>
          <w:i w:val="0"/>
        </w:rPr>
        <w:t>Impugnação por ME/EPP e nulidade da etapa de julgamento.</w:t>
      </w:r>
    </w:p>
    <w:p>
      <w:pPr>
        <w:spacing w:before="0" w:after="120" w:line="360" w:lineRule="auto"/>
        <w:ind w:firstLine="709"/>
        <w:jc w:val="both"/>
      </w:pPr>
      <w:r>
        <w:rPr>
          <w:b/>
          <w:i w:val="0"/>
          <w:color w:val="12324A"/>
        </w:rPr>
        <w:t xml:space="preserve">Providência recomendada. </w:t>
      </w:r>
      <w:r>
        <w:rPr>
          <w:b w:val="0"/>
          <w:i w:val="0"/>
        </w:rPr>
        <w:t>Definir o critério (por item ou por grupo) e explicitar se há cota reservada de até 25% ou afastamento justificado, citando o art. 4º, § 1º, e a LC 123. Corrigir a referência a R$ 80.000,00.</w:t>
      </w:r>
    </w:p>
    <w:p>
      <w:pPr>
        <w:spacing w:before="0" w:after="80" w:line="360" w:lineRule="auto"/>
        <w:ind w:firstLine="709"/>
        <w:jc w:val="both"/>
      </w:pPr>
      <w:r>
        <w:rPr>
          <w:b/>
          <w:i w:val="0"/>
          <w:color w:val="12324A"/>
        </w:rPr>
        <w:t xml:space="preserve">Precedentes. </w:t>
      </w:r>
      <w:r>
        <w:rPr>
          <w:b w:val="0"/>
          <w:i w:val="0"/>
        </w:rPr>
        <w:t>Na Biblioteca Licitacon foram localizados os seguintes entendimentos:</w:t>
      </w:r>
    </w:p>
    <w:p>
      <w:pPr>
        <w:spacing w:before="80" w:after="200" w:line="240" w:lineRule="auto"/>
        <w:ind w:firstLine="0" w:left="2268"/>
        <w:jc w:val="both"/>
      </w:pPr>
      <w:r>
        <w:rPr>
          <w:b w:val="0"/>
          <w:i w:val="0"/>
          <w:sz w:val="20"/>
        </w:rPr>
        <w:t>A diretriz de fomento à participação de micro e pequenas empresas deve ser interpretada em consonância com os limites legais estabelecidos na Lei nº 14.133/2021 e na Lei Complementar nº 123/2006. Elevado valor estimado da contratação, quando significativamente superior ao limite de receita bruta exigido para o enquadramento societário como empresa de pequeno porte, afasta a obrigatoriedade de concessão de tratamento favorecido, nos termos do art. 4º, §1º, I, da Lei nº 14.133/2021.</w:t>
      </w:r>
      <w:r>
        <w:rPr>
          <w:b w:val="0"/>
          <w:i w:val="0"/>
          <w:sz w:val="20"/>
        </w:rPr>
        <w:t xml:space="preserve"> (TCE-RJ, Acórdão 19519/2026 – Processo 100.467-3/2026)</w:t>
      </w:r>
      <w:r>
        <w:rPr>
          <w:b w:val="0"/>
          <w:i w:val="0"/>
          <w:sz w:val="20"/>
        </w:rPr>
        <w:t xml:space="preserve"> </w:t>
      </w:r>
      <w:hyperlink r:id="rId15">
        <w:r>
          <w:rPr>
            <w:color w:val="1F7A8C"/>
            <w:u w:val="single"/>
            <w:sz w:val="18"/>
          </w:rPr>
          <w:t xml:space="preserve">[fonte oficial]</w:t>
        </w:r>
      </w:hyperlink>
    </w:p>
    <w:p>
      <w:pPr>
        <w:pStyle w:val="Heading2"/>
        <w:keepNext/>
        <w:spacing w:before="240" w:after="160" w:line="360" w:lineRule="auto"/>
        <w:ind w:firstLine="0"/>
        <w:jc w:val="left"/>
      </w:pPr>
      <w:r>
        <w:rPr>
          <w:rFonts w:ascii="Arial" w:hAnsi="Arial"/>
          <w:b/>
          <w:i w:val="0"/>
          <w:color w:val="12324A"/>
          <w:sz w:val="24"/>
        </w:rPr>
        <w:t>3.10 Minuta de contrato como anexo e cláusulas necessárias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Minuta de contrato – [páginas 125-143]; Cláusula Quinta – [página 128]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 minuta de contrato é Anexo XIV e traz cláusulas de objeto, valor, pagamento, reajuste, prazo, obrigações, sanções, recursos, extinção e subcontratação. É, porém, um modelo genérico ("serviços ou fornecimento contínuo") com campos em branco (valor, prazo, meses do reajuste, índice), instruções entre colchetes que não foram removidas e cláusulas condicionais de dedicação exclusiva não aplicáveis. Há remissões erradas (a multa por extinção remete à "Cláusula Terceira e Cláusula Décima Sexta, alínea c", quando as sanções estão na Décima Quinta), numeração que pula de XVII para XXII e referências a garantia, que o edital dispensa. Contraria o edital a vigência contada "da data de assinatura" (Cláusula Nona), pois o edital fixa a ordem de início. Não há matriz de alocação de riscos nem regras sobre o objeto (seguro, multas de trânsito, reserva de veículo), que ficam só no TR.</w:t>
      </w:r>
    </w:p>
    <w:p>
      <w:pPr>
        <w:spacing w:before="0" w:after="120" w:line="360" w:lineRule="auto"/>
        <w:ind w:firstLine="709"/>
        <w:jc w:val="both"/>
      </w:pPr>
      <w:r>
        <w:rPr>
          <w:b w:val="0"/>
          <w:i w:val="0"/>
        </w:rPr>
        <w:t>O documento dispõe: “[Sendo o serviço por escopo, incluir a seguinte previsão:]” (Minuta de contrato – [páginas 125-143]; Cláusula Quinta – [página 128]).</w:t>
      </w:r>
    </w:p>
    <w:p>
      <w:pPr>
        <w:spacing w:before="0" w:after="80" w:line="360" w:lineRule="auto"/>
        <w:ind w:firstLine="709"/>
        <w:jc w:val="both"/>
      </w:pPr>
      <w:r>
        <w:rPr>
          <w:b/>
          <w:i w:val="0"/>
          <w:color w:val="12324A"/>
        </w:rPr>
        <w:t xml:space="preserve">Dispositivo aplicável. </w:t>
      </w:r>
      <w:r>
        <w:rPr>
          <w:b w:val="0"/>
          <w:i w:val="0"/>
        </w:rPr>
        <w:t>A matéria é disciplinada pelo art. 18, inciso VI e pelo art. 92, da Lei 14.133/2021, que assim dispõem:</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elaboração de minuta de contrato, quando necessária, que constará obrigatoriamente como anexo do edital de licitação;</w:t>
      </w:r>
      <w:r>
        <w:rPr>
          <w:b w:val="0"/>
          <w:i w:val="0"/>
          <w:sz w:val="20"/>
        </w:rPr>
        <w:t xml:space="preserve"> (BRASIL, 2021, art. 18, inciso VI)</w:t>
      </w:r>
    </w:p>
    <w:p>
      <w:pPr>
        <w:spacing w:before="80" w:after="200" w:line="240" w:lineRule="auto"/>
        <w:ind w:firstLine="0" w:left="2268"/>
        <w:jc w:val="both"/>
      </w:pPr>
      <w:r>
        <w:rPr>
          <w:b w:val="0"/>
          <w:i w:val="0"/>
          <w:sz w:val="20"/>
        </w:rPr>
        <w:t>São necessárias em todo contrato cláusulas que estabeleçam: […]</w:t>
      </w:r>
      <w:r>
        <w:rPr>
          <w:b w:val="0"/>
          <w:i w:val="0"/>
          <w:sz w:val="20"/>
        </w:rPr>
        <w:t xml:space="preserve"> (BRASIL, 2021, art. 92)</w:t>
      </w:r>
    </w:p>
    <w:p>
      <w:pPr>
        <w:spacing w:before="0" w:after="120" w:line="360" w:lineRule="auto"/>
        <w:ind w:firstLine="709"/>
        <w:jc w:val="both"/>
      </w:pPr>
      <w:r>
        <w:rPr>
          <w:b/>
          <w:i w:val="0"/>
          <w:color w:val="12324A"/>
        </w:rPr>
        <w:t xml:space="preserve">Análise. </w:t>
      </w:r>
      <w:r>
        <w:rPr>
          <w:b w:val="0"/>
          <w:i w:val="0"/>
        </w:rPr>
        <w:t>O art. 92 exige cláusulas necessárias em todo contrato, e o art. 18, VI, determina que a minuta seja anexo do edital. Modelo com lacunas e contradições fragiliza a execução, a aplicação de sanções e o reajuste.</w:t>
      </w:r>
    </w:p>
    <w:p>
      <w:pPr>
        <w:spacing w:before="0" w:after="120" w:line="360" w:lineRule="auto"/>
        <w:ind w:firstLine="709"/>
        <w:jc w:val="both"/>
      </w:pPr>
      <w:r>
        <w:rPr>
          <w:b/>
          <w:i w:val="0"/>
          <w:color w:val="C9781E"/>
        </w:rPr>
        <w:t xml:space="preserve">Risco de manutenção. </w:t>
      </w:r>
      <w:r>
        <w:rPr>
          <w:b w:val="0"/>
          <w:i w:val="0"/>
        </w:rPr>
        <w:t>Lacunas e ambiguidades na execução, com disputas sobre prazo, reajuste e sanções.</w:t>
      </w:r>
    </w:p>
    <w:p>
      <w:pPr>
        <w:spacing w:before="0" w:after="120" w:line="360" w:lineRule="auto"/>
        <w:ind w:firstLine="709"/>
        <w:jc w:val="both"/>
      </w:pPr>
      <w:r>
        <w:rPr>
          <w:b/>
          <w:i w:val="0"/>
          <w:color w:val="12324A"/>
        </w:rPr>
        <w:t xml:space="preserve">Providência recomendada. </w:t>
      </w:r>
      <w:r>
        <w:rPr>
          <w:b w:val="0"/>
          <w:i w:val="0"/>
        </w:rPr>
        <w:t>Adaptar a minuta ao objeto: fixar vigência, valor por item, índice e data-base, suprimir cláusulas e instruções não aplicáveis, corrigir remissões e numeração, remover a garantia e incluir a alocação de riscos e as obrigações específicas de locação.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3.11 Registro de preços: quantidades e vigência da ata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Parcialmente conforme   ·   Edital e minutas (ata e contrato), Item 4.1.1 – [página 4]; Anexo (A) Memória de cálculo – [páginas 99-103]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As quantidades correspondem a 12 meses (memória de cálculo, "Prazo: 12 meses"), compatíveis com a vigência da ata. O item 4.1.1 do edital, porém, dispõe que "a quantidade máxima de cada item que poderá ser adquirida é de 80%", confundindo a quantidade máxima registrada (art. 82, I) com o limite por uso da ata (que o TR 5.13 indica como "80% por item em um único uso"). Na memória de cálculo, os micro-ônibus (19.200 horas) não indicam o número de veículos que justifica o quantitativo, apenas a referência a "300 funcionários", e a divisão de cada item em linhas de 80% e 20% não é explicada. O TR (5.13) prevê renovação do quantitativo na prorrogação da ata, sem que a memória trate dessa hipótese.</w:t>
      </w:r>
    </w:p>
    <w:p>
      <w:pPr>
        <w:spacing w:before="0" w:after="120" w:line="360" w:lineRule="auto"/>
        <w:ind w:firstLine="709"/>
        <w:jc w:val="both"/>
      </w:pPr>
      <w:r>
        <w:rPr>
          <w:b w:val="0"/>
          <w:i w:val="0"/>
        </w:rPr>
        <w:t>O documento dispõe: “A quantidade máxima de cada item que poderá ser adquirida é de 80%” (Item 4.1.1 – [página 4]; Anexo (A) Memória de cálculo – [páginas 99-103]).</w:t>
      </w:r>
    </w:p>
    <w:p>
      <w:pPr>
        <w:spacing w:before="0" w:after="80" w:line="360" w:lineRule="auto"/>
        <w:ind w:firstLine="709"/>
        <w:jc w:val="both"/>
      </w:pPr>
      <w:r>
        <w:rPr>
          <w:b/>
          <w:i w:val="0"/>
          <w:color w:val="12324A"/>
        </w:rPr>
        <w:t xml:space="preserve">Dispositivo aplicável. </w:t>
      </w:r>
      <w:r>
        <w:rPr>
          <w:b w:val="0"/>
          <w:i w:val="0"/>
        </w:rPr>
        <w:t>A matéria é disciplinada pelo art. 82, inciso I, pelo art. 84 e pelo art. 18, § 1º, inciso IV, da Lei 14.133/2021, que assim dispõem:</w:t>
      </w:r>
    </w:p>
    <w:p>
      <w:pPr>
        <w:spacing w:before="80" w:after="200" w:line="240" w:lineRule="auto"/>
        <w:ind w:firstLine="0" w:left="2268"/>
        <w:jc w:val="both"/>
      </w:pPr>
      <w:r>
        <w:rPr>
          <w:b w:val="0"/>
          <w:i w:val="0"/>
          <w:sz w:val="20"/>
        </w:rPr>
        <w:t>O edital de licitação para registro de preços observará as regras gerais desta Lei e deverá dispor sobre: […] as especificidades da licitação e de seu objeto, inclusive a quantidade máxima de cada item que poderá ser adquirida;</w:t>
      </w:r>
      <w:r>
        <w:rPr>
          <w:b w:val="0"/>
          <w:i w:val="0"/>
          <w:sz w:val="20"/>
        </w:rPr>
        <w:t xml:space="preserve"> (BRASIL, 2021, art. 82, inciso I)</w:t>
      </w:r>
    </w:p>
    <w:p>
      <w:pPr>
        <w:spacing w:before="80" w:after="200" w:line="240" w:lineRule="auto"/>
        <w:ind w:firstLine="0" w:left="2268"/>
        <w:jc w:val="both"/>
      </w:pPr>
      <w:r>
        <w:rPr>
          <w:b w:val="0"/>
          <w:i w:val="0"/>
          <w:sz w:val="20"/>
        </w:rPr>
        <w:t>O prazo de vigência da ata de registro de preços será de 1 (um) ano e poderá ser prorrogado, por igual período, desde que comprovado o preço vantajoso.</w:t>
      </w:r>
      <w:r>
        <w:rPr>
          <w:b w:val="0"/>
          <w:i w:val="0"/>
          <w:sz w:val="20"/>
        </w:rPr>
        <w:t xml:space="preserve"> (BRASIL, 2021, art. 84)</w:t>
      </w:r>
    </w:p>
    <w:p>
      <w:pPr>
        <w:spacing w:before="80" w:after="200" w:line="240" w:lineRule="auto"/>
        <w:ind w:firstLine="0" w:left="2268"/>
        <w:jc w:val="both"/>
      </w:pPr>
      <w:r>
        <w:rPr>
          <w:b w:val="0"/>
          <w:i w:val="0"/>
          <w:sz w:val="20"/>
        </w:rPr>
        <w:t>O estudo técnico preliminar a que se refere o inciso I do caput deste artigo deverá evidenciar o problema a ser resolvido e a sua melhor solução, de modo a permitir a avaliação da viabilidade técnica e econômica da contratação, e conterá os seguintes elementos: […] estimativas das quantidades para a contratação, acompanhadas das memórias de cálculo e dos documentos que lhes dão suporte, que considerem interdependências com outras contratações, de modo a possibilitar economia de escala;</w:t>
      </w:r>
      <w:r>
        <w:rPr>
          <w:b w:val="0"/>
          <w:i w:val="0"/>
          <w:sz w:val="20"/>
        </w:rPr>
        <w:t xml:space="preserve"> (BRASIL, 2021, art. 18, § 1º, inciso IV)</w:t>
      </w:r>
    </w:p>
    <w:p>
      <w:pPr>
        <w:spacing w:before="0" w:after="120" w:line="360" w:lineRule="auto"/>
        <w:ind w:firstLine="709"/>
        <w:jc w:val="both"/>
      </w:pPr>
      <w:r>
        <w:rPr>
          <w:b/>
          <w:i w:val="0"/>
          <w:color w:val="12324A"/>
        </w:rPr>
        <w:t xml:space="preserve">Análise. </w:t>
      </w:r>
      <w:r>
        <w:rPr>
          <w:b w:val="0"/>
          <w:i w:val="0"/>
        </w:rPr>
        <w:t>O art. 82, I, exige a quantidade máxima de cada item, e o art. 18, § 1º, IV, exige estimativas de quantidades com memórias de cálculo que as sustentem. Memória incompleta pode superestimar a ata e o limite das adesões, que se calcula sobre ela.</w:t>
      </w:r>
    </w:p>
    <w:p>
      <w:pPr>
        <w:spacing w:before="0" w:after="120" w:line="360" w:lineRule="auto"/>
        <w:ind w:firstLine="709"/>
        <w:jc w:val="both"/>
      </w:pPr>
      <w:r>
        <w:rPr>
          <w:b/>
          <w:i w:val="0"/>
          <w:color w:val="C9781E"/>
        </w:rPr>
        <w:t xml:space="preserve">Risco de manutenção. </w:t>
      </w:r>
      <w:r>
        <w:rPr>
          <w:b w:val="0"/>
          <w:i w:val="0"/>
        </w:rPr>
        <w:t>Quantitativo superdimensionado e dúvida sobre o limite de adesões.</w:t>
      </w:r>
    </w:p>
    <w:p>
      <w:pPr>
        <w:spacing w:before="0" w:after="120" w:line="360" w:lineRule="auto"/>
        <w:ind w:firstLine="709"/>
        <w:jc w:val="both"/>
      </w:pPr>
      <w:r>
        <w:rPr>
          <w:b/>
          <w:i w:val="0"/>
          <w:color w:val="12324A"/>
        </w:rPr>
        <w:t xml:space="preserve">Providência recomendada. </w:t>
      </w:r>
      <w:r>
        <w:rPr>
          <w:b w:val="0"/>
          <w:i w:val="0"/>
        </w:rPr>
        <w:t>Reescrever o 4.1.1 distinguindo a quantidade máxima registrada do limite por contratação. Completar a memória de cálculo (nº de veículos de cada tipo, horas por veículo, explicação das linhas 80/20 e dos micro-ônibus).</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3.12 Coerência interna do edital e dos anexos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Não conforme   ·   Edital e minutas (ata e contrato), TR 9.7 – [página 81]; Edital 20.1 e 24.11; Minuta, Cláusulas Quinta e Nona</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o TR, os anexos e as minutas apresentam contradições:</w:t>
        <w:br/>
        <w:t>(1) o TR 9.7 fala em "caráter sigiloso do valor estimado", mas o valor é divulgado (5.2, Anexo I) e o PNCP indica sem sigilo;</w:t>
        <w:br/>
        <w:t>(2) o Anexo I forma um grupo único de 20 itens e o TR, 10 grupos;</w:t>
        <w:br/>
        <w:t>(3) o edital dispensa garantia (20.1), mas a minuta e o 24.11 tratam de garantia;</w:t>
        <w:br/>
        <w:t>(4) a vigência conta da ordem de início (7.1) ou da assinatura (minuta, Cláusula Nona);</w:t>
        <w:br/>
        <w:t>(5) reajuste por índice no edital e repactuação com data das propostas na minuta;</w:t>
        <w:br/>
        <w:t>(6) "patrimônio líquido" no edital e "capital mínimo" no TR, com declaração contábil só no TR;</w:t>
        <w:br/>
        <w:t>(7) mora paga pela Selic (22.6), mas atualizada pelo INCC-M no TR 8.20, e prazo de pagamento de 30 dias do adimplemento (edital), da liquidação (TR) ou do protocolo (minuta);</w:t>
        <w:br/>
        <w:t>(8) o TR 1.3 e 6.21 tratam o objeto como "bens"/"materiais", o que afeta o prazo do ed-05;</w:t>
        <w:br/>
        <w:t>(9) o Anexo I omite as diferenças "hatch" e "sedan" dos itens 13 a 16 do TR, e o Anexo XII cita "Pregão nº ____/2023";</w:t>
        <w:br/>
        <w:t>(10) o item 26.7 fala em 143 folhas, e o documento tem 144.</w:t>
      </w:r>
    </w:p>
    <w:p>
      <w:pPr>
        <w:spacing w:before="0" w:after="120" w:line="360" w:lineRule="auto"/>
        <w:ind w:firstLine="709"/>
        <w:jc w:val="both"/>
      </w:pPr>
      <w:r>
        <w:rPr>
          <w:b w:val="0"/>
          <w:i w:val="0"/>
        </w:rPr>
        <w:t>O documento dispõe: “ocorreu por ser mais eficaz dado o caráter sigiloso do valor estimado da contratação” (TR 9.7 – [página 81]; Edital 20.1 e 24.11; Minuta, Cláusulas Quinta e Nona).</w:t>
      </w:r>
    </w:p>
    <w:p>
      <w:pPr>
        <w:spacing w:before="0" w:after="80" w:line="360" w:lineRule="auto"/>
        <w:ind w:firstLine="709"/>
        <w:jc w:val="both"/>
      </w:pPr>
      <w:r>
        <w:rPr>
          <w:b/>
          <w:i w:val="0"/>
          <w:color w:val="12324A"/>
        </w:rPr>
        <w:t xml:space="preserve">Dispositivo aplicável. </w:t>
      </w:r>
      <w:r>
        <w:rPr>
          <w:b w:val="0"/>
          <w:i w:val="0"/>
        </w:rPr>
        <w:t>A matéria é disciplinada pelo art. 25 e pelo art. 18, inciso IX, da Lei 14.133/2021, que assim dispõem:</w:t>
      </w:r>
    </w:p>
    <w:p>
      <w:pPr>
        <w:spacing w:before="80" w:after="200" w:line="240" w:lineRule="auto"/>
        <w:ind w:firstLine="0" w:left="2268"/>
        <w:jc w:val="both"/>
      </w:pPr>
      <w:r>
        <w:rPr>
          <w:b w:val="0"/>
          <w:i w:val="0"/>
          <w:sz w:val="20"/>
        </w:rPr>
        <w:t>O edital deverá conter o objeto da licitação e as regras relativas à convocação, ao julgamento, à habilitação, aos recursos e às penalidades da licitação, à fiscalização e à gestão do contrato, à entrega do objeto e às condições de pagamento.</w:t>
      </w:r>
      <w:r>
        <w:rPr>
          <w:b w:val="0"/>
          <w:i w:val="0"/>
          <w:sz w:val="20"/>
        </w:rPr>
        <w:t xml:space="preserve"> (BRASIL, 2021, art. 25)</w:t>
      </w:r>
    </w:p>
    <w:p>
      <w:pPr>
        <w:spacing w:before="80" w:after="200" w:line="240" w:lineRule="auto"/>
        <w:ind w:firstLine="0" w:left="2268"/>
        <w:jc w:val="both"/>
      </w:pPr>
      <w:r>
        <w:rPr>
          <w:b w:val="0"/>
          <w:i w:val="0"/>
          <w:sz w:val="20"/>
        </w:rPr>
        <w:t>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 a motivação circunstanciada das condições do edital, tais como justificativa de exigências de qualificação técnica, mediante indicação das parcelas de maior relevância técnica ou valor significativo do objeto, e de qualificação econômico-financeira, justificativa dos critérios de pontuação e julgamento das propostas técnicas, nas licitações com julgamento por melhor técnica ou técnica e preço, e justificativa das regras pertinentes à participação de empresas em consórcio;</w:t>
      </w:r>
      <w:r>
        <w:rPr>
          <w:b w:val="0"/>
          <w:i w:val="0"/>
          <w:sz w:val="20"/>
        </w:rPr>
        <w:t xml:space="preserve"> (BRASIL, 2021, art. 18, inciso IX)</w:t>
      </w:r>
    </w:p>
    <w:p>
      <w:pPr>
        <w:spacing w:before="0" w:after="120" w:line="360" w:lineRule="auto"/>
        <w:ind w:firstLine="709"/>
        <w:jc w:val="both"/>
      </w:pPr>
      <w:r>
        <w:rPr>
          <w:b/>
          <w:i w:val="0"/>
          <w:color w:val="12324A"/>
        </w:rPr>
        <w:t xml:space="preserve">Análise. </w:t>
      </w:r>
      <w:r>
        <w:rPr>
          <w:b w:val="0"/>
          <w:i w:val="0"/>
        </w:rPr>
        <w:t>O art. 25 exige edital com regras claras de julgamento, contratação e pagamento, e o art. 18, IX, exige motivação circunstanciada das condições do edital. Contradições entre peças que se vinculam geram dúvida sobre como competir e julgar e favorecem impugnações e anulações. O item 26.5 atribui prevalência ao edital, mas não resolve a ambiguidade entre dois grupos de itens.</w:t>
      </w:r>
    </w:p>
    <w:p>
      <w:pPr>
        <w:spacing w:before="0" w:after="120" w:line="360" w:lineRule="auto"/>
        <w:ind w:firstLine="709"/>
        <w:jc w:val="both"/>
      </w:pPr>
      <w:r>
        <w:rPr>
          <w:b/>
          <w:i w:val="0"/>
          <w:color w:val="C9781E"/>
        </w:rPr>
        <w:t xml:space="preserve">Risco de manutenção. </w:t>
      </w:r>
      <w:r>
        <w:rPr>
          <w:b w:val="0"/>
          <w:i w:val="0"/>
        </w:rPr>
        <w:t>Impugnações, interpretações divergentes na execução e invalidação de atos.</w:t>
      </w:r>
    </w:p>
    <w:p>
      <w:pPr>
        <w:spacing w:before="0" w:after="120" w:line="360" w:lineRule="auto"/>
        <w:ind w:firstLine="709"/>
        <w:jc w:val="both"/>
      </w:pPr>
      <w:r>
        <w:rPr>
          <w:b/>
          <w:i w:val="0"/>
          <w:color w:val="12324A"/>
        </w:rPr>
        <w:t xml:space="preserve">Providência recomendada. </w:t>
      </w:r>
      <w:r>
        <w:rPr>
          <w:b w:val="0"/>
          <w:i w:val="0"/>
        </w:rPr>
        <w:t>Elaborar quadro único de datas, critério de julgamento, grupos, índice, vigência, prazo de pagamento e garantia e corrigir todas as peças. Para os atos já praticados, esclarecer as divergências no gerenciamento da ata.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3.13 Vedação ampla a licitantes com servidores e ex-ocupantes de cargos do Município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Item 8.11 – [página 9]</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8.11 veda a participação de licitantes cujos dirigentes, gerentes, sócios ou "componentes do quadro técnico" sejam servidores da Administração Direta ou Indireta do Município, ou o tenham sido nos últimos 180 dias, e de licitantes com profissionais que tenham ocupado cargo dos 1º e 2º escalões nos últimos 12 meses.</w:t>
      </w:r>
    </w:p>
    <w:p>
      <w:pPr>
        <w:spacing w:before="0" w:after="120" w:line="360" w:lineRule="auto"/>
        <w:ind w:firstLine="709"/>
        <w:jc w:val="both"/>
      </w:pPr>
      <w:r>
        <w:rPr>
          <w:b w:val="0"/>
          <w:i w:val="0"/>
        </w:rPr>
        <w:t>O documento dispõe: “Será vedada também a participação de licitantes que possuam em seus quadros” (Item 8.11 – [página 9]).</w:t>
      </w:r>
    </w:p>
    <w:p>
      <w:pPr>
        <w:spacing w:before="0" w:after="80" w:line="360" w:lineRule="auto"/>
        <w:ind w:firstLine="709"/>
        <w:jc w:val="both"/>
      </w:pPr>
      <w:r>
        <w:rPr>
          <w:b/>
          <w:i w:val="0"/>
          <w:color w:val="12324A"/>
        </w:rPr>
        <w:t xml:space="preserve">Dispositivo aplicável. </w:t>
      </w:r>
      <w:r>
        <w:rPr>
          <w:b w:val="0"/>
          <w:i w:val="0"/>
        </w:rPr>
        <w:t>A matéria é disciplinada pelo art. 9, § 1º e pelo art. 14, inciso IV, da Lei 14.133/2021, que assim dispõem:</w:t>
      </w:r>
    </w:p>
    <w:p>
      <w:pPr>
        <w:spacing w:before="80" w:after="200" w:line="240" w:lineRule="auto"/>
        <w:ind w:firstLine="0" w:left="2268"/>
        <w:jc w:val="both"/>
      </w:pPr>
      <w:r>
        <w:rPr>
          <w:b w:val="0"/>
          <w:i w:val="0"/>
          <w:sz w:val="20"/>
        </w:rPr>
        <w:t>Não poderá participar, direta ou indiretamente, da licitação ou da execução do contrato agente público de órgão ou entidade licitante ou contratante, devendo ser observadas as situações que possam configurar conflito de interesses no exercício ou após o exercício do cargo ou emprego, nos termos da legislação que disciplina a matéria.</w:t>
      </w:r>
      <w:r>
        <w:rPr>
          <w:b w:val="0"/>
          <w:i w:val="0"/>
          <w:sz w:val="20"/>
        </w:rPr>
        <w:t xml:space="preserve"> (BRASIL, 2021, art. 9, § 1º)</w:t>
      </w:r>
    </w:p>
    <w:p>
      <w:pPr>
        <w:spacing w:before="80" w:after="200" w:line="240" w:lineRule="auto"/>
        <w:ind w:firstLine="0" w:left="2268"/>
        <w:jc w:val="both"/>
      </w:pPr>
      <w:r>
        <w:rPr>
          <w:b w:val="0"/>
          <w:i w:val="0"/>
          <w:sz w:val="20"/>
        </w:rPr>
        <w:t>Não poderão disputar licitação ou participar da execução de contrato, direta ou indiretamente: […] aquele que mantenha vínculo de natureza técnica, comercial, econômica, financeira, 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 devendo essa proibição constar expressamente do edital de licitação;</w:t>
      </w:r>
      <w:r>
        <w:rPr>
          <w:b w:val="0"/>
          <w:i w:val="0"/>
          <w:sz w:val="20"/>
        </w:rPr>
        <w:t xml:space="preserve"> (BRASIL, 2021, art. 14, inciso IV)</w:t>
      </w:r>
    </w:p>
    <w:p>
      <w:pPr>
        <w:spacing w:before="0" w:after="120" w:line="360" w:lineRule="auto"/>
        <w:ind w:firstLine="709"/>
        <w:jc w:val="both"/>
      </w:pPr>
      <w:r>
        <w:rPr>
          <w:b/>
          <w:i w:val="0"/>
          <w:color w:val="12324A"/>
        </w:rPr>
        <w:t xml:space="preserve">Análise. </w:t>
      </w:r>
      <w:r>
        <w:rPr>
          <w:b w:val="0"/>
          <w:i w:val="0"/>
        </w:rPr>
        <w:t>A lei veda a participação do agente público do órgão ou entidade licitante ou contratante e das situações de conflito de interesses. A extensão a qualquer servidor municipal, a quarentenas de 180 dias e 12 meses e a "componentes do quadro técnico" cria restrição sem base direta na lei e pode afastar licitantes sem conflito real.</w:t>
      </w:r>
    </w:p>
    <w:p>
      <w:pPr>
        <w:spacing w:before="0" w:after="120" w:line="360" w:lineRule="auto"/>
        <w:ind w:firstLine="709"/>
        <w:jc w:val="both"/>
      </w:pPr>
      <w:r>
        <w:rPr>
          <w:b/>
          <w:i w:val="0"/>
          <w:color w:val="C9781E"/>
        </w:rPr>
        <w:t xml:space="preserve">Risco de manutenção. </w:t>
      </w:r>
      <w:r>
        <w:rPr>
          <w:b w:val="0"/>
          <w:i w:val="0"/>
        </w:rPr>
        <w:t>Restrição indevida da competição e impugnação.</w:t>
      </w:r>
    </w:p>
    <w:p>
      <w:pPr>
        <w:spacing w:before="0" w:after="120" w:line="360" w:lineRule="auto"/>
        <w:ind w:firstLine="709"/>
        <w:jc w:val="both"/>
      </w:pPr>
      <w:r>
        <w:rPr>
          <w:b/>
          <w:i w:val="0"/>
          <w:color w:val="12324A"/>
        </w:rPr>
        <w:t xml:space="preserve">Providência recomendada. </w:t>
      </w:r>
      <w:r>
        <w:rPr>
          <w:b w:val="0"/>
          <w:i w:val="0"/>
        </w:rPr>
        <w:t>Restringir a vedação às hipóteses legais (agentes do órgão licitante ou contratante e conflito de interesses) e, se mantida a quarentena, justificá-la com base normativa.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3.14 Certidão de IPTU e regras específicas para licitantes locais e com filial em Maricá</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Item 13, (C.3.c.1) – [página 28]; (C.4) – [página 28]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exige das licitantes domiciliadas em Maricá certidão de IPTU (ou declaração de não propriedade do imóvel) e, das licitantes de outros municípios que tenham filial ou escritório em Maricá, certidões de ISS, IPTU e dívida ativa da filial. A trilha automática apontou a exigência de sede ou filial; não há exigência de ter sede ou filial local, de modo que esse indício foi descartado. Persiste a inclusão de documentos não previstos no rol da habilitação fiscal.</w:t>
      </w:r>
    </w:p>
    <w:p>
      <w:pPr>
        <w:spacing w:before="0" w:after="120" w:line="360" w:lineRule="auto"/>
        <w:ind w:firstLine="709"/>
        <w:jc w:val="both"/>
      </w:pPr>
      <w:r>
        <w:rPr>
          <w:b w:val="0"/>
          <w:i w:val="0"/>
        </w:rPr>
        <w:t>O documento dispõe: “No caso de licitante domiciliada no Município de Maricá, essa deverá apresentar, além dos” (Item 13, (C.3.c.1) – [página 28]; (C.4) – [página 28]).</w:t>
      </w:r>
    </w:p>
    <w:p>
      <w:pPr>
        <w:spacing w:before="0" w:after="80" w:line="360" w:lineRule="auto"/>
        <w:ind w:firstLine="709"/>
        <w:jc w:val="both"/>
      </w:pPr>
      <w:r>
        <w:rPr>
          <w:b/>
          <w:i w:val="0"/>
          <w:color w:val="12324A"/>
        </w:rPr>
        <w:t xml:space="preserve">Dispositivo aplicável. </w:t>
      </w:r>
      <w:r>
        <w:rPr>
          <w:b w:val="0"/>
          <w:i w:val="0"/>
        </w:rPr>
        <w:t>A matéria é disciplinada pelo art. 68, inciso III, da Lei 14.133/2021, que assim dispõe:</w:t>
      </w:r>
    </w:p>
    <w:p>
      <w:pPr>
        <w:spacing w:before="80" w:after="200" w:line="240" w:lineRule="auto"/>
        <w:ind w:firstLine="0" w:left="2268"/>
        <w:jc w:val="both"/>
      </w:pPr>
      <w:r>
        <w:rPr>
          <w:b w:val="0"/>
          <w:i w:val="0"/>
          <w:sz w:val="20"/>
        </w:rPr>
        <w:t>As habilitações fiscal, social e trabalhista serão aferidas mediante a verificação dos seguintes requisitos: […] a regularidade perante a Fazenda federal, estadual e/ou municipal do domicílio ou sede do licitante, ou outra equivalente, na forma da lei;</w:t>
      </w:r>
      <w:r>
        <w:rPr>
          <w:b w:val="0"/>
          <w:i w:val="0"/>
          <w:sz w:val="20"/>
        </w:rPr>
        <w:t xml:space="preserve"> (BRASIL, 2021, art. 68, inciso III)</w:t>
      </w:r>
    </w:p>
    <w:p>
      <w:pPr>
        <w:spacing w:before="0" w:after="120" w:line="360" w:lineRule="auto"/>
        <w:ind w:firstLine="709"/>
        <w:jc w:val="both"/>
      </w:pPr>
      <w:r>
        <w:rPr>
          <w:b/>
          <w:i w:val="0"/>
          <w:color w:val="12324A"/>
        </w:rPr>
        <w:t xml:space="preserve">Análise. </w:t>
      </w:r>
      <w:r>
        <w:rPr>
          <w:b w:val="0"/>
          <w:i w:val="0"/>
        </w:rPr>
        <w:t>A habilitação fiscal limita-se à regularidade perante as Fazendas do domicílio ou sede, pertinente ao objeto. O IPTU do imóvel da sede não se relaciona à locação de máquinas e veículos, e a exigência trata de modo desigual os licitantes conforme o domicílio.</w:t>
      </w:r>
    </w:p>
    <w:p>
      <w:pPr>
        <w:spacing w:before="0" w:after="120" w:line="360" w:lineRule="auto"/>
        <w:ind w:firstLine="709"/>
        <w:jc w:val="both"/>
      </w:pPr>
      <w:r>
        <w:rPr>
          <w:b/>
          <w:i w:val="0"/>
          <w:color w:val="C9781E"/>
        </w:rPr>
        <w:t xml:space="preserve">Risco de manutenção. </w:t>
      </w:r>
      <w:r>
        <w:rPr>
          <w:b w:val="0"/>
          <w:i w:val="0"/>
        </w:rPr>
        <w:t>Inabilitação por documento não previsto em lei e questionamento de isonomia.</w:t>
      </w:r>
    </w:p>
    <w:p>
      <w:pPr>
        <w:spacing w:before="0" w:after="120" w:line="360" w:lineRule="auto"/>
        <w:ind w:firstLine="709"/>
        <w:jc w:val="both"/>
      </w:pPr>
      <w:r>
        <w:rPr>
          <w:b/>
          <w:i w:val="0"/>
          <w:color w:val="12324A"/>
        </w:rPr>
        <w:t xml:space="preserve">Providência recomendada. </w:t>
      </w:r>
      <w:r>
        <w:rPr>
          <w:b w:val="0"/>
          <w:i w:val="0"/>
        </w:rPr>
        <w:t>Retirar a exigência do IPTU e a de certidões da filial, mantendo a regularidade fiscal no domicílio ou sede, ou justificar o vínculo com o objeto.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3.15 Exigência de CTF do licitante e do "fabricante/indústria" como condição de aceitação, em prazo de 2 horas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Item 12.7.2 – [página 19]; TR 5.3 a 5.6 – [páginas 64-65]</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exige, na proposta, o Certificado de Regularidade no Cadastro Técnico Federal do licitante e do "fabricante/indústria do produto ofertado", no prazo de 2 horas, sob pena de não aceitação (12.7.2, Anexo II, TR 5.3 a 5.6 e 9.19). O TR remete à categoria "descrita em cada item", que não é descrita. A exigência vem de modelo de compra de bens, e o objeto é locação com motorista.</w:t>
      </w:r>
    </w:p>
    <w:p>
      <w:pPr>
        <w:spacing w:before="0" w:after="120" w:line="360" w:lineRule="auto"/>
        <w:ind w:firstLine="709"/>
        <w:jc w:val="both"/>
      </w:pPr>
      <w:r>
        <w:rPr>
          <w:b w:val="0"/>
          <w:i w:val="0"/>
        </w:rPr>
        <w:t>O documento dispõe: “Haverá um prazo de 2 (duas) horas, contado da solicitação do pregoeiro no sistema, para” (Item 12.7.2 – [página 19]; TR 5.3 a 5.6 – [páginas 64-65]).</w:t>
      </w:r>
    </w:p>
    <w:p>
      <w:pPr>
        <w:spacing w:before="0" w:after="80" w:line="360" w:lineRule="auto"/>
        <w:ind w:firstLine="709"/>
        <w:jc w:val="both"/>
      </w:pPr>
      <w:r>
        <w:rPr>
          <w:b/>
          <w:i w:val="0"/>
          <w:color w:val="12324A"/>
        </w:rPr>
        <w:t xml:space="preserve">Dispositivo aplicável. </w:t>
      </w:r>
      <w:r>
        <w:rPr>
          <w:b w:val="0"/>
          <w:i w:val="0"/>
        </w:rPr>
        <w:t>A matéria é disciplinada pelo art. 62, da Lei 14.133/2021, que assim dispõe:</w:t>
      </w:r>
    </w:p>
    <w:p>
      <w:pPr>
        <w:spacing w:before="80" w:after="200" w:line="240" w:lineRule="auto"/>
        <w:ind w:firstLine="0" w:left="2268"/>
        <w:jc w:val="both"/>
      </w:pPr>
      <w:r>
        <w:rPr>
          <w:b w:val="0"/>
          <w:i w:val="0"/>
          <w:sz w:val="20"/>
        </w:rPr>
        <w:t>A habilitação é a fase da licitação em que se verifica o conjunto de informações e documentos necessários e suficientes para demonstrar a capacidade do licitante de realizar o objeto da licitação, dividindo-se em: […]</w:t>
      </w:r>
      <w:r>
        <w:rPr>
          <w:b w:val="0"/>
          <w:i w:val="0"/>
          <w:sz w:val="20"/>
        </w:rPr>
        <w:t xml:space="preserve"> (BRASIL, 2021, art. 62)</w:t>
      </w:r>
    </w:p>
    <w:p>
      <w:pPr>
        <w:spacing w:before="0" w:after="120" w:line="360" w:lineRule="auto"/>
        <w:ind w:firstLine="709"/>
        <w:jc w:val="both"/>
      </w:pPr>
      <w:r>
        <w:rPr>
          <w:b/>
          <w:i w:val="0"/>
          <w:color w:val="12324A"/>
        </w:rPr>
        <w:t xml:space="preserve">Análise. </w:t>
      </w:r>
      <w:r>
        <w:rPr>
          <w:b w:val="0"/>
          <w:i w:val="0"/>
        </w:rPr>
        <w:t>A exigência não está identificada com o objeto nem tem categoria definida, e o prazo de 2 horas para apresentar documento do "fabricante" é inexequível para locadoras. Pode levar à desclassificação por requisito de aplicação duvidosa.</w:t>
      </w:r>
    </w:p>
    <w:p>
      <w:pPr>
        <w:spacing w:before="0" w:after="120" w:line="360" w:lineRule="auto"/>
        <w:ind w:firstLine="709"/>
        <w:jc w:val="both"/>
      </w:pPr>
      <w:r>
        <w:rPr>
          <w:b/>
          <w:i w:val="0"/>
          <w:color w:val="C9781E"/>
        </w:rPr>
        <w:t xml:space="preserve">Risco de manutenção. </w:t>
      </w:r>
      <w:r>
        <w:rPr>
          <w:b w:val="0"/>
          <w:i w:val="0"/>
        </w:rPr>
        <w:t>Desclassificação indevida e restrição da competição.</w:t>
      </w:r>
    </w:p>
    <w:p>
      <w:pPr>
        <w:spacing w:before="0" w:after="120" w:line="360" w:lineRule="auto"/>
        <w:ind w:firstLine="709"/>
        <w:jc w:val="both"/>
      </w:pPr>
      <w:r>
        <w:rPr>
          <w:b/>
          <w:i w:val="0"/>
          <w:color w:val="12324A"/>
        </w:rPr>
        <w:t xml:space="preserve">Providência recomendada. </w:t>
      </w:r>
      <w:r>
        <w:rPr>
          <w:b w:val="0"/>
          <w:i w:val="0"/>
        </w:rPr>
        <w:t>Verificar se alguma categoria do Anexo I da IN IBAMA nº 13/2021 se aplica à atividade de locação. Se não se aplicar, excluir a exigência. Se aplicar, indicar a categoria e exigir só o registro do licitante, com prazo razoável.</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3.16 Multas de trânsito atribuídas à Contratante "através de seus condutores" quando os motoristas são da Contratada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C9781E" w:space="0"/>
              <w:bottom w:val="nil"/>
              <w:right w:val="nil"/>
            </w:tcBorders>
            <w:shd w:val="clear" w:color="auto" w:fill="FBEEDD"/>
            <w:tcMar>
              <w:top w:w="85" w:type="dxa"/>
              <w:left w:w="85" w:type="dxa"/>
              <w:bottom w:w="85" w:type="dxa"/>
              <w:right w:w="85" w:type="dxa"/>
            </w:tcMar>
          </w:tcPr>
          <w:p>
            <w:pPr>
              <w:spacing w:before="0" w:after="0" w:line="240" w:lineRule="auto"/>
              <w:ind w:firstLine="0"/>
              <w:jc w:val="left"/>
            </w:pPr>
            <w:r>
              <w:rPr>
                <w:b/>
                <w:i w:val="0"/>
                <w:color w:val="C9781E"/>
                <w:sz w:val="16"/>
              </w:rPr>
              <w:t>GRAVIDADE MÉDIA</w:t>
            </w:r>
            <w:r>
              <w:rPr>
                <w:b w:val="0"/>
                <w:i w:val="0"/>
                <w:color w:val="1E2A32"/>
                <w:sz w:val="16"/>
              </w:rPr>
              <w:t xml:space="preserve">   ·   Apontamento adicional   ·   Edital e minutas (ata e contrato), TR, "Multas e infrações" – [página 68]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dispõe que é responsabilidade da Contratante, através de seus condutores, pagar multas e infrações de trânsito, e prevê procedimento de identificação do infrator. Contudo, os veículos são fornecidos com motorista da Contratada (TR 6.1 e 12.3), de modo que os condutores não são da Administração. A previsão vem de modelo de locação sem motorista e pode transferir ao município infrações cometidas por pessoal do contratado.</w:t>
      </w:r>
    </w:p>
    <w:p>
      <w:pPr>
        <w:spacing w:before="0" w:after="120" w:line="360" w:lineRule="auto"/>
        <w:ind w:firstLine="709"/>
        <w:jc w:val="both"/>
      </w:pPr>
      <w:r>
        <w:rPr>
          <w:b w:val="0"/>
          <w:i w:val="0"/>
        </w:rPr>
        <w:t>O documento dispõe: “É de responsabilidade da Contratante, através de seus condutores, o pagamento das multas” (TR, "Multas e infrações" – [página 68]).</w:t>
      </w:r>
    </w:p>
    <w:p>
      <w:pPr>
        <w:spacing w:before="0" w:after="80" w:line="360" w:lineRule="auto"/>
        <w:ind w:firstLine="709"/>
        <w:jc w:val="both"/>
      </w:pPr>
      <w:r>
        <w:rPr>
          <w:b/>
          <w:i w:val="0"/>
          <w:color w:val="12324A"/>
        </w:rPr>
        <w:t xml:space="preserve">Dispositivo aplicável. </w:t>
      </w:r>
      <w:r>
        <w:rPr>
          <w:b w:val="0"/>
          <w:i w:val="0"/>
        </w:rPr>
        <w:t>A matéria é disciplinada pelo art. 120, da Lei 14.133/2021, que assim dispõe:</w:t>
      </w:r>
    </w:p>
    <w:p>
      <w:pPr>
        <w:spacing w:before="80" w:after="200" w:line="240" w:lineRule="auto"/>
        <w:ind w:firstLine="0" w:left="2268"/>
        <w:jc w:val="both"/>
      </w:pPr>
      <w:r>
        <w:rPr>
          <w:b w:val="0"/>
          <w:i w:val="0"/>
          <w:sz w:val="20"/>
        </w:rPr>
        <w:t>O contratado será responsável pelos danos causados diretamente à Administração ou a terceiros em razão da execução do contrato, e não excluirá nem reduzirá essa responsabilidade a fiscalização ou o acompanhamento pelo contratante.</w:t>
      </w:r>
      <w:r>
        <w:rPr>
          <w:b w:val="0"/>
          <w:i w:val="0"/>
          <w:sz w:val="20"/>
        </w:rPr>
        <w:t xml:space="preserve"> (BRASIL, 2021, art. 120)</w:t>
      </w:r>
    </w:p>
    <w:p>
      <w:pPr>
        <w:spacing w:before="0" w:after="120" w:line="360" w:lineRule="auto"/>
        <w:ind w:firstLine="709"/>
        <w:jc w:val="both"/>
      </w:pPr>
      <w:r>
        <w:rPr>
          <w:b/>
          <w:i w:val="0"/>
          <w:color w:val="12324A"/>
        </w:rPr>
        <w:t xml:space="preserve">Análise. </w:t>
      </w:r>
      <w:r>
        <w:rPr>
          <w:b w:val="0"/>
          <w:i w:val="0"/>
        </w:rPr>
        <w:t>O contratado responde pelos danos causados na execução do contrato. A previsão contraria o objeto (veículo com motorista) e gera custo indevido à Administração.</w:t>
      </w:r>
    </w:p>
    <w:p>
      <w:pPr>
        <w:spacing w:before="0" w:after="120" w:line="360" w:lineRule="auto"/>
        <w:ind w:firstLine="709"/>
        <w:jc w:val="both"/>
      </w:pPr>
      <w:r>
        <w:rPr>
          <w:b/>
          <w:i w:val="0"/>
          <w:color w:val="C9781E"/>
        </w:rPr>
        <w:t xml:space="preserve">Risco de manutenção. </w:t>
      </w:r>
      <w:r>
        <w:rPr>
          <w:b w:val="0"/>
          <w:i w:val="0"/>
        </w:rPr>
        <w:t>Pagamento de multas de responsabilidade do contratado e conflitos na execução.</w:t>
      </w:r>
    </w:p>
    <w:p>
      <w:pPr>
        <w:spacing w:before="0" w:after="120" w:line="360" w:lineRule="auto"/>
        <w:ind w:firstLine="709"/>
        <w:jc w:val="both"/>
      </w:pPr>
      <w:r>
        <w:rPr>
          <w:b/>
          <w:i w:val="0"/>
          <w:color w:val="12324A"/>
        </w:rPr>
        <w:t xml:space="preserve">Providência recomendada. </w:t>
      </w:r>
      <w:r>
        <w:rPr>
          <w:b w:val="0"/>
          <w:i w:val="0"/>
        </w:rPr>
        <w:t>Adequar a cláusula ao objeto: infrações cometidas pelos motoristas da Contratada são de sua responsabilidade, ficando com a Contratante apenas as que decorram de determinação específica do órgão.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3.17 Critério de reajuste em serviços contínuos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Minuta de contrato, Cláusula Quinta – [página 128]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adota reajustamento por índice, coerente com um objeto sem dedicação exclusiva de mão de obra. A minuta de contrato, porém, mantém os parágrafos condicionais de repactuação (§§ 4º e 5º da Cláusula Quinta) com as instruções entre colchetes, e prevê repactuação com data vinculada à apresentação das propostas, o que contraria o critério e a data-base do edital.</w:t>
      </w:r>
    </w:p>
    <w:p>
      <w:pPr>
        <w:spacing w:before="0" w:after="120" w:line="360" w:lineRule="auto"/>
        <w:ind w:firstLine="709"/>
        <w:jc w:val="both"/>
      </w:pPr>
      <w:r>
        <w:rPr>
          <w:b w:val="0"/>
          <w:i w:val="0"/>
        </w:rPr>
        <w:t>O documento dispõe: “[No caso de regime de dedicação exclusiva de mão de obra ou predominância de mão de obra,” (Minuta de contrato, Cláusula Quinta – [página 128]).</w:t>
      </w:r>
    </w:p>
    <w:p>
      <w:pPr>
        <w:spacing w:before="0" w:after="80" w:line="360" w:lineRule="auto"/>
        <w:ind w:firstLine="709"/>
        <w:jc w:val="both"/>
      </w:pPr>
      <w:r>
        <w:rPr>
          <w:b/>
          <w:i w:val="0"/>
          <w:color w:val="12324A"/>
        </w:rPr>
        <w:t xml:space="preserve">Dispositivo aplicável. </w:t>
      </w:r>
      <w:r>
        <w:rPr>
          <w:b w:val="0"/>
          <w:i w:val="0"/>
        </w:rPr>
        <w:t>A matéria é disciplinada pelo art. 25, § 8º, inciso I, pelo art. 25, § 8º, inciso II, pelo art. 92, § 4º, inciso II e pelo art. 135, da Lei 14.133/2021, que assim dispõem:</w:t>
      </w:r>
    </w:p>
    <w:p>
      <w:pPr>
        <w:spacing w:before="80" w:after="200" w:line="240" w:lineRule="auto"/>
        <w:ind w:firstLine="0" w:left="2268"/>
        <w:jc w:val="both"/>
      </w:pPr>
      <w:r>
        <w:rPr>
          <w:b w:val="0"/>
          <w:i w:val="0"/>
          <w:sz w:val="20"/>
        </w:rPr>
        <w:t>Nas licitações de serviços contínuos, observado o interregno mínimo de 1 (um) ano, o critério de reajustamento será por: […] reajustamento em sentido estrito, quando não houver regime de dedicação exclusiva de mão de obra ou predominância de mão de obra, mediante previsão de índices específicos ou setoriais;</w:t>
      </w:r>
      <w:r>
        <w:rPr>
          <w:b w:val="0"/>
          <w:i w:val="0"/>
          <w:sz w:val="20"/>
        </w:rPr>
        <w:t xml:space="preserve"> (BRASIL, 2021, art. 25, § 8º, inciso I)</w:t>
      </w:r>
    </w:p>
    <w:p>
      <w:pPr>
        <w:spacing w:before="80" w:after="200" w:line="240" w:lineRule="auto"/>
        <w:ind w:firstLine="0" w:left="2268"/>
        <w:jc w:val="both"/>
      </w:pPr>
      <w:r>
        <w:rPr>
          <w:b w:val="0"/>
          <w:i w:val="0"/>
          <w:sz w:val="20"/>
        </w:rPr>
        <w:t>Nas licitações de serviços contínuos, observado o interregno mínimo de 1 (um) ano, o critério de reajustamento será por: […] repactuação, quando houver regime de dedicação exclusiva de mão de obra ou predominância de mão de obra, mediante demonstração analítica da variação dos custos.</w:t>
      </w:r>
      <w:r>
        <w:rPr>
          <w:b w:val="0"/>
          <w:i w:val="0"/>
          <w:sz w:val="20"/>
        </w:rPr>
        <w:t xml:space="preserve"> (BRASIL, 2021, art. 25, § 8º, inciso II)</w:t>
      </w:r>
    </w:p>
    <w:p>
      <w:pPr>
        <w:spacing w:before="80" w:after="200" w:line="240" w:lineRule="auto"/>
        <w:ind w:firstLine="0" w:left="2268"/>
        <w:jc w:val="both"/>
      </w:pPr>
      <w:r>
        <w:rPr>
          <w:b w:val="0"/>
          <w:i w:val="0"/>
          <w:sz w:val="20"/>
        </w:rPr>
        <w:t>Nos contratos de serviços contínuos, observado o interregno mínimo de 1 (um) ano, o critério de reajustamento de preços será por: […] repactuação, quando houver regime de dedicação exclusiva de mão de obra ou predominância de mão de obra, mediante demonstração analítica da variação dos custos.</w:t>
      </w:r>
      <w:r>
        <w:rPr>
          <w:b w:val="0"/>
          <w:i w:val="0"/>
          <w:sz w:val="20"/>
        </w:rPr>
        <w:t xml:space="preserve"> (BRASIL, 2021, art. 92, § 4º, inciso II)</w:t>
      </w:r>
    </w:p>
    <w:p>
      <w:pPr>
        <w:spacing w:before="80" w:after="200" w:line="240" w:lineRule="auto"/>
        <w:ind w:firstLine="0" w:left="2268"/>
        <w:jc w:val="both"/>
      </w:pPr>
      <w:r>
        <w:rPr>
          <w:b w:val="0"/>
          <w:i w:val="0"/>
          <w:sz w:val="20"/>
        </w:rPr>
        <w:t>Os preços dos contratos para serviços contínuos com regime de dedicação exclusiva de mão de obra ou com predominância de mão de obra serão repactuados para manutenção do equilíbrio econômico-financeiro, mediante demonstração analítica da variação dos custos contratuais, com data vinculada: […]</w:t>
      </w:r>
      <w:r>
        <w:rPr>
          <w:b w:val="0"/>
          <w:i w:val="0"/>
          <w:sz w:val="20"/>
        </w:rPr>
        <w:t xml:space="preserve"> (BRASIL, 2021, art. 135)</w:t>
      </w:r>
    </w:p>
    <w:p>
      <w:pPr>
        <w:spacing w:before="0" w:after="120" w:line="360" w:lineRule="auto"/>
        <w:ind w:firstLine="709"/>
        <w:jc w:val="both"/>
      </w:pPr>
      <w:r>
        <w:rPr>
          <w:b/>
          <w:i w:val="0"/>
          <w:color w:val="12324A"/>
        </w:rPr>
        <w:t xml:space="preserve">Análise. </w:t>
      </w:r>
      <w:r>
        <w:rPr>
          <w:b w:val="0"/>
          <w:i w:val="0"/>
        </w:rPr>
        <w:t>O critério de reajuste (art. 25, § 8º, e art. 92, § 4º) deve ser único e coerente com o regime do objeto. Duas sistemáticas na mesma contratação geram dúvida sobre o direito do contratado e risco de disputa.</w:t>
      </w:r>
    </w:p>
    <w:p>
      <w:pPr>
        <w:spacing w:before="0" w:after="120" w:line="360" w:lineRule="auto"/>
        <w:ind w:firstLine="709"/>
        <w:jc w:val="both"/>
      </w:pPr>
      <w:r>
        <w:rPr>
          <w:b/>
          <w:i w:val="0"/>
          <w:color w:val="3D8FA6"/>
        </w:rPr>
        <w:t xml:space="preserve">Risco de manutenção. </w:t>
      </w:r>
      <w:r>
        <w:rPr>
          <w:b w:val="0"/>
          <w:i w:val="0"/>
        </w:rPr>
        <w:t>Pleito de repactuação em objeto sem dedicação exclusiva, e dúvida sobre a data-base.</w:t>
      </w:r>
    </w:p>
    <w:p>
      <w:pPr>
        <w:spacing w:before="0" w:after="120" w:line="360" w:lineRule="auto"/>
        <w:ind w:firstLine="709"/>
        <w:jc w:val="both"/>
      </w:pPr>
      <w:r>
        <w:rPr>
          <w:b/>
          <w:i w:val="0"/>
          <w:color w:val="12324A"/>
        </w:rPr>
        <w:t xml:space="preserve">Providência recomendada. </w:t>
      </w:r>
      <w:r>
        <w:rPr>
          <w:b w:val="0"/>
          <w:i w:val="0"/>
        </w:rPr>
        <w:t>Excluir da minuta as alternativas não aplicáveis (escopo e dedicação exclusiva) e as instruções entre colchetes, mantendo apenas o reajustamento por índice previsto no edital.</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3.18 Impugnação e esclarecimentos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Item 1.8.1 – [página 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Os prazos de pedido de esclarecimento e impugnação (até 3 dias úteis antes da abertura) e de resposta (3 dias úteis) conferem com o art. 164, mas:</w:t>
        <w:br/>
        <w:t>(a) para a impugnação (1.8.1) falta o limite do último dia útil anterior à abertura;</w:t>
        <w:br/>
        <w:t>(b) não se prevê a divulgação da resposta à impugnação em sítio oficial (só a dos esclarecimentos);</w:t>
        <w:br/>
        <w:t>(c) os pedidos são recebidos apenas em e-mail gmail, e não em canal do sistema ou institucional;</w:t>
        <w:br/>
        <w:t>(d) o efeito suspensivo atribuído à impugnação (1.8.2) vai além do texto legal e deve ser tratado com cuidado.</w:t>
      </w:r>
    </w:p>
    <w:p>
      <w:pPr>
        <w:spacing w:before="0" w:after="120" w:line="360" w:lineRule="auto"/>
        <w:ind w:firstLine="709"/>
        <w:jc w:val="both"/>
      </w:pPr>
      <w:r>
        <w:rPr>
          <w:b w:val="0"/>
          <w:i w:val="0"/>
        </w:rPr>
        <w:t>O documento dispõe: “decidir sobre a impugnação no prazo de 3 (três) dias úteis, contado da data de recebimento da” (Item 1.8.1 – [página 3]).</w:t>
      </w:r>
    </w:p>
    <w:p>
      <w:pPr>
        <w:spacing w:before="0" w:after="80" w:line="360" w:lineRule="auto"/>
        <w:ind w:firstLine="709"/>
        <w:jc w:val="both"/>
      </w:pPr>
      <w:r>
        <w:rPr>
          <w:b/>
          <w:i w:val="0"/>
          <w:color w:val="12324A"/>
        </w:rPr>
        <w:t xml:space="preserve">Dispositivo aplicável. </w:t>
      </w:r>
      <w:r>
        <w:rPr>
          <w:b w:val="0"/>
          <w:i w:val="0"/>
        </w:rPr>
        <w:t>A matéria é disciplinada pelo art. 164 e pelo art. 164, Parágrafo único, da Lei 14.133/2021, que assim dispõem:</w:t>
      </w:r>
    </w:p>
    <w:p>
      <w:pPr>
        <w:spacing w:before="80" w:after="200" w:line="240" w:lineRule="auto"/>
        <w:ind w:firstLine="0" w:left="2268"/>
        <w:jc w:val="both"/>
      </w:pPr>
      <w:r>
        <w:rPr>
          <w:b w:val="0"/>
          <w:i w:val="0"/>
          <w:sz w:val="20"/>
        </w:rPr>
        <w:t>Qualquer pessoa é parte legítima para impugnar edital de licitação por irregularidade na aplicação desta Lei ou para solicitar esclarecimento sobre os seus termos, devendo protocolar o pedido até 3 (três) dias úteis antes da data de abertura do certame.</w:t>
      </w:r>
      <w:r>
        <w:rPr>
          <w:b w:val="0"/>
          <w:i w:val="0"/>
          <w:sz w:val="20"/>
        </w:rPr>
        <w:t xml:space="preserve"> (BRASIL, 2021, art. 164)</w:t>
      </w:r>
    </w:p>
    <w:p>
      <w:pPr>
        <w:spacing w:before="80" w:after="200" w:line="240" w:lineRule="auto"/>
        <w:ind w:firstLine="0" w:left="2268"/>
        <w:jc w:val="both"/>
      </w:pPr>
      <w:r>
        <w:rPr>
          <w:b w:val="0"/>
          <w:i w:val="0"/>
          <w:sz w:val="20"/>
        </w:rPr>
        <w:t>A resposta à impugnação ou ao pedido de esclarecimento será divulgada em sítio eletrônico oficial no prazo de até 3 (três) dias úteis, limitado ao último dia útil anterior à data da abertura do certame.</w:t>
      </w:r>
      <w:r>
        <w:rPr>
          <w:b w:val="0"/>
          <w:i w:val="0"/>
          <w:sz w:val="20"/>
        </w:rPr>
        <w:t xml:space="preserve"> (BRASIL, 2021, art. 164, Parágrafo único)</w:t>
      </w:r>
    </w:p>
    <w:p>
      <w:pPr>
        <w:spacing w:before="0" w:after="120" w:line="360" w:lineRule="auto"/>
        <w:ind w:firstLine="709"/>
        <w:jc w:val="both"/>
      </w:pPr>
      <w:r>
        <w:rPr>
          <w:b/>
          <w:i w:val="0"/>
          <w:color w:val="12324A"/>
        </w:rPr>
        <w:t xml:space="preserve">Análise. </w:t>
      </w:r>
      <w:r>
        <w:rPr>
          <w:b w:val="0"/>
          <w:i w:val="0"/>
        </w:rPr>
        <w:t>O art. 164, parágrafo único, limita a resposta ao último dia útil anterior à abertura e exige divulgação em sítio oficial. A ausência desses elementos pode cercear o direito de impugnar.</w:t>
      </w:r>
    </w:p>
    <w:p>
      <w:pPr>
        <w:spacing w:before="0" w:after="120" w:line="360" w:lineRule="auto"/>
        <w:ind w:firstLine="709"/>
        <w:jc w:val="both"/>
      </w:pPr>
      <w:r>
        <w:rPr>
          <w:b/>
          <w:i w:val="0"/>
          <w:color w:val="3D8FA6"/>
        </w:rPr>
        <w:t xml:space="preserve">Risco de manutenção. </w:t>
      </w:r>
      <w:r>
        <w:rPr>
          <w:b w:val="0"/>
          <w:i w:val="0"/>
        </w:rPr>
        <w:t>Alegação de cerceamento do direito de impugnar.</w:t>
      </w:r>
    </w:p>
    <w:p>
      <w:pPr>
        <w:spacing w:before="0" w:after="120" w:line="360" w:lineRule="auto"/>
        <w:ind w:firstLine="709"/>
        <w:jc w:val="both"/>
      </w:pPr>
      <w:r>
        <w:rPr>
          <w:b/>
          <w:i w:val="0"/>
          <w:color w:val="12324A"/>
        </w:rPr>
        <w:t xml:space="preserve">Providência recomendada. </w:t>
      </w:r>
      <w:r>
        <w:rPr>
          <w:b w:val="0"/>
          <w:i w:val="0"/>
        </w:rPr>
        <w:t>Acrescentar "limitado ao último dia útil anterior à data de abertura do certame" e a divulgação das respostas às impugnações no PNCP/sistema. Incluir canal eletrônico do sistema ou e-mail institucional.</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3.19 Recursos administrativos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Item 14.5 – [página 31]</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prevê a intenção de recorrer, o prazo de 3 dias úteis para razões e contrarrazões e o efeito suspensivo. O item 14.5 dispõe que, na falta de razões escritas, o recurso será analisado pela "síntese das razões apresentadas na sessão pública", regra que mistura a intenção com o recurso e não se coaduna com o rito do art. 165 (razões no prazo de 3 dias úteis após a intimação). O item 14.1 não esclarece em que momento (após o julgamento e a habilitação) o recurso cabe.</w:t>
      </w:r>
    </w:p>
    <w:p>
      <w:pPr>
        <w:spacing w:before="0" w:after="120" w:line="360" w:lineRule="auto"/>
        <w:ind w:firstLine="709"/>
        <w:jc w:val="both"/>
      </w:pPr>
      <w:r>
        <w:rPr>
          <w:b w:val="0"/>
          <w:i w:val="0"/>
        </w:rPr>
        <w:t>O documento dispõe: “A não apresentação das razões escritas mencionadas acima acarretará, como” (Item 14.5 – [página 31]).</w:t>
      </w:r>
    </w:p>
    <w:p>
      <w:pPr>
        <w:spacing w:before="0" w:after="80" w:line="360" w:lineRule="auto"/>
        <w:ind w:firstLine="709"/>
        <w:jc w:val="both"/>
      </w:pPr>
      <w:r>
        <w:rPr>
          <w:b/>
          <w:i w:val="0"/>
          <w:color w:val="12324A"/>
        </w:rPr>
        <w:t xml:space="preserve">Dispositivo aplicável. </w:t>
      </w:r>
      <w:r>
        <w:rPr>
          <w:b w:val="0"/>
          <w:i w:val="0"/>
        </w:rPr>
        <w:t>A matéria é disciplinada pelo art. 165, inciso I e pelo art. 165, § 1º, da Lei 14.133/2021, que assim dispõem:</w:t>
      </w:r>
    </w:p>
    <w:p>
      <w:pPr>
        <w:spacing w:before="80" w:after="200" w:line="240" w:lineRule="auto"/>
        <w:ind w:firstLine="0" w:left="2268"/>
        <w:jc w:val="both"/>
      </w:pPr>
      <w:r>
        <w:rPr>
          <w:b w:val="0"/>
          <w:i w:val="0"/>
          <w:sz w:val="20"/>
        </w:rPr>
        <w:t>Dos atos da Administração decorrentes da aplicação desta Lei cabem: […] recurso, no prazo de 3 (três) dias úteis, contado da data de intimação ou de lavratura da ata, em face de: […]</w:t>
      </w:r>
      <w:r>
        <w:rPr>
          <w:b w:val="0"/>
          <w:i w:val="0"/>
          <w:sz w:val="20"/>
        </w:rPr>
        <w:t xml:space="preserve"> (BRASIL, 2021, art. 165, inciso I)</w:t>
      </w:r>
    </w:p>
    <w:p>
      <w:pPr>
        <w:spacing w:before="80" w:after="200" w:line="240" w:lineRule="auto"/>
        <w:ind w:firstLine="0" w:left="2268"/>
        <w:jc w:val="both"/>
      </w:pPr>
      <w:r>
        <w:rPr>
          <w:b w:val="0"/>
          <w:i w:val="0"/>
          <w:sz w:val="20"/>
        </w:rPr>
        <w:t>Quanto ao recurso apresentado em virtude do disposto nas alíneas “b” e “c” do inciso I do caput deste artigo, serão observadas as seguintes disposições: […]</w:t>
      </w:r>
      <w:r>
        <w:rPr>
          <w:b w:val="0"/>
          <w:i w:val="0"/>
          <w:sz w:val="20"/>
        </w:rPr>
        <w:t xml:space="preserve"> (BRASIL, 2021, art. 165, § 1º)</w:t>
      </w:r>
    </w:p>
    <w:p>
      <w:pPr>
        <w:spacing w:before="0" w:after="120" w:line="360" w:lineRule="auto"/>
        <w:ind w:firstLine="709"/>
        <w:jc w:val="both"/>
      </w:pPr>
      <w:r>
        <w:rPr>
          <w:b/>
          <w:i w:val="0"/>
          <w:color w:val="12324A"/>
        </w:rPr>
        <w:t xml:space="preserve">Análise. </w:t>
      </w:r>
      <w:r>
        <w:rPr>
          <w:b w:val="0"/>
          <w:i w:val="0"/>
        </w:rPr>
        <w:t>O art. 165 estabelece o prazo de 3 dias úteis para a apresentação do recurso, com intenção prévia imediata. A apreciação por "síntese" de razões orais não tem previsão legal e é fonte de nulidade da fase recursal.</w:t>
      </w:r>
    </w:p>
    <w:p>
      <w:pPr>
        <w:spacing w:before="0" w:after="120" w:line="360" w:lineRule="auto"/>
        <w:ind w:firstLine="709"/>
        <w:jc w:val="both"/>
      </w:pPr>
      <w:r>
        <w:rPr>
          <w:b/>
          <w:i w:val="0"/>
          <w:color w:val="3D8FA6"/>
        </w:rPr>
        <w:t xml:space="preserve">Risco de manutenção. </w:t>
      </w:r>
      <w:r>
        <w:rPr>
          <w:b w:val="0"/>
          <w:i w:val="0"/>
        </w:rPr>
        <w:t>Nulidade da fase recursal por rito divergente.</w:t>
      </w:r>
    </w:p>
    <w:p>
      <w:pPr>
        <w:spacing w:before="0" w:after="120" w:line="360" w:lineRule="auto"/>
        <w:ind w:firstLine="709"/>
        <w:jc w:val="both"/>
      </w:pPr>
      <w:r>
        <w:rPr>
          <w:b/>
          <w:i w:val="0"/>
          <w:color w:val="12324A"/>
        </w:rPr>
        <w:t xml:space="preserve">Providência recomendada. </w:t>
      </w:r>
      <w:r>
        <w:rPr>
          <w:b w:val="0"/>
          <w:i w:val="0"/>
        </w:rPr>
        <w:t>Excluir o item 14.5 e dispor que a falta de razões no prazo implica a deserção do recurso.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3.20 Sanções e multas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Item 24.6, II – [página 46]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rol de sanções segue o art. 156 e a multa varia de 0,5% a 20%, dentro de 0,5% a 30%. Há, porém, imprecisões:</w:t>
        <w:br/>
        <w:t>(a) a regra de gradação para ME/EPP (24.6, II) manda aplicar valor inferior a um quarto do máximo (5% de 20%), mas "não inferior ao mínimo da tabela", que chega a 10% em várias infrações, o que é inexequível;</w:t>
        <w:br/>
        <w:t>(b) a multa de mora do item 24.2 (b) ("até 1% por dia útil") não indica teto e se mistura com 24.3 (a), que a limita a 15 dias úteis e rotula "0,5% (um décimo por cento)";</w:t>
        <w:br/>
        <w:t>(c) a "matriz de risco" de percentuais não se concilia com as colunas min./máx. da tabela.</w:t>
      </w:r>
    </w:p>
    <w:p>
      <w:pPr>
        <w:spacing w:before="0" w:after="120" w:line="360" w:lineRule="auto"/>
        <w:ind w:firstLine="709"/>
        <w:jc w:val="both"/>
      </w:pPr>
      <w:r>
        <w:rPr>
          <w:b w:val="0"/>
          <w:i w:val="0"/>
        </w:rPr>
        <w:t>O documento dispõe: “o valor da multa deverá ser inferior a um quarto do valor máximo previsto para a respectiva infração” (Item 24.6, II – [página 46]).</w:t>
      </w:r>
    </w:p>
    <w:p>
      <w:pPr>
        <w:spacing w:before="0" w:after="80" w:line="360" w:lineRule="auto"/>
        <w:ind w:firstLine="709"/>
        <w:jc w:val="both"/>
      </w:pPr>
      <w:r>
        <w:rPr>
          <w:b/>
          <w:i w:val="0"/>
          <w:color w:val="12324A"/>
        </w:rPr>
        <w:t xml:space="preserve">Dispositivo aplicável. </w:t>
      </w:r>
      <w:r>
        <w:rPr>
          <w:b w:val="0"/>
          <w:i w:val="0"/>
        </w:rPr>
        <w:t>A matéria é disciplinada pelo art. 156 e pelo art. 156, § 3º, da Lei 14.133/2021, que assim dispõem:</w:t>
      </w:r>
    </w:p>
    <w:p>
      <w:pPr>
        <w:spacing w:before="80" w:after="200" w:line="240" w:lineRule="auto"/>
        <w:ind w:firstLine="0" w:left="2268"/>
        <w:jc w:val="both"/>
      </w:pPr>
      <w:r>
        <w:rPr>
          <w:b w:val="0"/>
          <w:i w:val="0"/>
          <w:sz w:val="20"/>
        </w:rPr>
        <w:t>Serão aplicadas ao responsável pelas infrações administrativas previstas nesta Lei as seguintes sanções: […]</w:t>
      </w:r>
      <w:r>
        <w:rPr>
          <w:b w:val="0"/>
          <w:i w:val="0"/>
          <w:sz w:val="20"/>
        </w:rPr>
        <w:t xml:space="preserve"> (BRASIL, 2021, art. 156)</w:t>
      </w:r>
    </w:p>
    <w:p>
      <w:pPr>
        <w:spacing w:before="80" w:after="200" w:line="240" w:lineRule="auto"/>
        <w:ind w:firstLine="0" w:left="2268"/>
        <w:jc w:val="both"/>
      </w:pPr>
      <w:r>
        <w:rPr>
          <w:b w:val="0"/>
          <w:i w:val="0"/>
          <w:sz w:val="20"/>
        </w:rPr>
        <w:t>A sanção prevista no inciso II do caput deste artigo, calculada na forma do edital ou do contrato, não poderá ser inferior a 0,5% (cinco décimos por cento) nem superior a 30% (trinta por cento) do valor do contrato licitado ou celebrado com contratação direta e será aplicada ao responsável por qualquer das infrações administrativas previstas no art. 155 desta Lei.</w:t>
      </w:r>
      <w:r>
        <w:rPr>
          <w:b w:val="0"/>
          <w:i w:val="0"/>
          <w:sz w:val="20"/>
        </w:rPr>
        <w:t xml:space="preserve"> (BRASIL, 2021, art. 156, § 3º)</w:t>
      </w:r>
    </w:p>
    <w:p>
      <w:pPr>
        <w:spacing w:before="0" w:after="120" w:line="360" w:lineRule="auto"/>
        <w:ind w:firstLine="709"/>
        <w:jc w:val="both"/>
      </w:pPr>
      <w:r>
        <w:rPr>
          <w:b/>
          <w:i w:val="0"/>
          <w:color w:val="12324A"/>
        </w:rPr>
        <w:t xml:space="preserve">Análise. </w:t>
      </w:r>
      <w:r>
        <w:rPr>
          <w:b w:val="0"/>
          <w:i w:val="0"/>
        </w:rPr>
        <w:t>O art. 156, § 3º, exige que a multa, calculada na forma do edital, respeite o intervalo legal. A inconsistência interna gera dúvida na dosimetria e dificulta a aplicação.</w:t>
      </w:r>
    </w:p>
    <w:p>
      <w:pPr>
        <w:spacing w:before="0" w:after="120" w:line="360" w:lineRule="auto"/>
        <w:ind w:firstLine="709"/>
        <w:jc w:val="both"/>
      </w:pPr>
      <w:r>
        <w:rPr>
          <w:b/>
          <w:i w:val="0"/>
          <w:color w:val="3D8FA6"/>
        </w:rPr>
        <w:t xml:space="preserve">Risco de manutenção. </w:t>
      </w:r>
      <w:r>
        <w:rPr>
          <w:b w:val="0"/>
          <w:i w:val="0"/>
        </w:rPr>
        <w:t>Dificuldade de aplicar a multa e contestação da dosimetria.</w:t>
      </w:r>
    </w:p>
    <w:p>
      <w:pPr>
        <w:spacing w:before="0" w:after="120" w:line="360" w:lineRule="auto"/>
        <w:ind w:firstLine="709"/>
        <w:jc w:val="both"/>
      </w:pPr>
      <w:r>
        <w:rPr>
          <w:b/>
          <w:i w:val="0"/>
          <w:color w:val="12324A"/>
        </w:rPr>
        <w:t xml:space="preserve">Providência recomendada. </w:t>
      </w:r>
      <w:r>
        <w:rPr>
          <w:b w:val="0"/>
          <w:i w:val="0"/>
        </w:rPr>
        <w:t>Revisar a tabela de gradação (mínimo e máximo por infração), corrigir os rótulos de percentual e estabelecer teto claro à multa de mora.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3.21 Vigência e prorrogação de serviços contínuos</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Parcialmente conforme   ·   Edital e minutas (ata e contrato), Item 7.2.1 – [página 6]</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edital prevê vigência de 12 meses e prorrogação nos termos dos arts. 106 e 107, e o TR (2.1) fala em até 10 anos. O item 7.2.1 do edital não condiciona expressamente a prorrogação ao ateste de vantajosidade (só a prorrogação da ata, em 7.5, faz essa referência). O item 7.1 conta a vigência da ordem de início, e a minuta (Cláusula Nona) da assinatura. A caracterização como serviço contínuo é discutível, pois a execução depende de demandas sob registro de preços e o pagamento é só pelas horas efetivamente trabalhadas (TR 6.15).</w:t>
      </w:r>
    </w:p>
    <w:p>
      <w:pPr>
        <w:spacing w:before="0" w:after="120" w:line="360" w:lineRule="auto"/>
        <w:ind w:firstLine="709"/>
        <w:jc w:val="both"/>
      </w:pPr>
      <w:r>
        <w:rPr>
          <w:b w:val="0"/>
          <w:i w:val="0"/>
        </w:rPr>
        <w:t>O documento dispõe: “No caso de serviços contínuos, o contrato poderá ser prorrogado na forma dos arts. 107” (Item 7.2.1 – [página 6]).</w:t>
      </w:r>
    </w:p>
    <w:p>
      <w:pPr>
        <w:spacing w:before="0" w:after="80" w:line="360" w:lineRule="auto"/>
        <w:ind w:firstLine="709"/>
        <w:jc w:val="both"/>
      </w:pPr>
      <w:r>
        <w:rPr>
          <w:b/>
          <w:i w:val="0"/>
          <w:color w:val="12324A"/>
        </w:rPr>
        <w:t xml:space="preserve">Dispositivo aplicável. </w:t>
      </w:r>
      <w:r>
        <w:rPr>
          <w:b w:val="0"/>
          <w:i w:val="0"/>
        </w:rPr>
        <w:t>A matéria é disciplinada pelo art. 106 e pelo art. 107, da Lei 14.133/2021, que assim dispõem:</w:t>
      </w:r>
    </w:p>
    <w:p>
      <w:pPr>
        <w:spacing w:before="80" w:after="200" w:line="240" w:lineRule="auto"/>
        <w:ind w:firstLine="0" w:left="2268"/>
        <w:jc w:val="both"/>
      </w:pPr>
      <w:r>
        <w:rPr>
          <w:b w:val="0"/>
          <w:i w:val="0"/>
          <w:sz w:val="20"/>
        </w:rPr>
        <w:t>A Administração poderá celebrar contratos com prazo de até 5 (cinco) anos nas hipóteses de serviços e fornecimentos contínuos, observadas as seguintes diretrizes: […]</w:t>
      </w:r>
      <w:r>
        <w:rPr>
          <w:b w:val="0"/>
          <w:i w:val="0"/>
          <w:sz w:val="20"/>
        </w:rPr>
        <w:t xml:space="preserve"> (BRASIL, 2021, art. 106)</w:t>
      </w:r>
    </w:p>
    <w:p>
      <w:pPr>
        <w:spacing w:before="80" w:after="200" w:line="240" w:lineRule="auto"/>
        <w:ind w:firstLine="0" w:left="2268"/>
        <w:jc w:val="both"/>
      </w:pPr>
      <w:r>
        <w:rPr>
          <w:b w:val="0"/>
          <w:i w:val="0"/>
          <w:sz w:val="20"/>
        </w:rPr>
        <w:t>Os contratos de serviços e fornecimentos contínuos poderão ser prorrogados sucessivamente, respeitada a vigência máxima decenal, desde que haja previsão em edital e que a autoridade competente ateste que as condições e os preços permanecem vantajosos para a Administração, permitida a negociação com o contratado ou a extinção contratual sem ônus para qualquer das partes.</w:t>
      </w:r>
      <w:r>
        <w:rPr>
          <w:b w:val="0"/>
          <w:i w:val="0"/>
          <w:sz w:val="20"/>
        </w:rPr>
        <w:t xml:space="preserve"> (BRASIL, 2021, art. 107)</w:t>
      </w:r>
    </w:p>
    <w:p>
      <w:pPr>
        <w:spacing w:before="0" w:after="120" w:line="360" w:lineRule="auto"/>
        <w:ind w:firstLine="709"/>
        <w:jc w:val="both"/>
      </w:pPr>
      <w:r>
        <w:rPr>
          <w:b/>
          <w:i w:val="0"/>
          <w:color w:val="12324A"/>
        </w:rPr>
        <w:t xml:space="preserve">Análise. </w:t>
      </w:r>
      <w:r>
        <w:rPr>
          <w:b w:val="0"/>
          <w:i w:val="0"/>
        </w:rPr>
        <w:t>O art. 107 condiciona a prorrogação à previsão em edital e ao ateste de que condições e preços permanecem vantajosos. Sem essa menção, a prorrogação futura fica juridicamente frágil.</w:t>
      </w:r>
    </w:p>
    <w:p>
      <w:pPr>
        <w:spacing w:before="0" w:after="120" w:line="360" w:lineRule="auto"/>
        <w:ind w:firstLine="709"/>
        <w:jc w:val="both"/>
      </w:pPr>
      <w:r>
        <w:rPr>
          <w:b/>
          <w:i w:val="0"/>
          <w:color w:val="3D8FA6"/>
        </w:rPr>
        <w:t xml:space="preserve">Risco de manutenção. </w:t>
      </w:r>
      <w:r>
        <w:rPr>
          <w:b w:val="0"/>
          <w:i w:val="0"/>
        </w:rPr>
        <w:t>Prorrogação contestada e contrato sem lastro quando a demanda for eventual.</w:t>
      </w:r>
    </w:p>
    <w:p>
      <w:pPr>
        <w:spacing w:before="0" w:after="120" w:line="360" w:lineRule="auto"/>
        <w:ind w:firstLine="709"/>
        <w:jc w:val="both"/>
      </w:pPr>
      <w:r>
        <w:rPr>
          <w:b/>
          <w:i w:val="0"/>
          <w:color w:val="12324A"/>
        </w:rPr>
        <w:t xml:space="preserve">Providência recomendada. </w:t>
      </w:r>
      <w:r>
        <w:rPr>
          <w:b w:val="0"/>
          <w:i w:val="0"/>
        </w:rPr>
        <w:t>Incluir no item 7.2.1 a condição de vantajosidade, uniformizar a contagem da vigência com a minuta e justificar no ETP o caráter contínuo da demanda.</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3.22 Exigência de via física original ou autenticada e de firma reconhecida na procuração</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Item 12.13 – [página 21]; item 21.3 – [página 38]</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item 12.13 exige que o vencedor entregue, em 2 dias úteis, a via física original ou autenticada dos documentos apresentados em cópia simples ou sem informação de autenticidade. O item 21.3 exige procuração com firma reconhecida para o mandatário que assinar o contrato ou retirar o instrumento equivalente.</w:t>
      </w:r>
    </w:p>
    <w:p>
      <w:pPr>
        <w:spacing w:before="0" w:after="120" w:line="360" w:lineRule="auto"/>
        <w:ind w:firstLine="709"/>
        <w:jc w:val="both"/>
      </w:pPr>
      <w:r>
        <w:rPr>
          <w:b w:val="0"/>
          <w:i w:val="0"/>
        </w:rPr>
        <w:t>O documento dispõe: “a via física original ou autenticada, no prazo de 2 (dois) dias úteis” (Item 12.13 – [página 21]; item 21.3 – [página 38]).</w:t>
      </w:r>
    </w:p>
    <w:p>
      <w:pPr>
        <w:spacing w:before="0" w:after="80" w:line="360" w:lineRule="auto"/>
        <w:ind w:firstLine="709"/>
        <w:jc w:val="both"/>
      </w:pPr>
      <w:r>
        <w:rPr>
          <w:b/>
          <w:i w:val="0"/>
          <w:color w:val="12324A"/>
        </w:rPr>
        <w:t xml:space="preserve">Dispositivo aplicável. </w:t>
      </w:r>
      <w:r>
        <w:rPr>
          <w:b w:val="0"/>
          <w:i w:val="0"/>
        </w:rPr>
        <w:t>A matéria é disciplinada pelo art. 12, inciso IV e pelo art. 12, inciso V, da Lei 14.133/2021, que assim dispõem:</w:t>
      </w:r>
    </w:p>
    <w:p>
      <w:pPr>
        <w:spacing w:before="80" w:after="200" w:line="240" w:lineRule="auto"/>
        <w:ind w:firstLine="0" w:left="2268"/>
        <w:jc w:val="both"/>
      </w:pPr>
      <w:r>
        <w:rPr>
          <w:b w:val="0"/>
          <w:i w:val="0"/>
          <w:sz w:val="20"/>
        </w:rPr>
        <w:t>No processo licitatório, observar-se-á o seguinte: […] a prova de autenticidade de cópia de documento público ou particular poderá ser feita perante agente da Administração, mediante apresentação de original ou de declaração de autenticidade por advogado, sob sua responsabilidade pessoal;</w:t>
      </w:r>
      <w:r>
        <w:rPr>
          <w:b w:val="0"/>
          <w:i w:val="0"/>
          <w:sz w:val="20"/>
        </w:rPr>
        <w:t xml:space="preserve"> (BRASIL, 2021, art. 12, inciso IV)</w:t>
      </w:r>
    </w:p>
    <w:p>
      <w:pPr>
        <w:spacing w:before="80" w:after="200" w:line="240" w:lineRule="auto"/>
        <w:ind w:firstLine="0" w:left="2268"/>
        <w:jc w:val="both"/>
      </w:pPr>
      <w:r>
        <w:rPr>
          <w:b w:val="0"/>
          <w:i w:val="0"/>
          <w:sz w:val="20"/>
        </w:rPr>
        <w:t>No processo licitatório, observar-se-á o seguinte: […] o reconhecimento de firma somente será exigido quando houver dúvida de autenticidade, salvo imposição legal;</w:t>
      </w:r>
      <w:r>
        <w:rPr>
          <w:b w:val="0"/>
          <w:i w:val="0"/>
          <w:sz w:val="20"/>
        </w:rPr>
        <w:t xml:space="preserve"> (BRASIL, 2021, art. 12, inciso V)</w:t>
      </w:r>
    </w:p>
    <w:p>
      <w:pPr>
        <w:spacing w:before="0" w:after="120" w:line="360" w:lineRule="auto"/>
        <w:ind w:firstLine="709"/>
        <w:jc w:val="both"/>
      </w:pPr>
      <w:r>
        <w:rPr>
          <w:b/>
          <w:i w:val="0"/>
          <w:color w:val="12324A"/>
        </w:rPr>
        <w:t xml:space="preserve">Análise. </w:t>
      </w:r>
      <w:r>
        <w:rPr>
          <w:b w:val="0"/>
          <w:i w:val="0"/>
        </w:rPr>
        <w:t>O processo é eletrônico e a lei só admite a exigência de reconhecimento de firma ou autenticação quando houver dúvida de autenticidade; a exigência geral e automática é formalismo desnecessário.</w:t>
      </w:r>
    </w:p>
    <w:p>
      <w:pPr>
        <w:spacing w:before="0" w:after="120" w:line="360" w:lineRule="auto"/>
        <w:ind w:firstLine="709"/>
        <w:jc w:val="both"/>
      </w:pPr>
      <w:r>
        <w:rPr>
          <w:b/>
          <w:i w:val="0"/>
          <w:color w:val="3D8FA6"/>
        </w:rPr>
        <w:t xml:space="preserve">Risco de manutenção. </w:t>
      </w:r>
      <w:r>
        <w:rPr>
          <w:b w:val="0"/>
          <w:i w:val="0"/>
        </w:rPr>
        <w:t>Barreira à participação e inabilitação por formalismo.</w:t>
      </w:r>
    </w:p>
    <w:p>
      <w:pPr>
        <w:spacing w:before="0" w:after="120" w:line="360" w:lineRule="auto"/>
        <w:ind w:firstLine="709"/>
        <w:jc w:val="both"/>
      </w:pPr>
      <w:r>
        <w:rPr>
          <w:b/>
          <w:i w:val="0"/>
          <w:color w:val="12324A"/>
        </w:rPr>
        <w:t xml:space="preserve">Providência recomendada. </w:t>
      </w:r>
      <w:r>
        <w:rPr>
          <w:b w:val="0"/>
          <w:i w:val="0"/>
        </w:rPr>
        <w:t>Condicionar a exigência a dúvida fundamentada, aceitar certidões e documentos digitais com assinatura eletrônica e a verificação em sítio oficial, e dispensar o reconhecimento de firma salvo imposição legal.</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2"/>
        <w:keepNext/>
        <w:spacing w:before="240" w:after="160" w:line="360" w:lineRule="auto"/>
        <w:ind w:firstLine="0"/>
        <w:jc w:val="left"/>
      </w:pPr>
      <w:r>
        <w:rPr>
          <w:rFonts w:ascii="Arial" w:hAnsi="Arial"/>
          <w:b/>
          <w:i w:val="0"/>
          <w:color w:val="12324A"/>
          <w:sz w:val="24"/>
        </w:rPr>
        <w:t>3.23 Participação de cooperativas tratada como consórcio e texto de modelo sobre contribuição previdenciária</w:t>
      </w:r>
    </w:p>
    <w:tbl>
      <w:tblPr>
        <w:tblW w:type="auto" w:w="0"/>
        <w:jc w:val="center"/>
        <w:tblLook w:firstColumn="1" w:firstRow="1" w:lastColumn="0" w:lastRow="0" w:noHBand="0" w:noVBand="1" w:val="04A0"/>
        <w:tblLayout w:type="fixed"/>
      </w:tblPr>
      <w:tblGrid>
        <w:gridCol w:w="9072"/>
      </w:tblGrid>
      <w:tr>
        <w:tc>
          <w:tcPr>
            <w:tcW w:type="dxa" w:w="9071"/>
            <w:tcBorders>
              <w:top w:val="nil"/>
              <w:left w:val="nil"/>
              <w:bottom w:val="nil"/>
              <w:right w:val="nil"/>
              <w:top w:val="nil"/>
              <w:left w:val="single" w:sz="30" w:color="3D8FA6" w:space="0"/>
              <w:bottom w:val="nil"/>
              <w:right w:val="nil"/>
            </w:tcBorders>
            <w:shd w:val="clear" w:color="auto" w:fill="E3F1F5"/>
            <w:tcMar>
              <w:top w:w="85" w:type="dxa"/>
              <w:left w:w="85" w:type="dxa"/>
              <w:bottom w:w="85" w:type="dxa"/>
              <w:right w:w="85" w:type="dxa"/>
            </w:tcMar>
          </w:tcPr>
          <w:p>
            <w:pPr>
              <w:spacing w:before="0" w:after="0" w:line="240" w:lineRule="auto"/>
              <w:ind w:firstLine="0"/>
              <w:jc w:val="left"/>
            </w:pPr>
            <w:r>
              <w:rPr>
                <w:b/>
                <w:i w:val="0"/>
                <w:color w:val="3D8FA6"/>
                <w:sz w:val="16"/>
              </w:rPr>
              <w:t>GRAVIDADE BAIXA</w:t>
            </w:r>
            <w:r>
              <w:rPr>
                <w:b w:val="0"/>
                <w:i w:val="0"/>
                <w:color w:val="1E2A32"/>
                <w:sz w:val="16"/>
              </w:rPr>
              <w:t xml:space="preserve">   ·   Apontamento adicional   ·   Edital e minutas (ata e contrato), TR 9.15 – [página 82]; Edital 10.4 – [página 13]</w:t>
            </w:r>
          </w:p>
        </w:tc>
      </w:tr>
    </w:tbl>
    <w:p>
      <w:pPr>
        <w:spacing w:before="0" w:after="40" w:line="240" w:lineRule="auto"/>
        <w:ind w:firstLine="0"/>
        <w:jc w:val="both"/>
      </w:pPr>
    </w:p>
    <w:p>
      <w:pPr>
        <w:spacing w:before="0" w:after="120" w:line="360" w:lineRule="auto"/>
        <w:ind w:firstLine="709"/>
        <w:jc w:val="both"/>
      </w:pPr>
      <w:r>
        <w:rPr>
          <w:b/>
          <w:i w:val="0"/>
          <w:color w:val="12324A"/>
        </w:rPr>
        <w:t xml:space="preserve">Constatação. </w:t>
      </w:r>
      <w:r>
        <w:rPr>
          <w:b w:val="0"/>
          <w:i w:val="0"/>
        </w:rPr>
        <w:t>O TR (9.15) trata a participação de cooperativas com "empresa líder" e "atos praticados pelo Consórcio", confundindo os institutos, apesar de o edital vedar consórcio. Os itens 10.4 e 10.4.1 trazem regra de dedução da contribuição previdenciária do valor da proposta, típica de modelo para contratações de cooperativas ou cessão de mão de obra, sem relação com o objeto.</w:t>
      </w:r>
    </w:p>
    <w:p>
      <w:pPr>
        <w:spacing w:before="0" w:after="120" w:line="360" w:lineRule="auto"/>
        <w:ind w:firstLine="709"/>
        <w:jc w:val="both"/>
      </w:pPr>
      <w:r>
        <w:rPr>
          <w:b w:val="0"/>
          <w:i w:val="0"/>
        </w:rPr>
        <w:t>O documento dispõe: “O valor total da proposta, acrescido dos valores devidos a título de contribuição” (TR 9.15 – [página 82]; Edital 10.4 – [página 13]).</w:t>
      </w:r>
    </w:p>
    <w:p>
      <w:pPr>
        <w:spacing w:before="0" w:after="80" w:line="360" w:lineRule="auto"/>
        <w:ind w:firstLine="709"/>
        <w:jc w:val="both"/>
      </w:pPr>
      <w:r>
        <w:rPr>
          <w:b/>
          <w:i w:val="0"/>
          <w:color w:val="12324A"/>
        </w:rPr>
        <w:t xml:space="preserve">Dispositivo aplicável. </w:t>
      </w:r>
      <w:r>
        <w:rPr>
          <w:b w:val="0"/>
          <w:i w:val="0"/>
        </w:rPr>
        <w:t>Não há dispositivo legal específico; o apontamento decorre da coerência e da boa instrução do processo.</w:t>
      </w:r>
    </w:p>
    <w:p>
      <w:pPr>
        <w:spacing w:before="0" w:after="120" w:line="360" w:lineRule="auto"/>
        <w:ind w:firstLine="709"/>
        <w:jc w:val="both"/>
      </w:pPr>
      <w:r>
        <w:rPr>
          <w:b/>
          <w:i w:val="0"/>
          <w:color w:val="12324A"/>
        </w:rPr>
        <w:t xml:space="preserve">Análise. </w:t>
      </w:r>
      <w:r>
        <w:rPr>
          <w:b w:val="0"/>
          <w:i w:val="0"/>
        </w:rPr>
        <w:t>Regras de modelo desalinhadas do objeto geram dúvida sobre como formular a proposta e contrariam a vedação a consórcio.</w:t>
      </w:r>
    </w:p>
    <w:p>
      <w:pPr>
        <w:spacing w:before="0" w:after="120" w:line="360" w:lineRule="auto"/>
        <w:ind w:firstLine="709"/>
        <w:jc w:val="both"/>
      </w:pPr>
      <w:r>
        <w:rPr>
          <w:b/>
          <w:i w:val="0"/>
          <w:color w:val="3D8FA6"/>
        </w:rPr>
        <w:t xml:space="preserve">Risco de manutenção. </w:t>
      </w:r>
      <w:r>
        <w:rPr>
          <w:b w:val="0"/>
          <w:i w:val="0"/>
        </w:rPr>
        <w:t>Interpretações divergentes e impugnações.</w:t>
      </w:r>
    </w:p>
    <w:p>
      <w:pPr>
        <w:spacing w:before="0" w:after="120" w:line="360" w:lineRule="auto"/>
        <w:ind w:firstLine="709"/>
        <w:jc w:val="both"/>
      </w:pPr>
      <w:r>
        <w:rPr>
          <w:b/>
          <w:i w:val="0"/>
          <w:color w:val="12324A"/>
        </w:rPr>
        <w:t xml:space="preserve">Providência recomendada. </w:t>
      </w:r>
      <w:r>
        <w:rPr>
          <w:b w:val="0"/>
          <w:i w:val="0"/>
        </w:rPr>
        <w:t>Revisar o TR 9.15 para tratar a cooperativa sem remeter a consórcio e excluir os itens 10.4 e 10.4.1 se não se aplicarem ao objeto.</w:t>
      </w:r>
    </w:p>
    <w:p>
      <w:pPr>
        <w:spacing w:before="0" w:after="80" w:line="360" w:lineRule="auto"/>
        <w:ind w:firstLine="709"/>
        <w:jc w:val="both"/>
      </w:pPr>
      <w:r>
        <w:rPr>
          <w:b/>
          <w:i w:val="0"/>
          <w:color w:val="12324A"/>
        </w:rPr>
        <w:t xml:space="preserve">Precedentes. </w:t>
      </w:r>
      <w:r>
        <w:rPr>
          <w:b w:val="0"/>
          <w:i w:val="0"/>
        </w:rPr>
        <w:t>Não foram localizadas decisões sobre o tema na Biblioteca Licitacon até esta data, o que não significa inexistência de jurisprudência.</w:t>
      </w:r>
    </w:p>
    <w:p>
      <w:pPr>
        <w:pStyle w:val="Heading1"/>
        <w:keepNext/>
        <w:spacing w:before="360" w:after="160" w:line="360" w:lineRule="auto"/>
        <w:ind w:firstLine="0"/>
        <w:jc w:val="left"/>
      </w:pPr>
      <w:r>
        <w:rPr>
          <w:rFonts w:ascii="Arial" w:hAnsi="Arial"/>
          <w:b/>
          <w:i w:val="0"/>
          <w:color w:val="12324A"/>
          <w:sz w:val="24"/>
        </w:rPr>
        <w:t>4 ANÁLISE DE PREÇOS</w:t>
      </w:r>
    </w:p>
    <w:p>
      <w:pPr>
        <w:spacing w:before="0" w:after="120" w:line="360" w:lineRule="auto"/>
        <w:ind w:firstLine="709"/>
        <w:jc w:val="both"/>
      </w:pPr>
      <w:r>
        <w:rPr>
          <w:b w:val="0"/>
          <w:i w:val="0"/>
        </w:rPr>
        <w:t>O orçamento estimado foi confrontado com preços de contratações similares publicadas no Portal Nacional de Contratações Públicas (PNCP), conforme o parâmetro do art. 23, § 1º, II, da Lei nº 14.133/2021. Critérios adotados: objeto equivalente (descrição compatível e mesma unidade de medida); contratações homologadas nos 365 dias anteriores a 08/08/2025; órgãos e entidades localizados no estado (RJ); contratações regidas pela Lei nº 14.133/2021; preço de comparação igual ao valor unitário homologado. Calcula-se a mediana de, no mínimo, 3 preços, após o descarte de valores extremos pelo intervalo interquartil. Considera-se indício de sobrepreço o valor estimado superior à mediana em mais de 25%, e ponto de atenção o excesso entre 10% e 25%.</w:t>
      </w:r>
    </w:p>
    <w:p>
      <w:pPr>
        <w:spacing w:before="0" w:after="120" w:line="360" w:lineRule="auto"/>
        <w:ind w:firstLine="709"/>
        <w:jc w:val="both"/>
      </w:pPr>
      <w:r>
        <w:rPr>
          <w:b w:val="0"/>
          <w:i w:val="0"/>
        </w:rPr>
        <w:t>Foram analisados 20 dos 20 itens do orçamento, que representam 100% do valor estimado. Não foi identificado indício de sobrepreço nos itens com amostra suficiente.</w:t>
      </w:r>
    </w:p>
    <w:tbl>
      <w:tblPr>
        <w:tblW w:type="auto" w:w="0"/>
        <w:jc w:val="center"/>
        <w:tblLook w:firstColumn="1" w:firstRow="1" w:lastColumn="0" w:lastRow="0" w:noHBand="0" w:noVBand="1" w:val="04A0"/>
        <w:tblLayout w:type="fixed"/>
      </w:tblPr>
      <w:tblGrid>
        <w:gridCol w:w="567"/>
        <w:gridCol w:w="3515"/>
        <w:gridCol w:w="1360"/>
        <w:gridCol w:w="1360"/>
        <w:gridCol w:w="793"/>
        <w:gridCol w:w="1474"/>
      </w:tblGrid>
      <w:tr>
        <w:tc>
          <w:tcPr>
            <w:tcW w:type="dxa" w:w="567"/>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ITEM</w:t>
            </w:r>
          </w:p>
        </w:tc>
        <w:tc>
          <w:tcPr>
            <w:tcW w:type="dxa" w:w="3515"/>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DESCRIÇÃO</w:t>
            </w:r>
          </w:p>
        </w:tc>
        <w:tc>
          <w:tcPr>
            <w:tcW w:type="dxa" w:w="1361"/>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ESTIMADO</w:t>
            </w:r>
          </w:p>
        </w:tc>
        <w:tc>
          <w:tcPr>
            <w:tcW w:type="dxa" w:w="1361"/>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MEDIANA</w:t>
            </w:r>
          </w:p>
        </w:tc>
        <w:tc>
          <w:tcPr>
            <w:tcW w:type="dxa" w:w="794"/>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DESVIO</w:t>
            </w:r>
          </w:p>
        </w:tc>
        <w:tc>
          <w:tcPr>
            <w:tcW w:type="dxa" w:w="1474"/>
            <w:tcBorders>
              <w:top w:val="nil"/>
              <w:left w:val="nil"/>
              <w:bottom w:val="nil"/>
              <w:right w:val="nil"/>
            </w:tcBorders>
            <w:shd w:val="clear" w:color="auto" w:fill="12324A"/>
            <w:tcMar>
              <w:top w:w="56" w:type="dxa"/>
              <w:left w:w="56" w:type="dxa"/>
              <w:bottom w:w="56" w:type="dxa"/>
              <w:right w:w="56" w:type="dxa"/>
            </w:tcMar>
          </w:tcPr>
          <w:p>
            <w:pPr>
              <w:spacing w:before="0" w:after="0" w:line="240" w:lineRule="auto"/>
              <w:ind w:firstLine="0"/>
              <w:jc w:val="left"/>
            </w:pPr>
            <w:r>
              <w:rPr>
                <w:b/>
                <w:i w:val="0"/>
                <w:color w:val="FFFFFF"/>
                <w:sz w:val="15"/>
              </w:rPr>
              <w:t>SITUAÇÃO</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19</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Veículo transporte pessoal</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R$ 159,52</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3</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Caminhão</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R$ 267,75</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9</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Carreta</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R$ 428,57</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1</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Caminhão Basculante</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R$ 243,61</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11</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Retroescavadeira</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R$ 218,17</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17</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Veículo transporte pessoal</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R$ 139,37</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13</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Veículo transporte pessoal</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R$ 100,32</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15</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Veículo transporte pessoal</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R$ 100,32</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5</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Caminhão basculante</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R$ 225,75</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7</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Caminhão Basculante</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R$ 190,53</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20</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Veículo transporte pessoal</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R$ 60,51</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4</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Caminhão</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R$ 113,77</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10</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Carreta</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R$ 161,61</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2</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Caminhão Basculante</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R$ 100,45</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12</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Retroescavadeira</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R$ 90,97</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18</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Veículo transporte pessoal</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R$ 63,92</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14</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Veículo transporte pessoal</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R$ 42,81</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16</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Veículo transporte pessoal</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R$ 42,81</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6</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Caminhão basculante</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R$ 91,65</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tcPr>
          <w:p>
            <w:pPr>
              <w:spacing w:before="0" w:after="0" w:line="240" w:lineRule="auto"/>
              <w:ind w:firstLine="0"/>
              <w:jc w:val="left"/>
            </w:pPr>
            <w:r>
              <w:rPr>
                <w:b/>
                <w:i w:val="0"/>
                <w:color w:val="B8C2C8"/>
                <w:sz w:val="16"/>
              </w:rPr>
              <w:t>Amostra insuficiente (0)</w:t>
            </w:r>
          </w:p>
        </w:tc>
      </w:tr>
      <w:tr>
        <w:tc>
          <w:tcPr>
            <w:tcW w:type="dxa" w:w="567"/>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8</w:t>
            </w:r>
          </w:p>
        </w:tc>
        <w:tc>
          <w:tcPr>
            <w:tcW w:type="dxa" w:w="3515"/>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Caminhão Basculante</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R$ 80,10</w:t>
            </w:r>
          </w:p>
        </w:tc>
        <w:tc>
          <w:tcPr>
            <w:tcW w:type="dxa" w:w="1361"/>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79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val="0"/>
                <w:i w:val="0"/>
                <w:sz w:val="16"/>
              </w:rPr>
              <w:t>—</w:t>
            </w:r>
          </w:p>
        </w:tc>
        <w:tc>
          <w:tcPr>
            <w:tcW w:type="dxa" w:w="1474"/>
            <w:tcBorders>
              <w:top w:val="nil"/>
              <w:left w:val="nil"/>
              <w:bottom w:val="nil"/>
              <w:right w:val="nil"/>
              <w:top w:val="nil"/>
              <w:left w:val="nil"/>
              <w:bottom w:val="single" w:sz="4" w:color="D9DEE2" w:space="0"/>
              <w:right w:val="nil"/>
            </w:tcBorders>
            <w:tcMar>
              <w:top w:w="56" w:type="dxa"/>
              <w:left w:w="56" w:type="dxa"/>
              <w:bottom w:w="56" w:type="dxa"/>
              <w:right w:w="56" w:type="dxa"/>
            </w:tcMar>
            <w:shd w:val="clear" w:color="auto" w:fill="FAFBFC"/>
          </w:tcPr>
          <w:p>
            <w:pPr>
              <w:spacing w:before="0" w:after="0" w:line="240" w:lineRule="auto"/>
              <w:ind w:firstLine="0"/>
              <w:jc w:val="left"/>
            </w:pPr>
            <w:r>
              <w:rPr>
                <w:b/>
                <w:i w:val="0"/>
                <w:color w:val="B8C2C8"/>
                <w:sz w:val="16"/>
              </w:rPr>
              <w:t>Amostra insuficiente (0)</w:t>
            </w:r>
          </w:p>
        </w:tc>
      </w:tr>
    </w:tbl>
    <w:p>
      <w:pPr>
        <w:spacing w:before="80" w:after="160" w:line="360" w:lineRule="auto"/>
        <w:ind w:firstLine="0"/>
        <w:jc w:val="both"/>
      </w:pPr>
      <w:r>
        <w:rPr>
          <w:b w:val="0"/>
          <w:i/>
          <w:color w:val="66757F"/>
          <w:sz w:val="17"/>
        </w:rPr>
        <w:t>Entre parênteses, o número de preços comparáveis encontrados. Amostra insuficiente (menos de três preços) ou heterogênea (coeficiente de variação acima de 0,5, o que sugere especificações diferentes) não permite concluir sobre sobrepreço.</w:t>
      </w:r>
    </w:p>
    <w:p>
      <w:pPr>
        <w:spacing w:before="120" w:after="120" w:line="360" w:lineRule="auto"/>
        <w:ind w:firstLine="0"/>
        <w:jc w:val="both"/>
      </w:pPr>
      <w:r>
        <w:rPr>
          <w:b w:val="0"/>
          <w:i/>
          <w:color w:val="66757F"/>
          <w:sz w:val="17"/>
        </w:rPr>
        <w:t>A análise de preços é indicativa e calculada por programa a partir de dados públicos do PNCP; a comparação depende da equivalência das especificações e não substitui a pesquisa de preços do processo (art. 23 da Lei nº 14.133/2021).</w:t>
      </w:r>
    </w:p>
    <w:p>
      <w:pPr>
        <w:pStyle w:val="Heading1"/>
        <w:keepNext/>
        <w:spacing w:before="360" w:after="160" w:line="360" w:lineRule="auto"/>
        <w:ind w:firstLine="0"/>
        <w:jc w:val="left"/>
      </w:pPr>
      <w:r>
        <w:rPr>
          <w:rFonts w:ascii="Arial" w:hAnsi="Arial"/>
          <w:b/>
          <w:i w:val="0"/>
          <w:color w:val="12324A"/>
          <w:sz w:val="24"/>
        </w:rPr>
        <w:t>5 RECOMENDAÇÕES DE MELHORIA</w:t>
      </w:r>
    </w:p>
    <w:p>
      <w:pPr>
        <w:spacing w:before="0" w:after="120" w:line="360" w:lineRule="auto"/>
        <w:ind w:firstLine="709"/>
        <w:jc w:val="both"/>
      </w:pPr>
      <w:r>
        <w:rPr>
          <w:b w:val="0"/>
          <w:i w:val="0"/>
        </w:rPr>
        <w:t>Os pontos a seguir não configuram irregularidade, mas podem ser aperfeiçoados para dar mais segurança ao processo:</w:t>
      </w:r>
    </w:p>
    <w:p>
      <w:pPr>
        <w:spacing w:before="0" w:after="120" w:line="360" w:lineRule="auto"/>
        <w:ind w:left="425" w:hanging="425"/>
        <w:jc w:val="both"/>
      </w:pPr>
      <w:r>
        <w:rPr>
          <w:b/>
          <w:i w:val="0"/>
          <w:color w:val="1F7A8C"/>
        </w:rPr>
        <w:t xml:space="preserve">a) </w:t>
      </w:r>
      <w:r>
        <w:rPr>
          <w:b/>
          <w:i w:val="0"/>
        </w:rPr>
        <w:t xml:space="preserve">Declaração de custos trabalhistas integrais: </w:t>
      </w:r>
      <w:r>
        <w:rPr>
          <w:b w:val="0"/>
          <w:i w:val="0"/>
        </w:rPr>
        <w:t>A declaração está sob o título de habilitação econômico-financeira (B.4) e repetida na proposta/Anexo VIII. Vale deixar claro que ela integra a proposta (e não só a habilitação), para que a desclassificação do art. 63, § 1º, incida sobre a proposta. (art. 63, § 1º, da Lei 14.133/2021).</w:t>
      </w:r>
    </w:p>
    <w:p>
      <w:pPr>
        <w:spacing w:before="0" w:after="120" w:line="360" w:lineRule="auto"/>
        <w:ind w:left="425" w:hanging="425"/>
        <w:jc w:val="both"/>
      </w:pPr>
      <w:r>
        <w:rPr>
          <w:b/>
          <w:i w:val="0"/>
          <w:color w:val="1F7A8C"/>
        </w:rPr>
        <w:t xml:space="preserve">b) </w:t>
      </w:r>
      <w:r>
        <w:rPr>
          <w:b/>
          <w:i w:val="0"/>
        </w:rPr>
        <w:t xml:space="preserve">Conferência aritmética da planilha: </w:t>
      </w:r>
      <w:r>
        <w:rPr>
          <w:b w:val="0"/>
          <w:i w:val="0"/>
        </w:rPr>
        <w:t>A composição do BDI de 10% não foi apresentada. Como o orçamento não é sigiloso, convém anexar a memória do BDI e a composição de preços, que são parte do orçamento estimado (art. 18, IV). (art. 18, inciso IV, da Lei 14.133/2021).</w:t>
      </w:r>
    </w:p>
    <w:p>
      <w:pPr>
        <w:spacing w:before="0" w:after="120" w:line="360" w:lineRule="auto"/>
        <w:ind w:left="425" w:hanging="425"/>
        <w:jc w:val="both"/>
      </w:pPr>
      <w:r>
        <w:rPr>
          <w:b/>
          <w:i w:val="0"/>
          <w:color w:val="1F7A8C"/>
        </w:rPr>
        <w:t xml:space="preserve">c) </w:t>
      </w:r>
      <w:r>
        <w:rPr>
          <w:b/>
          <w:i w:val="0"/>
        </w:rPr>
        <w:t xml:space="preserve">Conteúdo mínimo do edital: </w:t>
      </w:r>
      <w:r>
        <w:rPr>
          <w:b w:val="0"/>
          <w:i w:val="0"/>
        </w:rPr>
        <w:t>Há erros materiais e textos de modelo de compras de bens que dificultam a leitura. Exemplos: numeração "12..12" e "16..1.2"; item 10.2.1 com redação truncada ("somente serão disponibilizados após solicitação do anexo"); "rescindindo"; menção a "entrega do(s) bem(ns)". Recomenda-se revisão geral antes de nova publicação. (art. 25, da Lei 14.133/2021).</w:t>
      </w:r>
    </w:p>
    <w:p>
      <w:pPr>
        <w:spacing w:before="0" w:after="120" w:line="360" w:lineRule="auto"/>
        <w:ind w:left="425" w:hanging="425"/>
        <w:jc w:val="both"/>
      </w:pPr>
      <w:r>
        <w:rPr>
          <w:b/>
          <w:i w:val="0"/>
          <w:color w:val="1F7A8C"/>
        </w:rPr>
        <w:t xml:space="preserve">d) </w:t>
      </w:r>
      <w:r>
        <w:rPr>
          <w:b/>
          <w:i w:val="0"/>
        </w:rPr>
        <w:t xml:space="preserve">Divulgação de todos os anexos: </w:t>
      </w:r>
      <w:r>
        <w:rPr>
          <w:b w:val="0"/>
          <w:i w:val="0"/>
        </w:rPr>
        <w:t>Não foi possível confirmar, pelo documento, que todos os anexos foram publicados no PNCP na mesma data do edital (08/08/2025). Conferir esse registro. Como o orçamento não é sigiloso, convém publicar também a pesquisa de preços/mapa de cotação. (art. 25, § 3º, da Lei 14.133/2021; art. 54, da Lei 14.133/2021).</w:t>
      </w:r>
    </w:p>
    <w:p>
      <w:pPr>
        <w:spacing w:before="0" w:after="120" w:line="360" w:lineRule="auto"/>
        <w:ind w:left="425" w:hanging="425"/>
        <w:jc w:val="both"/>
      </w:pPr>
      <w:r>
        <w:rPr>
          <w:b/>
          <w:i w:val="0"/>
          <w:color w:val="1F7A8C"/>
        </w:rPr>
        <w:t xml:space="preserve">e) </w:t>
      </w:r>
      <w:r>
        <w:rPr>
          <w:b/>
          <w:i w:val="0"/>
        </w:rPr>
        <w:t xml:space="preserve">Registro de preços: quem pode aderir à ata: </w:t>
      </w:r>
      <w:r>
        <w:rPr>
          <w:b w:val="0"/>
          <w:i w:val="0"/>
        </w:rPr>
        <w:t>O item 16.7 repete o limite de 50% sem referir "por órgão" nem o dobro no total (que está em 4.1.6). Convém harmonizar para evitar interpretação diversa. (art. 86, § 3º, da Lei 14.133/2021; art. 86, § 3º, inciso II, da Lei 14.133/2021; art. 86, § 8º, da Lei 14.133/2021; art. 86, § 4º, da Lei 14.133/2021; art. 86, § 5º, da Lei 14.133/2021).</w:t>
      </w:r>
    </w:p>
    <w:p>
      <w:pPr>
        <w:spacing w:before="0" w:after="120" w:line="360" w:lineRule="auto"/>
        <w:ind w:left="425" w:hanging="425"/>
        <w:jc w:val="both"/>
      </w:pPr>
      <w:r>
        <w:rPr>
          <w:b/>
          <w:i w:val="0"/>
          <w:color w:val="1F7A8C"/>
        </w:rPr>
        <w:t xml:space="preserve">f) </w:t>
      </w:r>
      <w:r>
        <w:rPr>
          <w:b/>
          <w:i w:val="0"/>
        </w:rPr>
        <w:t xml:space="preserve">Registro de preços: regras obrigatórias do edital: </w:t>
      </w:r>
      <w:r>
        <w:rPr>
          <w:b w:val="0"/>
          <w:i w:val="0"/>
        </w:rPr>
        <w:t>A quantidade mínima a cotar e a possibilidade de cotar menos que o máximo estão implícitas em 4.1.2. Declarar expressamente as opções do art. 82, II e IV, em seção própria do edital. (art. 82, inciso II, da Lei 14.133/2021; art. 82, inciso IV, da Lei 14.133/2021; art. 82, inciso VI, da Lei 14.133/2021; art. 82, inciso VII, da Lei 14.133/2021; art. 82, inciso VIII, da Lei 14.133/2021; art. 82, inciso IX, da Lei 14.133/2021).</w:t>
      </w:r>
    </w:p>
    <w:p>
      <w:pPr>
        <w:pStyle w:val="Heading1"/>
        <w:keepNext/>
        <w:spacing w:before="360" w:after="160" w:line="360" w:lineRule="auto"/>
        <w:ind w:firstLine="0"/>
        <w:jc w:val="left"/>
      </w:pPr>
      <w:r>
        <w:rPr>
          <w:rFonts w:ascii="Arial" w:hAnsi="Arial"/>
          <w:b/>
          <w:i w:val="0"/>
          <w:color w:val="12324A"/>
          <w:sz w:val="24"/>
        </w:rPr>
        <w:t>6 CONCLUSÃO</w:t>
      </w:r>
    </w:p>
    <w:p>
      <w:pPr>
        <w:spacing w:before="0" w:after="120" w:line="360" w:lineRule="auto"/>
        <w:ind w:firstLine="709"/>
        <w:jc w:val="both"/>
      </w:pPr>
      <w:r>
        <w:rPr>
          <w:b w:val="0"/>
          <w:i w:val="0"/>
        </w:rPr>
        <w:t>O edital não se mostra apto a ser mantido sem ajustes, em especial se ainda houver atos a praticar. A sessão estava marcada para 22/08/2025, e a análise é de 29/10/2026; a situação atual do processo (homologação, ata, contratos) não foi informada. Se houver ata vigente ou contratos decorrentes, recomenda-se:</w:t>
        <w:br/>
        <w:t>- sanear a execução (esclarecer na gestão da ata o que são as linhas "-2" e "-3", fixar preços unitários máximos, uniformizar o reajuste);</w:t>
        <w:br/>
        <w:t>- revisar a pesquisa de preços antes de qualquer prorrogação da ata ou contrato, conforme o próprio edital (itens 7.5.3 e 5.13 do TR);</w:t>
        <w:br/>
        <w:t>- corrigir o modelo para os próximos certames.</w:t>
        <w:br/>
        <w:t>Os pontos de gravidade alta são:</w:t>
        <w:br/>
        <w:t>- prazo de propostas (ed-05);</w:t>
        <w:br/>
        <w:t>- agrupamento sem demonstração e sem preço unitário máximo (srp-01);</w:t>
        <w:br/>
        <w:t>- ausência de pesquisa de preços demonstrada;</w:t>
        <w:br/>
        <w:t>- risco de jogo de planilha nas linhas duplicadas;</w:t>
        <w:br/>
        <w:t>- redação restritiva de qualificação técnica (ed-06).</w:t>
        <w:br/>
        <w:t>Os demais apontamentos são de gravidade média ou baixa e dizem respeito à coerência entre as peças, ao reajuste, ao tratamento de ME/EPP, à minuta contratual e a formalismos. Recomenda-se juntar o parecer jurídico (art. 53) e o ETP, que não foram enviados, ou confirmar sua existência.</w:t>
      </w:r>
    </w:p>
    <w:p>
      <w:pPr>
        <w:spacing w:before="0" w:after="80" w:line="360" w:lineRule="auto"/>
        <w:ind w:firstLine="709"/>
        <w:jc w:val="both"/>
      </w:pPr>
      <w:r>
        <w:rPr>
          <w:b w:val="0"/>
          <w:i w:val="0"/>
        </w:rPr>
        <w:t>Recomendam-se, por ordem de prioridade, as seguintes providências:</w:t>
      </w:r>
    </w:p>
    <w:p>
      <w:pPr>
        <w:spacing w:before="0" w:after="80" w:line="360" w:lineRule="auto"/>
        <w:ind w:left="425" w:hanging="425"/>
        <w:jc w:val="both"/>
      </w:pPr>
      <w:r>
        <w:rPr>
          <w:b/>
          <w:i w:val="0"/>
          <w:color w:val="B23A48"/>
        </w:rPr>
        <w:t xml:space="preserve">1. </w:t>
      </w:r>
      <w:r>
        <w:rPr>
          <w:b/>
          <w:i w:val="0"/>
        </w:rPr>
        <w:t xml:space="preserve">Prazo mínimo para apresentação de propostas </w:t>
      </w:r>
      <w:r>
        <w:rPr>
          <w:b w:val="0"/>
          <w:i w:val="0"/>
          <w:color w:val="B23A48"/>
        </w:rPr>
        <w:t xml:space="preserve">(gravidade alta, item 3.1): </w:t>
      </w:r>
      <w:r>
        <w:rPr>
          <w:b w:val="0"/>
          <w:i w:val="0"/>
        </w:rPr>
        <w:t>Para os próximos certames, adotar no mínimo 10 dias úteis para locação de máquinas e veículos com motorista (serviço comum) e conferir a contagem com feriados estaduais e municipais. Quanto ao certame já realizado, o órgão deve avaliar se houve efetiva competição e documentar a motivação; qualquer republicação dependerá da fase em que o processo se encontra.</w:t>
      </w:r>
    </w:p>
    <w:p>
      <w:pPr>
        <w:spacing w:before="0" w:after="80" w:line="360" w:lineRule="auto"/>
        <w:ind w:left="425" w:hanging="425"/>
        <w:jc w:val="both"/>
      </w:pPr>
      <w:r>
        <w:rPr>
          <w:b/>
          <w:i w:val="0"/>
          <w:color w:val="B23A48"/>
        </w:rPr>
        <w:t xml:space="preserve">2. </w:t>
      </w:r>
      <w:r>
        <w:rPr>
          <w:b/>
          <w:i w:val="0"/>
        </w:rPr>
        <w:t xml:space="preserve">Qualificação técnica proporcional </w:t>
      </w:r>
      <w:r>
        <w:rPr>
          <w:b w:val="0"/>
          <w:i w:val="0"/>
          <w:color w:val="B23A48"/>
        </w:rPr>
        <w:t xml:space="preserve">(gravidade alta, item 3.2): </w:t>
      </w:r>
      <w:r>
        <w:rPr>
          <w:b w:val="0"/>
          <w:i w:val="0"/>
        </w:rPr>
        <w:t>Reescrever a exigência para atestados de locação/prestação de serviços de máquinas e veículos compatíveis, retirar a referência a comercialização e atividade principal (exigir compatibilidade do objeto social com a locação), e excluir ou justificar o responsável técnico. Registrar no ETP/TR o percentual de cada parcela de maior relevância.</w:t>
      </w:r>
    </w:p>
    <w:p>
      <w:pPr>
        <w:spacing w:before="0" w:after="80" w:line="360" w:lineRule="auto"/>
        <w:ind w:left="425" w:hanging="425"/>
        <w:jc w:val="both"/>
      </w:pPr>
      <w:r>
        <w:rPr>
          <w:b/>
          <w:i w:val="0"/>
          <w:color w:val="B23A48"/>
        </w:rPr>
        <w:t xml:space="preserve">3. </w:t>
      </w:r>
      <w:r>
        <w:rPr>
          <w:b/>
          <w:i w:val="0"/>
        </w:rPr>
        <w:t xml:space="preserve">Registro de preços: julgamento por lote (grupo de itens) </w:t>
      </w:r>
      <w:r>
        <w:rPr>
          <w:b w:val="0"/>
          <w:i w:val="0"/>
          <w:color w:val="B23A48"/>
        </w:rPr>
        <w:t xml:space="preserve">(gravidade alta, item 3.3): </w:t>
      </w:r>
      <w:r>
        <w:rPr>
          <w:b w:val="0"/>
          <w:i w:val="0"/>
        </w:rPr>
        <w:t>Quanto à ata e aos contratos já formados, adotar no gerenciamento a conferência do preço de cada item e a pesquisa prévia (art. 82, § 2º) a cada contratação. Nos próximos certames, licitar por item (ou por grupos de afinidade demonstrada), fixar preços unitários máximos no edital e justificar o agrupamento no ETP.</w:t>
      </w:r>
    </w:p>
    <w:p>
      <w:pPr>
        <w:spacing w:before="0" w:after="80" w:line="360" w:lineRule="auto"/>
        <w:ind w:left="425" w:hanging="425"/>
        <w:jc w:val="both"/>
      </w:pPr>
      <w:r>
        <w:rPr>
          <w:b/>
          <w:i w:val="0"/>
          <w:color w:val="B23A48"/>
        </w:rPr>
        <w:t xml:space="preserve">4. </w:t>
      </w:r>
      <w:r>
        <w:rPr>
          <w:b/>
          <w:i w:val="0"/>
        </w:rPr>
        <w:t xml:space="preserve">Orçamento estimado sem pesquisa de preços demonstrada </w:t>
      </w:r>
      <w:r>
        <w:rPr>
          <w:b w:val="0"/>
          <w:i w:val="0"/>
          <w:color w:val="B23A48"/>
        </w:rPr>
        <w:t xml:space="preserve">(gravidade alta, item 3.4): </w:t>
      </w:r>
      <w:r>
        <w:rPr>
          <w:b w:val="0"/>
          <w:i w:val="0"/>
        </w:rPr>
        <w:t>Anexar ao processo a pesquisa de preços (contratações similares do PNCP, outras fontes, atas), a composição do BDI e a memória sobre combustível e disponibilidade. Rever os preços de referência antes de qualquer prorrogação da ata ou do contrato.</w:t>
      </w:r>
    </w:p>
    <w:p>
      <w:pPr>
        <w:spacing w:before="0" w:after="80" w:line="360" w:lineRule="auto"/>
        <w:ind w:left="425" w:hanging="425"/>
        <w:jc w:val="both"/>
      </w:pPr>
      <w:r>
        <w:rPr>
          <w:b/>
          <w:i w:val="0"/>
          <w:color w:val="B23A48"/>
        </w:rPr>
        <w:t xml:space="preserve">5. </w:t>
      </w:r>
      <w:r>
        <w:rPr>
          <w:b/>
          <w:i w:val="0"/>
        </w:rPr>
        <w:t xml:space="preserve">Linhas duplicadas com descrição idêntica e preços muito diferentes (risco de jogo de planilha) </w:t>
      </w:r>
      <w:r>
        <w:rPr>
          <w:b w:val="0"/>
          <w:i w:val="0"/>
          <w:color w:val="B23A48"/>
        </w:rPr>
        <w:t xml:space="preserve">(gravidade alta, item 3.5): </w:t>
      </w:r>
      <w:r>
        <w:rPr>
          <w:b w:val="0"/>
          <w:i w:val="0"/>
        </w:rPr>
        <w:t>Definir no TR o que cada linha remunera (e se uma delas é cota reservada) e a regra de medição de cada uma, ou unificar as linhas. Explicar a diferença de preço ou rever o orçamento, e fixar preços unitários máximos.</w:t>
      </w:r>
    </w:p>
    <w:p>
      <w:pPr>
        <w:spacing w:before="0" w:after="80" w:line="360" w:lineRule="auto"/>
        <w:ind w:left="425" w:hanging="425"/>
        <w:jc w:val="both"/>
      </w:pPr>
      <w:r>
        <w:rPr>
          <w:b/>
          <w:i w:val="0"/>
          <w:color w:val="C9781E"/>
        </w:rPr>
        <w:t xml:space="preserve">6. </w:t>
      </w:r>
      <w:r>
        <w:rPr>
          <w:b/>
          <w:i w:val="0"/>
        </w:rPr>
        <w:t xml:space="preserve">Índice de reajuste com data-base no orçamento </w:t>
      </w:r>
      <w:r>
        <w:rPr>
          <w:b w:val="0"/>
          <w:i w:val="0"/>
          <w:color w:val="C9781E"/>
        </w:rPr>
        <w:t xml:space="preserve">(gravidade média, item 3.6): </w:t>
      </w:r>
      <w:r>
        <w:rPr>
          <w:b w:val="0"/>
          <w:i w:val="0"/>
        </w:rPr>
        <w:t>Justificar tecnicamente o INCC-M ou adotar índice mais aderente (por exemplo, índice de preços ao consumidor/transporte ou cesta com índices específicos por insumo). Preencher a minuta de contrato com o mesmo índice, prazo e data-base do edital.</w:t>
      </w:r>
    </w:p>
    <w:p>
      <w:pPr>
        <w:spacing w:before="0" w:after="80" w:line="360" w:lineRule="auto"/>
        <w:ind w:left="425" w:hanging="425"/>
        <w:jc w:val="both"/>
      </w:pPr>
      <w:r>
        <w:rPr>
          <w:b/>
          <w:i w:val="0"/>
          <w:color w:val="C9781E"/>
        </w:rPr>
        <w:t xml:space="preserve">7. </w:t>
      </w:r>
      <w:r>
        <w:rPr>
          <w:b/>
          <w:i w:val="0"/>
        </w:rPr>
        <w:t xml:space="preserve">Qualificação econômico-financeira </w:t>
      </w:r>
      <w:r>
        <w:rPr>
          <w:b w:val="0"/>
          <w:i w:val="0"/>
          <w:color w:val="C9781E"/>
        </w:rPr>
        <w:t xml:space="preserve">(gravidade média, item 3.7): </w:t>
      </w:r>
      <w:r>
        <w:rPr>
          <w:b w:val="0"/>
          <w:i w:val="0"/>
        </w:rPr>
        <w:t>Justificar no ETP/TR os índices adotados com base no mercado do objeto, uniformizar a redação (patrimônio líquido ou capital mínimo, a ser escolhido pelo órgão) e retirar ou incluir no edital a declaração contábil do TR 9.34.</w:t>
      </w:r>
    </w:p>
    <w:p>
      <w:pPr>
        <w:spacing w:before="0" w:after="80" w:line="360" w:lineRule="auto"/>
        <w:ind w:left="425" w:hanging="425"/>
        <w:jc w:val="both"/>
      </w:pPr>
      <w:r>
        <w:rPr>
          <w:b/>
          <w:i w:val="0"/>
          <w:color w:val="C9781E"/>
        </w:rPr>
        <w:t xml:space="preserve">8. </w:t>
      </w:r>
      <w:r>
        <w:rPr>
          <w:b/>
          <w:i w:val="0"/>
        </w:rPr>
        <w:t xml:space="preserve">Participação em consórcio </w:t>
      </w:r>
      <w:r>
        <w:rPr>
          <w:b w:val="0"/>
          <w:i w:val="0"/>
          <w:color w:val="C9781E"/>
        </w:rPr>
        <w:t xml:space="preserve">(gravidade média, item 3.8): </w:t>
      </w:r>
      <w:r>
        <w:rPr>
          <w:b w:val="0"/>
          <w:i w:val="0"/>
        </w:rPr>
        <w:t>Complementar a motivação com dados concretos (número de locadoras aptas a executar sozinhas todos os itens, ausência de ganho competitivo) ou admitir consórcio com as regras do art. 15. Corrigir o item 9.15 do TR.</w:t>
      </w:r>
    </w:p>
    <w:p>
      <w:pPr>
        <w:spacing w:before="0" w:after="80" w:line="360" w:lineRule="auto"/>
        <w:ind w:left="425" w:hanging="425"/>
        <w:jc w:val="both"/>
      </w:pPr>
      <w:r>
        <w:rPr>
          <w:b/>
          <w:i w:val="0"/>
          <w:color w:val="C9781E"/>
        </w:rPr>
        <w:t xml:space="preserve">9. </w:t>
      </w:r>
      <w:r>
        <w:rPr>
          <w:b/>
          <w:i w:val="0"/>
        </w:rPr>
        <w:t xml:space="preserve">Tratamento diferenciado a ME e EPP </w:t>
      </w:r>
      <w:r>
        <w:rPr>
          <w:b w:val="0"/>
          <w:i w:val="0"/>
          <w:color w:val="C9781E"/>
        </w:rPr>
        <w:t xml:space="preserve">(gravidade média, item 3.9): </w:t>
      </w:r>
      <w:r>
        <w:rPr>
          <w:b w:val="0"/>
          <w:i w:val="0"/>
        </w:rPr>
        <w:t>Definir o critério (por item ou por grupo) e explicitar se há cota reservada de até 25% ou afastamento justificado, citando o art. 4º, § 1º, e a LC 123. Corrigir a referência a R$ 80.000,00.</w:t>
      </w:r>
    </w:p>
    <w:p>
      <w:pPr>
        <w:spacing w:before="0" w:after="80" w:line="360" w:lineRule="auto"/>
        <w:ind w:left="425" w:hanging="425"/>
        <w:jc w:val="both"/>
      </w:pPr>
      <w:r>
        <w:rPr>
          <w:b/>
          <w:i w:val="0"/>
          <w:color w:val="C9781E"/>
        </w:rPr>
        <w:t xml:space="preserve">10. </w:t>
      </w:r>
      <w:r>
        <w:rPr>
          <w:b/>
          <w:i w:val="0"/>
        </w:rPr>
        <w:t xml:space="preserve">Minuta de contrato como anexo e cláusulas necessárias </w:t>
      </w:r>
      <w:r>
        <w:rPr>
          <w:b w:val="0"/>
          <w:i w:val="0"/>
          <w:color w:val="C9781E"/>
        </w:rPr>
        <w:t xml:space="preserve">(gravidade média, item 3.10): </w:t>
      </w:r>
      <w:r>
        <w:rPr>
          <w:b w:val="0"/>
          <w:i w:val="0"/>
        </w:rPr>
        <w:t>Adaptar a minuta ao objeto: fixar vigência, valor por item, índice e data-base, suprimir cláusulas e instruções não aplicáveis, corrigir remissões e numeração, remover a garantia e incluir a alocação de riscos e as obrigações específicas de locação.</w:t>
      </w:r>
    </w:p>
    <w:p>
      <w:pPr>
        <w:spacing w:before="0" w:after="80" w:line="360" w:lineRule="auto"/>
        <w:ind w:left="425" w:hanging="425"/>
        <w:jc w:val="both"/>
      </w:pPr>
      <w:r>
        <w:rPr>
          <w:b/>
          <w:i w:val="0"/>
          <w:color w:val="C9781E"/>
        </w:rPr>
        <w:t xml:space="preserve">11. </w:t>
      </w:r>
      <w:r>
        <w:rPr>
          <w:b/>
          <w:i w:val="0"/>
        </w:rPr>
        <w:t xml:space="preserve">Registro de preços: quantidades e vigência da ata </w:t>
      </w:r>
      <w:r>
        <w:rPr>
          <w:b w:val="0"/>
          <w:i w:val="0"/>
          <w:color w:val="C9781E"/>
        </w:rPr>
        <w:t xml:space="preserve">(gravidade média, item 3.11): </w:t>
      </w:r>
      <w:r>
        <w:rPr>
          <w:b w:val="0"/>
          <w:i w:val="0"/>
        </w:rPr>
        <w:t>Reescrever o 4.1.1 distinguindo a quantidade máxima registrada do limite por contratação. Completar a memória de cálculo (nº de veículos de cada tipo, horas por veículo, explicação das linhas 80/20 e dos micro-ônibus).</w:t>
      </w:r>
    </w:p>
    <w:p>
      <w:pPr>
        <w:spacing w:before="0" w:after="80" w:line="360" w:lineRule="auto"/>
        <w:ind w:left="425" w:hanging="425"/>
        <w:jc w:val="both"/>
      </w:pPr>
      <w:r>
        <w:rPr>
          <w:b/>
          <w:i w:val="0"/>
          <w:color w:val="C9781E"/>
        </w:rPr>
        <w:t xml:space="preserve">12. </w:t>
      </w:r>
      <w:r>
        <w:rPr>
          <w:b/>
          <w:i w:val="0"/>
        </w:rPr>
        <w:t xml:space="preserve">Coerência interna do edital e dos anexos </w:t>
      </w:r>
      <w:r>
        <w:rPr>
          <w:b w:val="0"/>
          <w:i w:val="0"/>
          <w:color w:val="C9781E"/>
        </w:rPr>
        <w:t xml:space="preserve">(gravidade média, item 3.12): </w:t>
      </w:r>
      <w:r>
        <w:rPr>
          <w:b w:val="0"/>
          <w:i w:val="0"/>
        </w:rPr>
        <w:t>Elaborar quadro único de datas, critério de julgamento, grupos, índice, vigência, prazo de pagamento e garantia e corrigir todas as peças. Para os atos já praticados, esclarecer as divergências no gerenciamento da ata.</w:t>
      </w:r>
    </w:p>
    <w:p>
      <w:pPr>
        <w:spacing w:before="0" w:after="80" w:line="360" w:lineRule="auto"/>
        <w:ind w:left="425" w:hanging="425"/>
        <w:jc w:val="both"/>
      </w:pPr>
      <w:r>
        <w:rPr>
          <w:b/>
          <w:i w:val="0"/>
          <w:color w:val="C9781E"/>
        </w:rPr>
        <w:t xml:space="preserve">13. </w:t>
      </w:r>
      <w:r>
        <w:rPr>
          <w:b/>
          <w:i w:val="0"/>
        </w:rPr>
        <w:t xml:space="preserve">Vedação ampla a licitantes com servidores e ex-ocupantes de cargos do Município </w:t>
      </w:r>
      <w:r>
        <w:rPr>
          <w:b w:val="0"/>
          <w:i w:val="0"/>
          <w:color w:val="C9781E"/>
        </w:rPr>
        <w:t xml:space="preserve">(gravidade média, item 3.13): </w:t>
      </w:r>
      <w:r>
        <w:rPr>
          <w:b w:val="0"/>
          <w:i w:val="0"/>
        </w:rPr>
        <w:t>Restringir a vedação às hipóteses legais (agentes do órgão licitante ou contratante e conflito de interesses) e, se mantida a quarentena, justificá-la com base normativa.</w:t>
      </w:r>
    </w:p>
    <w:p>
      <w:pPr>
        <w:spacing w:before="0" w:after="80" w:line="360" w:lineRule="auto"/>
        <w:ind w:left="425" w:hanging="425"/>
        <w:jc w:val="both"/>
      </w:pPr>
      <w:r>
        <w:rPr>
          <w:b/>
          <w:i w:val="0"/>
          <w:color w:val="C9781E"/>
        </w:rPr>
        <w:t xml:space="preserve">14. </w:t>
      </w:r>
      <w:r>
        <w:rPr>
          <w:b/>
          <w:i w:val="0"/>
        </w:rPr>
        <w:t xml:space="preserve">Certidão de IPTU e regras específicas para licitantes locais e com filial em Maricá </w:t>
      </w:r>
      <w:r>
        <w:rPr>
          <w:b w:val="0"/>
          <w:i w:val="0"/>
          <w:color w:val="C9781E"/>
        </w:rPr>
        <w:t xml:space="preserve">(gravidade média, item 3.14): </w:t>
      </w:r>
      <w:r>
        <w:rPr>
          <w:b w:val="0"/>
          <w:i w:val="0"/>
        </w:rPr>
        <w:t>Retirar a exigência do IPTU e a de certidões da filial, mantendo a regularidade fiscal no domicílio ou sede, ou justificar o vínculo com o objeto.</w:t>
      </w:r>
    </w:p>
    <w:p>
      <w:pPr>
        <w:spacing w:before="0" w:after="80" w:line="360" w:lineRule="auto"/>
        <w:ind w:left="425" w:hanging="425"/>
        <w:jc w:val="both"/>
      </w:pPr>
      <w:r>
        <w:rPr>
          <w:b/>
          <w:i w:val="0"/>
          <w:color w:val="C9781E"/>
        </w:rPr>
        <w:t xml:space="preserve">15. </w:t>
      </w:r>
      <w:r>
        <w:rPr>
          <w:b/>
          <w:i w:val="0"/>
        </w:rPr>
        <w:t xml:space="preserve">Exigência de CTF do licitante e do "fabricante/indústria" como condição de aceitação, em prazo de 2 horas </w:t>
      </w:r>
      <w:r>
        <w:rPr>
          <w:b w:val="0"/>
          <w:i w:val="0"/>
          <w:color w:val="C9781E"/>
        </w:rPr>
        <w:t xml:space="preserve">(gravidade média, item 3.15): </w:t>
      </w:r>
      <w:r>
        <w:rPr>
          <w:b w:val="0"/>
          <w:i w:val="0"/>
        </w:rPr>
        <w:t>Verificar se alguma categoria do Anexo I da IN IBAMA nº 13/2021 se aplica à atividade de locação. Se não se aplicar, excluir a exigência. Se aplicar, indicar a categoria e exigir só o registro do licitante, com prazo razoável.</w:t>
      </w:r>
    </w:p>
    <w:p>
      <w:pPr>
        <w:spacing w:before="0" w:after="80" w:line="360" w:lineRule="auto"/>
        <w:ind w:left="425" w:hanging="425"/>
        <w:jc w:val="both"/>
      </w:pPr>
      <w:r>
        <w:rPr>
          <w:b/>
          <w:i w:val="0"/>
          <w:color w:val="C9781E"/>
        </w:rPr>
        <w:t xml:space="preserve">16. </w:t>
      </w:r>
      <w:r>
        <w:rPr>
          <w:b/>
          <w:i w:val="0"/>
        </w:rPr>
        <w:t xml:space="preserve">Multas de trânsito atribuídas à Contratante "através de seus condutores" quando os motoristas são da Contratada </w:t>
      </w:r>
      <w:r>
        <w:rPr>
          <w:b w:val="0"/>
          <w:i w:val="0"/>
          <w:color w:val="C9781E"/>
        </w:rPr>
        <w:t xml:space="preserve">(gravidade média, item 3.16): </w:t>
      </w:r>
      <w:r>
        <w:rPr>
          <w:b w:val="0"/>
          <w:i w:val="0"/>
        </w:rPr>
        <w:t>Adequar a cláusula ao objeto: infrações cometidas pelos motoristas da Contratada são de sua responsabilidade, ficando com a Contratante apenas as que decorram de determinação específica do órgão.</w:t>
      </w:r>
    </w:p>
    <w:p>
      <w:pPr>
        <w:spacing w:before="0" w:after="80" w:line="360" w:lineRule="auto"/>
        <w:ind w:left="425" w:hanging="425"/>
        <w:jc w:val="both"/>
      </w:pPr>
      <w:r>
        <w:rPr>
          <w:b/>
          <w:i w:val="0"/>
          <w:color w:val="3D8FA6"/>
        </w:rPr>
        <w:t xml:space="preserve">17. </w:t>
      </w:r>
      <w:r>
        <w:rPr>
          <w:b/>
          <w:i w:val="0"/>
        </w:rPr>
        <w:t xml:space="preserve">Critério de reajuste em serviços contínuos </w:t>
      </w:r>
      <w:r>
        <w:rPr>
          <w:b w:val="0"/>
          <w:i w:val="0"/>
          <w:color w:val="3D8FA6"/>
        </w:rPr>
        <w:t xml:space="preserve">(gravidade baixa, item 3.17): </w:t>
      </w:r>
      <w:r>
        <w:rPr>
          <w:b w:val="0"/>
          <w:i w:val="0"/>
        </w:rPr>
        <w:t>Excluir da minuta as alternativas não aplicáveis (escopo e dedicação exclusiva) e as instruções entre colchetes, mantendo apenas o reajustamento por índice previsto no edital.</w:t>
      </w:r>
    </w:p>
    <w:p>
      <w:pPr>
        <w:spacing w:before="0" w:after="80" w:line="360" w:lineRule="auto"/>
        <w:ind w:left="425" w:hanging="425"/>
        <w:jc w:val="both"/>
      </w:pPr>
      <w:r>
        <w:rPr>
          <w:b/>
          <w:i w:val="0"/>
          <w:color w:val="3D8FA6"/>
        </w:rPr>
        <w:t xml:space="preserve">18. </w:t>
      </w:r>
      <w:r>
        <w:rPr>
          <w:b/>
          <w:i w:val="0"/>
        </w:rPr>
        <w:t xml:space="preserve">Impugnação e esclarecimentos </w:t>
      </w:r>
      <w:r>
        <w:rPr>
          <w:b w:val="0"/>
          <w:i w:val="0"/>
          <w:color w:val="3D8FA6"/>
        </w:rPr>
        <w:t xml:space="preserve">(gravidade baixa, item 3.18): </w:t>
      </w:r>
      <w:r>
        <w:rPr>
          <w:b w:val="0"/>
          <w:i w:val="0"/>
        </w:rPr>
        <w:t>Acrescentar "limitado ao último dia útil anterior à data de abertura do certame" e a divulgação das respostas às impugnações no PNCP/sistema. Incluir canal eletrônico do sistema ou e-mail institucional.</w:t>
      </w:r>
    </w:p>
    <w:p>
      <w:pPr>
        <w:spacing w:before="0" w:after="80" w:line="360" w:lineRule="auto"/>
        <w:ind w:left="425" w:hanging="425"/>
        <w:jc w:val="both"/>
      </w:pPr>
      <w:r>
        <w:rPr>
          <w:b/>
          <w:i w:val="0"/>
          <w:color w:val="3D8FA6"/>
        </w:rPr>
        <w:t xml:space="preserve">19. </w:t>
      </w:r>
      <w:r>
        <w:rPr>
          <w:b/>
          <w:i w:val="0"/>
        </w:rPr>
        <w:t xml:space="preserve">Recursos administrativos </w:t>
      </w:r>
      <w:r>
        <w:rPr>
          <w:b w:val="0"/>
          <w:i w:val="0"/>
          <w:color w:val="3D8FA6"/>
        </w:rPr>
        <w:t xml:space="preserve">(gravidade baixa, item 3.19): </w:t>
      </w:r>
      <w:r>
        <w:rPr>
          <w:b w:val="0"/>
          <w:i w:val="0"/>
        </w:rPr>
        <w:t>Excluir o item 14.5 e dispor que a falta de razões no prazo implica a deserção do recurso.</w:t>
      </w:r>
    </w:p>
    <w:p>
      <w:pPr>
        <w:spacing w:before="0" w:after="80" w:line="360" w:lineRule="auto"/>
        <w:ind w:left="425" w:hanging="425"/>
        <w:jc w:val="both"/>
      </w:pPr>
      <w:r>
        <w:rPr>
          <w:b/>
          <w:i w:val="0"/>
          <w:color w:val="3D8FA6"/>
        </w:rPr>
        <w:t xml:space="preserve">20. </w:t>
      </w:r>
      <w:r>
        <w:rPr>
          <w:b/>
          <w:i w:val="0"/>
        </w:rPr>
        <w:t xml:space="preserve">Sanções e multas </w:t>
      </w:r>
      <w:r>
        <w:rPr>
          <w:b w:val="0"/>
          <w:i w:val="0"/>
          <w:color w:val="3D8FA6"/>
        </w:rPr>
        <w:t xml:space="preserve">(gravidade baixa, item 3.20): </w:t>
      </w:r>
      <w:r>
        <w:rPr>
          <w:b w:val="0"/>
          <w:i w:val="0"/>
        </w:rPr>
        <w:t>Revisar a tabela de gradação (mínimo e máximo por infração), corrigir os rótulos de percentual e estabelecer teto claro à multa de mora.</w:t>
      </w:r>
    </w:p>
    <w:p>
      <w:pPr>
        <w:spacing w:before="0" w:after="80" w:line="360" w:lineRule="auto"/>
        <w:ind w:left="425" w:hanging="425"/>
        <w:jc w:val="both"/>
      </w:pPr>
      <w:r>
        <w:rPr>
          <w:b/>
          <w:i w:val="0"/>
          <w:color w:val="3D8FA6"/>
        </w:rPr>
        <w:t xml:space="preserve">21. </w:t>
      </w:r>
      <w:r>
        <w:rPr>
          <w:b/>
          <w:i w:val="0"/>
        </w:rPr>
        <w:t xml:space="preserve">Vigência e prorrogação de serviços contínuos </w:t>
      </w:r>
      <w:r>
        <w:rPr>
          <w:b w:val="0"/>
          <w:i w:val="0"/>
          <w:color w:val="3D8FA6"/>
        </w:rPr>
        <w:t xml:space="preserve">(gravidade baixa, item 3.21): </w:t>
      </w:r>
      <w:r>
        <w:rPr>
          <w:b w:val="0"/>
          <w:i w:val="0"/>
        </w:rPr>
        <w:t>Incluir no item 7.2.1 a condição de vantajosidade, uniformizar a contagem da vigência com a minuta e justificar no ETP o caráter contínuo da demanda.</w:t>
      </w:r>
    </w:p>
    <w:p>
      <w:pPr>
        <w:spacing w:before="0" w:after="80" w:line="360" w:lineRule="auto"/>
        <w:ind w:left="425" w:hanging="425"/>
        <w:jc w:val="both"/>
      </w:pPr>
      <w:r>
        <w:rPr>
          <w:b/>
          <w:i w:val="0"/>
          <w:color w:val="3D8FA6"/>
        </w:rPr>
        <w:t xml:space="preserve">22. </w:t>
      </w:r>
      <w:r>
        <w:rPr>
          <w:b/>
          <w:i w:val="0"/>
        </w:rPr>
        <w:t xml:space="preserve">Exigência de via física original ou autenticada e de firma reconhecida na procuração </w:t>
      </w:r>
      <w:r>
        <w:rPr>
          <w:b w:val="0"/>
          <w:i w:val="0"/>
          <w:color w:val="3D8FA6"/>
        </w:rPr>
        <w:t xml:space="preserve">(gravidade baixa, item 3.22): </w:t>
      </w:r>
      <w:r>
        <w:rPr>
          <w:b w:val="0"/>
          <w:i w:val="0"/>
        </w:rPr>
        <w:t>Condicionar a exigência a dúvida fundamentada, aceitar certidões e documentos digitais com assinatura eletrônica e a verificação em sítio oficial, e dispensar o reconhecimento de firma salvo imposição legal.</w:t>
      </w:r>
    </w:p>
    <w:p>
      <w:pPr>
        <w:spacing w:before="0" w:after="80" w:line="360" w:lineRule="auto"/>
        <w:ind w:left="425" w:hanging="425"/>
        <w:jc w:val="both"/>
      </w:pPr>
      <w:r>
        <w:rPr>
          <w:b/>
          <w:i w:val="0"/>
          <w:color w:val="3D8FA6"/>
        </w:rPr>
        <w:t xml:space="preserve">23. </w:t>
      </w:r>
      <w:r>
        <w:rPr>
          <w:b/>
          <w:i w:val="0"/>
        </w:rPr>
        <w:t xml:space="preserve">Participação de cooperativas tratada como consórcio e texto de modelo sobre contribuição previdenciária </w:t>
      </w:r>
      <w:r>
        <w:rPr>
          <w:b w:val="0"/>
          <w:i w:val="0"/>
          <w:color w:val="3D8FA6"/>
        </w:rPr>
        <w:t xml:space="preserve">(gravidade baixa, item 3.23): </w:t>
      </w:r>
      <w:r>
        <w:rPr>
          <w:b w:val="0"/>
          <w:i w:val="0"/>
        </w:rPr>
        <w:t>Revisar o TR 9.15 para tratar a cooperativa sem remeter a consórcio e excluir os itens 10.4 e 10.4.1 se não se aplicarem ao objeto.</w:t>
      </w:r>
    </w:p>
    <w:p>
      <w:pPr>
        <w:spacing w:before="120" w:after="120" w:line="360" w:lineRule="auto"/>
        <w:ind w:firstLine="709"/>
        <w:jc w:val="both"/>
      </w:pPr>
      <w:r>
        <w:rPr>
          <w:b w:val="0"/>
          <w:i w:val="0"/>
        </w:rPr>
        <w:t>Todos os aspectos identificados foram informados, inclusive os de baixa vulnerabilidade, para que o destinatário disponha de visão completa do processo. Trata-se de parecer técnico de natureza opinativa: as recomendações não o vinculam, e a decisão de promover os ajustes ou manter os documentos como estão compete exclusivamente a quem recebe este parecer, sob sua responsabilidade (STF, MS 24.631/DF; art. 28 do Decreto-Lei nº 4.657/1942). Este parecer não substitui o parecer jurídico de controle prévio de legalidade (art. 53 da Lei nº 14.133/2021).</w:t>
      </w:r>
    </w:p>
    <w:p>
      <w:pPr>
        <w:spacing w:before="0" w:after="360" w:line="360" w:lineRule="auto"/>
        <w:ind w:firstLine="709"/>
        <w:jc w:val="both"/>
      </w:pPr>
      <w:r>
        <w:rPr>
          <w:b w:val="0"/>
          <w:i w:val="0"/>
        </w:rPr>
        <w:t>É o parecer técnico, de caráter opinativo, salvo melhor juízo.</w:t>
      </w:r>
    </w:p>
    <w:p>
      <w:pPr>
        <w:spacing w:before="0" w:after="720" w:line="360" w:lineRule="auto"/>
        <w:ind w:firstLine="0"/>
        <w:jc w:val="right"/>
      </w:pPr>
      <w:r>
        <w:rPr>
          <w:b w:val="0"/>
          <w:i w:val="0"/>
        </w:rPr>
        <w:t>Maricá (RJ), 29 de outubro de 2026.</w:t>
      </w:r>
    </w:p>
    <w:p>
      <w:pPr>
        <w:spacing w:before="0" w:after="0" w:line="240" w:lineRule="auto"/>
        <w:ind w:firstLine="0"/>
        <w:jc w:val="center"/>
      </w:pPr>
      <w:r>
        <w:rPr>
          <w:b w:val="0"/>
          <w:i w:val="0"/>
          <w:color w:val="D9DEE2"/>
        </w:rPr>
        <w:t>__________________________________________</w:t>
      </w:r>
    </w:p>
    <w:p>
      <w:pPr>
        <w:spacing w:before="0" w:after="0" w:line="276" w:lineRule="auto"/>
        <w:ind w:firstLine="0"/>
        <w:jc w:val="center"/>
      </w:pPr>
      <w:r>
        <w:rPr>
          <w:b/>
          <w:i w:val="0"/>
          <w:sz w:val="22"/>
        </w:rPr>
        <w:t>Agente Licitacon</w:t>
      </w:r>
    </w:p>
    <w:p>
      <w:pPr>
        <w:spacing w:before="0" w:after="0" w:line="276" w:lineRule="auto"/>
        <w:ind w:firstLine="0"/>
        <w:jc w:val="center"/>
      </w:pPr>
      <w:r>
        <w:rPr>
          <w:b w:val="0"/>
          <w:i w:val="0"/>
          <w:color w:val="66757F"/>
          <w:sz w:val="19"/>
        </w:rPr>
        <w:t>Análise técnica automatizada em licitações e contratos</w:t>
      </w:r>
    </w:p>
    <w:p>
      <w:r>
        <w:br w:type="page"/>
      </w:r>
    </w:p>
    <w:p>
      <w:pPr>
        <w:pStyle w:val="Heading1"/>
        <w:keepNext/>
        <w:spacing w:before="360" w:after="160" w:line="360" w:lineRule="auto"/>
        <w:ind w:firstLine="0"/>
        <w:jc w:val="center"/>
      </w:pPr>
      <w:r>
        <w:rPr>
          <w:rFonts w:ascii="Arial" w:hAnsi="Arial"/>
          <w:b/>
          <w:i w:val="0"/>
          <w:color w:val="12324A"/>
          <w:sz w:val="24"/>
        </w:rPr>
        <w:t>REFERÊNCIAS</w:t>
      </w:r>
    </w:p>
    <w:p>
      <w:pPr>
        <w:spacing w:before="0" w:after="240" w:line="240" w:lineRule="auto"/>
        <w:ind w:firstLine="0"/>
        <w:jc w:val="left"/>
      </w:pPr>
      <w:r>
        <w:rPr>
          <w:b w:val="0"/>
          <w:i w:val="0"/>
          <w:sz w:val="22"/>
        </w:rPr>
        <w:t>BRASIL. Decreto-Lei nº 4.657, de 4 de setembro de 1942. Lei de Introdução às Normas do Direito Brasileiro. Redação dada pela Lei nº 13.655, de 25 de abril de 2018. Disponível em: https://www.planalto.gov.br/ccivil_03/decreto-lei/del4657compilado.htm. Acesso em: 29 out. 2026.</w:t>
      </w:r>
    </w:p>
    <w:p>
      <w:pPr>
        <w:spacing w:before="0" w:after="240" w:line="240" w:lineRule="auto"/>
        <w:ind w:firstLine="0"/>
        <w:jc w:val="left"/>
      </w:pPr>
      <w:r>
        <w:rPr>
          <w:b w:val="0"/>
          <w:i w:val="0"/>
          <w:sz w:val="22"/>
        </w:rPr>
        <w:t>BRASIL. Lei nº 14.133, de 1º de abril de 2021. Lei de Licitações e Contratos Administrativos. Diário Oficial da União: seção 1, Brasília, DF, 1 abr. 2021. Disponível em: https://www.planalto.gov.br/ccivil_03/_ato2019-2022/2021/lei/l14133.htm. Acesso em: 29 out. 2026.</w:t>
      </w:r>
    </w:p>
    <w:p>
      <w:pPr>
        <w:spacing w:before="0" w:after="240" w:line="240" w:lineRule="auto"/>
        <w:ind w:firstLine="0"/>
        <w:jc w:val="left"/>
      </w:pPr>
      <w:r>
        <w:rPr>
          <w:b w:val="0"/>
          <w:i w:val="0"/>
          <w:sz w:val="22"/>
        </w:rPr>
        <w:t>BRASIL. Lei nº 9.784, de 29 de janeiro de 1999. Regula o processo administrativo no âmbito da Administração Pública Federal. Disponível em: https://www.planalto.gov.br/ccivil_03/leis/l9784.htm. Acesso em: 29 out. 2026.</w:t>
      </w:r>
    </w:p>
    <w:p>
      <w:pPr>
        <w:spacing w:before="0" w:after="240" w:line="240" w:lineRule="auto"/>
        <w:ind w:firstLine="0"/>
        <w:jc w:val="left"/>
      </w:pPr>
      <w:r>
        <w:rPr>
          <w:b w:val="0"/>
          <w:i w:val="0"/>
          <w:sz w:val="22"/>
        </w:rPr>
        <w:t>BRASIL. Supremo Tribunal Federal (Plenário). Mandado de Segurança nº 24.631/DF. Relator: Min. Joaquim Barbosa. Julgado em 9 ago. 2007. Diário da Justiça, Brasília, DF, 1 fev. 2008.</w:t>
      </w:r>
    </w:p>
    <w:p>
      <w:pPr>
        <w:spacing w:before="0" w:after="240" w:line="240" w:lineRule="auto"/>
        <w:ind w:firstLine="0"/>
        <w:jc w:val="left"/>
      </w:pPr>
      <w:r>
        <w:rPr>
          <w:b w:val="0"/>
          <w:i w:val="0"/>
          <w:sz w:val="22"/>
        </w:rPr>
        <w:t>BRASIL. Tribunal de Contas da União (Plenário). Acórdão 2921/2026-Plenário – TC 021.316/2026-0. Relator: Ministro(a) Jhonatan de Jesus. Julgado em 21 out. 2026. TCU – Pesquisa de acórdãos. Disponível em: https://pesquisa.apps.tcu.gov.br/documento/acordao-completo/*/KEY%253AACORDAO-COMPLETO-2783491/score%2520desc/0. Acesso em: 29 out. 2026.</w:t>
      </w:r>
    </w:p>
    <w:p>
      <w:pPr>
        <w:spacing w:before="0" w:after="240" w:line="240" w:lineRule="auto"/>
        <w:ind w:firstLine="0"/>
        <w:jc w:val="left"/>
      </w:pPr>
      <w:r>
        <w:rPr>
          <w:b w:val="0"/>
          <w:i w:val="0"/>
          <w:sz w:val="22"/>
        </w:rPr>
        <w:t>BRASIL. Tribunal de Contas da União (Plenário). Súmula TCU 247. Relator: Ministro(a) Marcos Vinicios Vilaça. Julgado em 1 jan. 2004. TCU – Súmulas. Disponível em: https://pesquisa.apps.tcu.gov.br/documento/sumula/*/KEY%253ASUMULA-EJURIS-34240/score%2520desc/0. Acesso em: 29 out. 2026.</w:t>
      </w:r>
    </w:p>
    <w:p>
      <w:pPr>
        <w:spacing w:before="0" w:after="240" w:line="240" w:lineRule="auto"/>
        <w:ind w:firstLine="0"/>
        <w:jc w:val="left"/>
      </w:pPr>
      <w:r>
        <w:rPr>
          <w:b w:val="0"/>
          <w:i w:val="0"/>
          <w:sz w:val="22"/>
        </w:rPr>
        <w:t>BRASIL. Tribunal de Contas da União (Plenário). Súmula TCU 289. Relator: Ministro(a) José Mucio Monteiro. Julgado em 1 jan. 2016. TCU – Súmulas. Disponível em: https://pesquisa.apps.tcu.gov.br/documento/sumula/*/KEY%253ASUMULA-EJURIS-1689/score%2520desc/0. Acesso em: 29 out. 2026.</w:t>
      </w:r>
    </w:p>
    <w:p>
      <w:pPr>
        <w:spacing w:before="0" w:after="240" w:line="240" w:lineRule="auto"/>
        <w:ind w:firstLine="0"/>
        <w:jc w:val="left"/>
      </w:pPr>
      <w:r>
        <w:rPr>
          <w:b w:val="0"/>
          <w:i w:val="0"/>
          <w:sz w:val="22"/>
        </w:rPr>
        <w:t>PREFEITURA MUNICIPAL DE MARICÁ – SECRETARIA DE PROTEÇÃO E DEFESA CIVIL. Edital e minutas (ata e contrato) — Pregão Eletrônico nº 21/2025 – SRP (Processo 2790/2025; PNCP 29131075000193-1-000221/2025). Disponível em: https://pncp.gov.br/app/editais/29131075000193/2025/221. Acesso em: 29 out. 2026.</w:t>
      </w:r>
    </w:p>
    <w:p>
      <w:pPr>
        <w:spacing w:before="0" w:after="240" w:line="240" w:lineRule="auto"/>
        <w:ind w:firstLine="0"/>
        <w:jc w:val="left"/>
      </w:pPr>
      <w:r>
        <w:rPr>
          <w:b w:val="0"/>
          <w:i w:val="0"/>
          <w:sz w:val="22"/>
        </w:rPr>
        <w:t>RIO DE JANEIRO (Estado). Tribunal de Contas do Estado do Rio de Janeiro (Plenário). Acórdão 19519/2026 – Processo 100.467-3/2026. Relator: Conselheiro José Gomes Graciosa. Julgado em 10 jun. 2026. TCE-RJ – Jurisprudência Selecionada. Disponível em: https://www.tcerj.tc.br/cadastro-publicacoes/public/jurisprudencia-selecionada. Acesso em: 29 out. 2026.</w:t>
      </w:r>
    </w:p>
    <w:p>
      <w:r>
        <w:br w:type="page"/>
      </w:r>
    </w:p>
    <w:p>
      <w:pPr>
        <w:pStyle w:val="Heading1"/>
        <w:keepNext/>
        <w:spacing w:before="360" w:after="160" w:line="360" w:lineRule="auto"/>
        <w:ind w:firstLine="0"/>
        <w:jc w:val="center"/>
      </w:pPr>
      <w:r>
        <w:rPr>
          <w:rFonts w:ascii="Arial" w:hAnsi="Arial"/>
          <w:b/>
          <w:i w:val="0"/>
          <w:color w:val="12324A"/>
          <w:sz w:val="24"/>
        </w:rPr>
        <w:t>APÊNDICE A – LISTA DE VERIFICAÇÃO</w:t>
      </w:r>
    </w:p>
    <w:p>
      <w:pPr>
        <w:spacing w:before="0" w:after="120" w:line="360" w:lineRule="auto"/>
        <w:ind w:firstLine="0"/>
        <w:jc w:val="both"/>
      </w:pPr>
      <w:r>
        <w:rPr>
          <w:b w:val="0"/>
          <w:i/>
          <w:color w:val="66757F"/>
          <w:sz w:val="20"/>
        </w:rPr>
        <w:t>Todos os itens do roteiro aplicados a este processo.</w:t>
      </w:r>
    </w:p>
    <w:tbl>
      <w:tblPr>
        <w:tblW w:type="auto" w:w="0"/>
        <w:jc w:val="center"/>
        <w:tblLook w:firstColumn="1" w:firstRow="1" w:lastColumn="0" w:lastRow="0" w:noHBand="0" w:noVBand="1" w:val="04A0"/>
      </w:tblPr>
      <w:tblGrid>
        <w:gridCol w:w="3515"/>
        <w:gridCol w:w="1701"/>
        <w:gridCol w:w="1587"/>
        <w:gridCol w:w="2268"/>
      </w:tblGrid>
      <w:tr>
        <w:tc>
          <w:tcPr>
            <w:tcW w:type="dxa" w:w="3515"/>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ITEM</w:t>
            </w:r>
          </w:p>
        </w:tc>
        <w:tc>
          <w:tcPr>
            <w:tcW w:type="dxa" w:w="1701"/>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DOCUMENTO</w:t>
            </w:r>
          </w:p>
        </w:tc>
        <w:tc>
          <w:tcPr>
            <w:tcW w:type="dxa" w:w="1587"/>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RESULTADO</w:t>
            </w:r>
          </w:p>
        </w:tc>
        <w:tc>
          <w:tcPr>
            <w:tcW w:type="dxa" w:w="2268"/>
            <w:shd w:val="clear" w:color="auto" w:fill="12324A"/>
            <w:tcMar>
              <w:top w:w="56" w:type="dxa"/>
              <w:left w:w="56" w:type="dxa"/>
              <w:bottom w:w="56" w:type="dxa"/>
              <w:right w:w="56" w:type="dxa"/>
            </w:tcMar>
            <w:tcBorders>
              <w:top w:val="nil"/>
              <w:left w:val="nil"/>
              <w:bottom w:val="nil"/>
              <w:right w:val="nil"/>
            </w:tcBorders>
          </w:tcPr>
          <w:p>
            <w:pPr>
              <w:spacing w:before="0" w:after="0" w:line="240" w:lineRule="auto"/>
              <w:ind w:firstLine="0"/>
              <w:jc w:val="left"/>
            </w:pPr>
            <w:r>
              <w:rPr>
                <w:b/>
                <w:i w:val="0"/>
                <w:color w:val="FFFFFF"/>
                <w:sz w:val="16"/>
              </w:rPr>
              <w:t>FUNDAMENTO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Prazo mínimo para apresentação de propostas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B23A48"/>
                <w:sz w:val="16"/>
              </w:rPr>
              <w:t xml:space="preserve">● </w:t>
            </w:r>
            <w:r>
              <w:rPr>
                <w:b/>
                <w:i w:val="0"/>
                <w:color w:val="B23A48"/>
                <w:sz w:val="16"/>
              </w:rPr>
              <w:t>Não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55; art. 183; art. 183, § 1º, inciso I</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julgamento por lote (grupo de itens)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B23A48"/>
                <w:sz w:val="16"/>
              </w:rPr>
              <w:t xml:space="preserve">● </w:t>
            </w:r>
            <w:r>
              <w:rPr>
                <w:b/>
                <w:i w:val="0"/>
                <w:color w:val="B23A48"/>
                <w:sz w:val="16"/>
              </w:rPr>
              <w:t>Não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82, § 1º; art. 82, § 2º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Coerência interna do edital e dos anexos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B23A48"/>
                <w:sz w:val="16"/>
              </w:rPr>
              <w:t xml:space="preserve">● </w:t>
            </w:r>
            <w:r>
              <w:rPr>
                <w:b/>
                <w:i w:val="0"/>
                <w:color w:val="B23A48"/>
                <w:sz w:val="16"/>
              </w:rPr>
              <w:t>Não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art. 18, inciso IX</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Índice de reajuste com data-base no orçamento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 § 7º; art. 92, § 3º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Critério de reajuste em serviços contínuos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 8º, inciso I; art. 25, § 8º, inciso II; art. 92, § 4º, inciso II; art. 135</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Qualificação técnica proporcional</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67, § 1º; art. 67, § 2º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Qualificação econômico-financeira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69; art. 69, § 2º; art. 69, § 4º; art. 69, § 5º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Participação em consórcio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Tratamento diferenciado a ME e EPP</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4; art. 4,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Impugnação e esclarecimentos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164; art. 164, Parágrafo único</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Recursos administrativos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165, inciso I; art. 165,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Sanções e multas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156; art. 156, § 3º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Minuta de contrato como anexo e cláusulas necessárias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18, inciso VI; art. 92</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Vigência e prorrogação de serviços contínuos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106; art. 107</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quantidades e vigência da ata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C9781E"/>
                <w:sz w:val="16"/>
              </w:rPr>
              <w:t xml:space="preserve">● </w:t>
            </w:r>
            <w:r>
              <w:rPr>
                <w:b/>
                <w:i w:val="0"/>
                <w:color w:val="C9781E"/>
                <w:sz w:val="16"/>
              </w:rPr>
              <w:t>Parcialmente 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82, inciso I; art. 84; art. 18, § 1º, inciso IV</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Orçamento estimado sem pesquisa de preços demonstrada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23; art. 18, inciso IV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Linhas duplicadas com descrição idêntica e preços muito diferentes (risco de jogo de planilha)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23; art. 18, inciso IV</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Vedação ampla a licitantes com servidores e ex-ocupantes de cargos do Município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9, § 1º; art. 14, inciso IV</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Exigência de via física original ou autenticada e de firma reconhecida na procuração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12, inciso IV; art. 12, inciso V</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Certidão de IPTU e regras específicas para licitantes locais e com filial em Maricá</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68, inciso III</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Exigência de CTF do licitante e do "fabricante/indústria" como condição de aceitação, em prazo de 2 horas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62</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Multas de trânsito atribuídas à Contratante "através de seus condutores" quando os motoristas são da Contratada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120</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Participação de cooperativas tratada como consórcio e texto de modelo sobre contribuição previdenciária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3D8FA6"/>
                <w:sz w:val="16"/>
              </w:rPr>
              <w:t xml:space="preserve">● </w:t>
            </w:r>
            <w:r>
              <w:rPr>
                <w:b/>
                <w:i w:val="0"/>
                <w:color w:val="3D8FA6"/>
                <w:sz w:val="16"/>
              </w:rPr>
              <w:t>Apontamento adicional</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Declaração de custos trabalhistas integrais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63, § 1º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Conferência aritmética da planilha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18, inciso IV</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Conteúdo mínimo do edital</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25</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Divulgação de todos os anexos</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25, § 3º; art. 54</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Registro de preços: quem pode aderir à ata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86, § 3º; art. 86, § 3º, inciso II; art. 86, § 8º; art. 86, § 4º; art. 86, § 5º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Registro de preços: regras obrigatórias do edital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2E8B57"/>
                <w:sz w:val="16"/>
              </w:rPr>
              <w:t xml:space="preserve">● </w:t>
            </w:r>
            <w:r>
              <w:rPr>
                <w:b/>
                <w:i w:val="0"/>
                <w:color w:val="2E8B57"/>
                <w:sz w:val="16"/>
              </w:rPr>
              <w:t>Conforme</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82, inciso II; art. 82, inciso IV; art. 82, inciso VI; art. 82, inciso VII; art. 82, inciso VIII; art. 82, inciso IX</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Parecer jurídico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8C7AA9"/>
                <w:sz w:val="16"/>
              </w:rPr>
              <w:t xml:space="preserve">● </w:t>
            </w:r>
            <w:r>
              <w:rPr>
                <w:b/>
                <w:i w:val="0"/>
                <w:color w:val="8C7AA9"/>
                <w:sz w:val="16"/>
              </w:rPr>
              <w:t>Não verificável</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53</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Enquadramento como dedicação exclusiva de mão de obra</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6, inciso XVI</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Convenção coletiva da categoria correta</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135, inciso II; art. 135, § 5º; art. 23; art. 63, § 1º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Itens de convenção que não vinculam a Administração</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135, § 1º</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Garantias do cumprimento das obrigações trabalhistas</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Planilha de custos e formação de preços (dedicação exclusiva de mão de obra)</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121, § 2º; art. 121, § 3º</w:t>
            </w:r>
          </w:p>
        </w:tc>
      </w:tr>
      <w:tr>
        <w:tc>
          <w:tcPr>
            <w:tcW w:type="dxa" w:w="3515"/>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Garantia de proposta e garantia contratual</w:t>
            </w:r>
          </w:p>
        </w:tc>
        <w:tc>
          <w:tcPr>
            <w:tcW w:type="dxa" w:w="1701"/>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tcPr>
          <w:p>
            <w:pPr>
              <w:spacing w:before="0" w:after="0" w:line="240" w:lineRule="auto"/>
              <w:ind w:firstLine="0"/>
              <w:jc w:val="left"/>
            </w:pPr>
            <w:r>
              <w:rPr>
                <w:b w:val="0"/>
                <w:i w:val="0"/>
                <w:sz w:val="16"/>
              </w:rPr>
              <w:t>art. 58, § 1º; art. 98</w:t>
            </w:r>
          </w:p>
        </w:tc>
      </w:tr>
      <w:tr>
        <w:tc>
          <w:tcPr>
            <w:tcW w:type="dxa" w:w="3515"/>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Orçamento sigiloso motivado</w:t>
            </w:r>
          </w:p>
        </w:tc>
        <w:tc>
          <w:tcPr>
            <w:tcW w:type="dxa" w:w="1701"/>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Edital e minutas (ata e contrato)</w:t>
            </w:r>
          </w:p>
        </w:tc>
        <w:tc>
          <w:tcPr>
            <w:tcW w:type="dxa" w:w="1587"/>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color w:val="66757F"/>
                <w:sz w:val="16"/>
              </w:rPr>
              <w:t xml:space="preserve">● </w:t>
            </w:r>
            <w:r>
              <w:rPr>
                <w:b/>
                <w:i w:val="0"/>
                <w:color w:val="66757F"/>
                <w:sz w:val="16"/>
              </w:rPr>
              <w:t>Não se aplica</w:t>
            </w:r>
          </w:p>
        </w:tc>
        <w:tc>
          <w:tcPr>
            <w:tcW w:type="dxa" w:w="2268"/>
            <w:tcMar>
              <w:top w:w="56" w:type="dxa"/>
              <w:left w:w="56" w:type="dxa"/>
              <w:bottom w:w="56" w:type="dxa"/>
              <w:right w:w="56" w:type="dxa"/>
            </w:tcMar>
            <w:tcBorders>
              <w:top w:val="nil"/>
              <w:left w:val="nil"/>
              <w:bottom w:val="single" w:sz="4" w:color="D9DEE2" w:space="0"/>
              <w:right w:val="nil"/>
            </w:tcBorders>
            <w:shd w:val="clear" w:color="auto" w:fill="FAFBFC"/>
          </w:tcPr>
          <w:p>
            <w:pPr>
              <w:spacing w:before="0" w:after="0" w:line="240" w:lineRule="auto"/>
              <w:ind w:firstLine="0"/>
              <w:jc w:val="left"/>
            </w:pPr>
            <w:r>
              <w:rPr>
                <w:b w:val="0"/>
                <w:i w:val="0"/>
                <w:sz w:val="16"/>
              </w:rPr>
              <w:t>art. 24; art. 18, inciso XI</w:t>
            </w:r>
          </w:p>
        </w:tc>
      </w:tr>
    </w:tbl>
    <w:p>
      <w:pPr>
        <w:spacing w:before="0" w:after="120" w:line="360" w:lineRule="auto"/>
        <w:ind w:firstLine="0"/>
        <w:jc w:val="both"/>
      </w:pPr>
    </w:p>
    <w:p>
      <w:pPr>
        <w:pStyle w:val="Heading1"/>
        <w:keepNext/>
        <w:spacing w:before="360" w:after="160" w:line="360" w:lineRule="auto"/>
        <w:ind w:firstLine="0"/>
        <w:jc w:val="center"/>
      </w:pPr>
      <w:r>
        <w:rPr>
          <w:rFonts w:ascii="Arial" w:hAnsi="Arial"/>
          <w:b/>
          <w:i w:val="0"/>
          <w:color w:val="12324A"/>
          <w:sz w:val="24"/>
        </w:rPr>
        <w:t>APÊNDICE B – METODOLOGIA E LIMITES</w:t>
      </w:r>
    </w:p>
    <w:p>
      <w:pPr>
        <w:spacing w:before="0" w:after="120" w:line="360" w:lineRule="auto"/>
        <w:ind w:left="425" w:hanging="425"/>
        <w:jc w:val="both"/>
      </w:pPr>
      <w:r>
        <w:rPr>
          <w:b/>
          <w:i w:val="0"/>
          <w:color w:val="1F7A8C"/>
        </w:rPr>
        <w:t xml:space="preserve">a) </w:t>
      </w:r>
      <w:r>
        <w:rPr>
          <w:b w:val="0"/>
          <w:i w:val="0"/>
        </w:rPr>
        <w:t>Cada item do roteiro de verificação foi conferido nos documentos enviados; o trecho transcrito indica onde a constatação foi feita.</w:t>
      </w:r>
    </w:p>
    <w:p>
      <w:pPr>
        <w:spacing w:before="0" w:after="120" w:line="360" w:lineRule="auto"/>
        <w:ind w:left="425" w:hanging="425"/>
        <w:jc w:val="both"/>
      </w:pPr>
      <w:r>
        <w:rPr>
          <w:b/>
          <w:i w:val="0"/>
          <w:color w:val="1F7A8C"/>
        </w:rPr>
        <w:t xml:space="preserve">b) </w:t>
      </w:r>
      <w:r>
        <w:rPr>
          <w:b w:val="0"/>
          <w:i w:val="0"/>
        </w:rPr>
        <w:t>Os dispositivos legais reproduzem o texto oficial vigente constante da base normativa do Licitacon na data da análise, conferido automaticamente quanto à existência, revogação e veto.</w:t>
      </w:r>
    </w:p>
    <w:p>
      <w:pPr>
        <w:spacing w:before="0" w:after="120" w:line="360" w:lineRule="auto"/>
        <w:ind w:left="425" w:hanging="425"/>
        <w:jc w:val="both"/>
      </w:pPr>
      <w:r>
        <w:rPr>
          <w:b/>
          <w:i w:val="0"/>
          <w:color w:val="1F7A8C"/>
        </w:rPr>
        <w:t xml:space="preserve">c) </w:t>
      </w:r>
      <w:r>
        <w:rPr>
          <w:b w:val="0"/>
          <w:i w:val="0"/>
        </w:rPr>
        <w:t>Os precedentes provêm exclusivamente da Biblioteca Licitacon, com indicação da fonte oficial; a ausência de precedente listado não significa ausência de jurisprudência.</w:t>
      </w:r>
    </w:p>
    <w:p>
      <w:pPr>
        <w:spacing w:before="0" w:after="120" w:line="360" w:lineRule="auto"/>
        <w:ind w:left="425" w:hanging="425"/>
        <w:jc w:val="both"/>
      </w:pPr>
      <w:r>
        <w:rPr>
          <w:b/>
          <w:i w:val="0"/>
          <w:color w:val="1F7A8C"/>
        </w:rPr>
        <w:t xml:space="preserve">d) </w:t>
      </w:r>
      <w:r>
        <w:rPr>
          <w:b w:val="0"/>
          <w:i w:val="0"/>
        </w:rPr>
        <w:t>Cálculos de planilha são conferidos por programa a partir de arquivo em Excel; planilhas em PDF não permitem conferir fórmulas.</w:t>
      </w:r>
    </w:p>
    <w:p>
      <w:pPr>
        <w:spacing w:before="0" w:after="120" w:line="360" w:lineRule="auto"/>
        <w:ind w:left="425" w:hanging="425"/>
        <w:jc w:val="both"/>
      </w:pPr>
      <w:r>
        <w:rPr>
          <w:b/>
          <w:i w:val="0"/>
          <w:color w:val="1F7A8C"/>
        </w:rPr>
        <w:t xml:space="preserve">e) </w:t>
      </w:r>
      <w:r>
        <w:rPr>
          <w:b w:val="0"/>
          <w:i w:val="0"/>
        </w:rPr>
        <w:t>Normas estaduais e municipais, regulamentos internos e orientações locais somente são considerados quando enviados com os documentos.</w:t>
      </w:r>
    </w:p>
    <w:p>
      <w:pPr>
        <w:spacing w:before="0" w:after="120" w:line="360" w:lineRule="auto"/>
        <w:ind w:left="425" w:hanging="425"/>
        <w:jc w:val="both"/>
      </w:pPr>
      <w:r>
        <w:rPr>
          <w:b/>
          <w:i w:val="0"/>
          <w:color w:val="1F7A8C"/>
        </w:rPr>
        <w:t xml:space="preserve">f) </w:t>
      </w:r>
      <w:r>
        <w:rPr>
          <w:b w:val="0"/>
          <w:i w:val="0"/>
        </w:rPr>
        <w:t>O parecer é opinativo: aponta todos os aspectos identificados, inclusive os de baixa vulnerabilidade, e a decisão sobre cada recomendação cabe ao destinatário.</w:t>
      </w:r>
    </w:p>
    <w:p>
      <w:pPr>
        <w:spacing w:before="0" w:after="120" w:line="360" w:lineRule="auto"/>
        <w:ind w:left="425" w:hanging="425"/>
        <w:jc w:val="both"/>
      </w:pPr>
      <w:r>
        <w:rPr>
          <w:b/>
          <w:i w:val="0"/>
          <w:color w:val="1F7A8C"/>
        </w:rPr>
        <w:t xml:space="preserve">g) </w:t>
      </w:r>
      <w:r>
        <w:rPr>
          <w:b w:val="0"/>
          <w:i w:val="0"/>
        </w:rPr>
        <w:t>Trilhas automáticas, inspiradas nas tipologias do sistema ALICE (CGU/TCU), procuram no texto padrões associados a restrição de competitividade e direcionamento; cada indício é confirmado ou descartado pela análise no contexto do documento.</w:t>
      </w:r>
    </w:p>
    <w:p>
      <w:pPr>
        <w:spacing w:before="0" w:after="120" w:line="360" w:lineRule="auto"/>
        <w:ind w:left="425" w:hanging="425"/>
        <w:jc w:val="both"/>
      </w:pPr>
      <w:r>
        <w:rPr>
          <w:b/>
          <w:i w:val="0"/>
          <w:color w:val="1F7A8C"/>
        </w:rPr>
        <w:t xml:space="preserve">h) </w:t>
      </w:r>
      <w:r>
        <w:rPr>
          <w:b w:val="0"/>
          <w:i w:val="0"/>
        </w:rPr>
        <w:t>Classificação de gravidade: é alta toda irregularidade que possa comprometer a competitividade, direcionar o certame ou indicar sobrepreço ou risco de superfaturamento; média, falhas formais ou de instrução com risco moderado; baixa, imprecisões e boas práticas.</w:t>
      </w:r>
    </w:p>
    <w:p>
      <w:pPr>
        <w:spacing w:before="0" w:after="120" w:line="360" w:lineRule="auto"/>
        <w:ind w:left="425" w:hanging="425"/>
        <w:jc w:val="both"/>
      </w:pPr>
      <w:r>
        <w:rPr>
          <w:b/>
          <w:i w:val="0"/>
          <w:color w:val="1F7A8C"/>
        </w:rPr>
        <w:t xml:space="preserve">i) </w:t>
      </w:r>
      <w:r>
        <w:rPr>
          <w:b w:val="0"/>
          <w:i w:val="0"/>
        </w:rPr>
        <w:t>Apontamentos adicionais são questões relevantes encontradas no documento que não constam do roteiro padrão; seus fundamentos legais também são conferidos na base oficial.</w:t>
      </w:r>
    </w:p>
    <w:p>
      <w:pPr>
        <w:spacing w:before="0" w:after="120" w:line="360" w:lineRule="auto"/>
        <w:ind w:left="425" w:hanging="425"/>
        <w:jc w:val="both"/>
      </w:pPr>
      <w:r>
        <w:rPr>
          <w:b/>
          <w:i w:val="0"/>
          <w:color w:val="1F7A8C"/>
        </w:rPr>
        <w:t xml:space="preserve">j) </w:t>
      </w:r>
      <w:r>
        <w:rPr>
          <w:b w:val="0"/>
          <w:i w:val="0"/>
        </w:rPr>
        <w:t>O código de verificação C2E37986EA identifica o conteúdo desta análise; qualquer alteração no resultado gera código diferente.</w:t>
      </w:r>
    </w:p>
    <w:sectPr w:rsidR="00FC693F" w:rsidRPr="0006063C" w:rsidSect="00034616">
      <w:headerReference w:type="default" r:id="rId9"/>
      <w:footerReference w:type="default" r:id="rId10"/>
      <w:pgSz w:w="11906" w:h="16838"/>
      <w:pgMar w:top="1701" w:right="1134" w:bottom="1134" w:left="1701" w:header="85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ind w:firstLine="0"/>
      <w:jc w:val="center"/>
    </w:pPr>
    <w:r>
      <w:rPr>
        <w:b w:val="0"/>
        <w:i w:val="0"/>
        <w:color w:val="66757F"/>
        <w:sz w:val="14"/>
      </w:rPr>
      <w:t>Parecer técnico opinativo · a decisão final cabe exclusivamente ao destinatário · não substitui o parecer jurídico do art. 53 da Lei 14.133/2021 · código C2E37986EA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535"/>
      <w:gridCol w:w="4535"/>
    </w:tblGrid>
    <w:tr>
      <w:tc>
        <w:tcPr>
          <w:tcW w:type="dxa" w:w="6803"/>
          <w:tcBorders>
            <w:top w:val="nil"/>
            <w:left w:val="nil"/>
            <w:bottom w:val="single" w:sz="6" w:color="D9DEE2" w:space="0"/>
            <w:right w:val="nil"/>
          </w:tcBorders>
        </w:tcPr>
        <w:p>
          <w:pPr>
            <w:spacing w:before="0" w:after="0" w:line="240" w:lineRule="auto"/>
            <w:ind w:firstLine="0"/>
            <w:jc w:val="left"/>
          </w:pPr>
          <w:r>
            <w:rPr>
              <w:b/>
              <w:i w:val="0"/>
              <w:color w:val="1F7A8C"/>
              <w:sz w:val="16"/>
            </w:rPr>
            <w:t>LICITACON</w:t>
          </w:r>
          <w:r>
            <w:rPr>
              <w:b w:val="0"/>
              <w:i w:val="0"/>
              <w:color w:val="66757F"/>
              <w:sz w:val="16"/>
            </w:rPr>
            <w:t xml:space="preserve">  ·  Parecer Técnico nº C2E3/2026</w:t>
          </w:r>
        </w:p>
      </w:tc>
      <w:tc>
        <w:tcPr>
          <w:tcW w:type="dxa" w:w="2268"/>
          <w:tcBorders>
            <w:top w:val="nil"/>
            <w:left w:val="nil"/>
            <w:bottom w:val="single" w:sz="6" w:color="D9DEE2" w:space="0"/>
            <w:right w:val="nil"/>
          </w:tcBorders>
        </w:tcPr>
        <w:p>
          <w:pPr>
            <w:spacing w:before="0" w:after="0" w:line="240" w:lineRule="auto"/>
            <w:ind w:firstLine="0"/>
            <w:jc w:val="right"/>
          </w:pPr>
          <w:r>
            <w:rPr>
              <w:color w:val="12324A"/>
              <w:sz w:val="20"/>
            </w:rPr>
            <w:fldChar w:fldCharType="begin"/>
            <w:instrText xml:space="preserve">PAGE</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eastAsia="Arial"/>
      <w:color w:val="1E2A3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color w:val="12324A"/>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color w:val="1232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1232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pesquisa.apps.tcu.gov.br/documento/acordao-completo/*/KEY%253AACORDAO-COMPLETO-2783491/score%2520desc/0" TargetMode="External"/><Relationship Id="rId13" Type="http://schemas.openxmlformats.org/officeDocument/2006/relationships/hyperlink" Target="https://pesquisa.apps.tcu.gov.br/documento/sumula/*/KEY%253ASUMULA-EJURIS-34240/score%2520desc/0" TargetMode="External"/><Relationship Id="rId14" Type="http://schemas.openxmlformats.org/officeDocument/2006/relationships/hyperlink" Target="https://pesquisa.apps.tcu.gov.br/documento/sumula/*/KEY%253ASUMULA-EJURIS-1689/score%2520desc/0" TargetMode="External"/><Relationship Id="rId15" Type="http://schemas.openxmlformats.org/officeDocument/2006/relationships/hyperlink" Target="https://www.tcerj.tc.br/cadastro-publicacoes/public/jurisprudencia-seleciona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