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001/2026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Registro de preços para serviços de organização, produção e execução de estruturas decorativas e ornamentais para eventos públicos (82 itens em 7 lotes)</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Município de Campo Maior/PI — Secretaria Municipal de Cultura e Desenvolvimento do Turismo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015/2026 – SRP · Processo nº 4232/2026 · PNCP 06716880000183-1-000022/2026</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 menor preço por lote · registro de preços · orçamento sigiloso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 — pregão eletrônico para registro de preços, menor preço por lote</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3</w:t>
      </w:r>
    </w:p>
    <w:p>
      <w:pPr>
        <w:tabs>
          <w:tab w:pos="9071" w:val="right" w:leader="dot"/>
        </w:tabs>
        <w:spacing w:before="0" w:after="0" w:line="360" w:lineRule="auto"/>
        <w:ind w:firstLine="0" w:left="0"/>
        <w:jc w:val="left"/>
      </w:pPr>
      <w:r>
        <w:rPr>
          <w:b/>
          <w:i w:val="0"/>
          <w:sz w:val="22"/>
        </w:rPr>
        <w:t>2 RELATÓRIO</w:t>
      </w:r>
      <w:r>
        <w:rPr>
          <w:b/>
          <w:i w:val="0"/>
          <w:sz w:val="22"/>
        </w:rPr>
        <w:tab/>
        <w:t>4</w:t>
      </w:r>
    </w:p>
    <w:p>
      <w:pPr>
        <w:tabs>
          <w:tab w:pos="9071" w:val="right" w:leader="dot"/>
        </w:tabs>
        <w:spacing w:before="0" w:after="0" w:line="360" w:lineRule="auto"/>
        <w:ind w:firstLine="0" w:left="0"/>
        <w:jc w:val="left"/>
      </w:pPr>
      <w:r>
        <w:rPr>
          <w:b/>
          <w:i w:val="0"/>
          <w:sz w:val="22"/>
        </w:rPr>
        <w:t>3 FUNDAMENTAÇÃO</w:t>
      </w:r>
      <w:r>
        <w:rPr>
          <w:b/>
          <w:i w:val="0"/>
          <w:sz w:val="22"/>
        </w:rPr>
        <w:tab/>
        <w:t>5</w:t>
      </w:r>
    </w:p>
    <w:p>
      <w:pPr>
        <w:tabs>
          <w:tab w:pos="9071" w:val="right" w:leader="dot"/>
        </w:tabs>
        <w:spacing w:before="0" w:after="0" w:line="360" w:lineRule="auto"/>
        <w:ind w:firstLine="0" w:left="340"/>
        <w:jc w:val="left"/>
      </w:pPr>
      <w:r>
        <w:rPr>
          <w:b w:val="0"/>
          <w:i w:val="0"/>
          <w:sz w:val="21"/>
        </w:rPr>
        <w:t>3.1 Registro de preços: julgamento por lote (grupo de itens)</w:t>
      </w:r>
      <w:r>
        <w:rPr>
          <w:b w:val="0"/>
          <w:i w:val="0"/>
          <w:sz w:val="21"/>
        </w:rPr>
        <w:tab/>
        <w:t>5</w:t>
      </w:r>
    </w:p>
    <w:p>
      <w:pPr>
        <w:tabs>
          <w:tab w:pos="9071" w:val="right" w:leader="dot"/>
        </w:tabs>
        <w:spacing w:before="0" w:after="0" w:line="360" w:lineRule="auto"/>
        <w:ind w:firstLine="0" w:left="340"/>
        <w:jc w:val="left"/>
      </w:pPr>
      <w:r>
        <w:rPr>
          <w:b w:val="0"/>
          <w:i w:val="0"/>
          <w:sz w:val="21"/>
        </w:rPr>
        <w:t>3.2 Prazo mínimo para apresentação de propostas</w:t>
      </w:r>
      <w:r>
        <w:rPr>
          <w:b w:val="0"/>
          <w:i w:val="0"/>
          <w:sz w:val="21"/>
        </w:rPr>
        <w:tab/>
        <w:t>7</w:t>
      </w:r>
    </w:p>
    <w:p>
      <w:pPr>
        <w:tabs>
          <w:tab w:pos="9071" w:val="right" w:leader="dot"/>
        </w:tabs>
        <w:spacing w:before="0" w:after="0" w:line="360" w:lineRule="auto"/>
        <w:ind w:firstLine="0" w:left="340"/>
        <w:jc w:val="left"/>
      </w:pPr>
      <w:r>
        <w:rPr>
          <w:b w:val="0"/>
          <w:i w:val="0"/>
          <w:sz w:val="21"/>
        </w:rPr>
        <w:t>3.3 Orçamento sigiloso motivado</w:t>
      </w:r>
      <w:r>
        <w:rPr>
          <w:b w:val="0"/>
          <w:i w:val="0"/>
          <w:sz w:val="21"/>
        </w:rPr>
        <w:tab/>
        <w:t>8</w:t>
      </w:r>
    </w:p>
    <w:p>
      <w:pPr>
        <w:tabs>
          <w:tab w:pos="9071" w:val="right" w:leader="dot"/>
        </w:tabs>
        <w:spacing w:before="0" w:after="0" w:line="360" w:lineRule="auto"/>
        <w:ind w:firstLine="0" w:left="340"/>
        <w:jc w:val="left"/>
      </w:pPr>
      <w:r>
        <w:rPr>
          <w:b w:val="0"/>
          <w:i w:val="0"/>
          <w:sz w:val="21"/>
        </w:rPr>
        <w:t>3.4 Registro de preços: quem pode aderir à ata</w:t>
      </w:r>
      <w:r>
        <w:rPr>
          <w:b w:val="0"/>
          <w:i w:val="0"/>
          <w:sz w:val="21"/>
        </w:rPr>
        <w:tab/>
        <w:t>9</w:t>
      </w:r>
    </w:p>
    <w:p>
      <w:pPr>
        <w:tabs>
          <w:tab w:pos="9071" w:val="right" w:leader="dot"/>
        </w:tabs>
        <w:spacing w:before="0" w:after="0" w:line="360" w:lineRule="auto"/>
        <w:ind w:firstLine="0" w:left="340"/>
        <w:jc w:val="left"/>
      </w:pPr>
      <w:r>
        <w:rPr>
          <w:b w:val="0"/>
          <w:i w:val="0"/>
          <w:sz w:val="21"/>
        </w:rPr>
        <w:t>3.5 Registro de preços: regras obrigatórias do edital</w:t>
      </w:r>
      <w:r>
        <w:rPr>
          <w:b w:val="0"/>
          <w:i w:val="0"/>
          <w:sz w:val="21"/>
        </w:rPr>
        <w:tab/>
        <w:t>11</w:t>
      </w:r>
    </w:p>
    <w:p>
      <w:pPr>
        <w:tabs>
          <w:tab w:pos="9071" w:val="right" w:leader="dot"/>
        </w:tabs>
        <w:spacing w:before="0" w:after="0" w:line="360" w:lineRule="auto"/>
        <w:ind w:firstLine="0" w:left="340"/>
        <w:jc w:val="left"/>
      </w:pPr>
      <w:r>
        <w:rPr>
          <w:b w:val="0"/>
          <w:i w:val="0"/>
          <w:sz w:val="21"/>
        </w:rPr>
        <w:t>3.6 Registro de preços: quantidades e vigência da ata</w:t>
      </w:r>
      <w:r>
        <w:rPr>
          <w:b w:val="0"/>
          <w:i w:val="0"/>
          <w:sz w:val="21"/>
        </w:rPr>
        <w:tab/>
        <w:t>13</w:t>
      </w:r>
    </w:p>
    <w:p>
      <w:pPr>
        <w:tabs>
          <w:tab w:pos="9071" w:val="right" w:leader="dot"/>
        </w:tabs>
        <w:spacing w:before="0" w:after="0" w:line="360" w:lineRule="auto"/>
        <w:ind w:firstLine="0" w:left="340"/>
        <w:jc w:val="left"/>
      </w:pPr>
      <w:r>
        <w:rPr>
          <w:b w:val="0"/>
          <w:i w:val="0"/>
          <w:sz w:val="21"/>
        </w:rPr>
        <w:t>3.7 Coerência interna do edital e dos anexos</w:t>
      </w:r>
      <w:r>
        <w:rPr>
          <w:b w:val="0"/>
          <w:i w:val="0"/>
          <w:sz w:val="21"/>
        </w:rPr>
        <w:tab/>
        <w:t>14</w:t>
      </w:r>
    </w:p>
    <w:p>
      <w:pPr>
        <w:tabs>
          <w:tab w:pos="9071" w:val="right" w:leader="dot"/>
        </w:tabs>
        <w:spacing w:before="0" w:after="0" w:line="360" w:lineRule="auto"/>
        <w:ind w:firstLine="0" w:left="340"/>
        <w:jc w:val="left"/>
      </w:pPr>
      <w:r>
        <w:rPr>
          <w:b w:val="0"/>
          <w:i w:val="0"/>
          <w:sz w:val="21"/>
        </w:rPr>
        <w:t>3.8 Participação em consórcio</w:t>
      </w:r>
      <w:r>
        <w:rPr>
          <w:b w:val="0"/>
          <w:i w:val="0"/>
          <w:sz w:val="21"/>
        </w:rPr>
        <w:tab/>
        <w:t>15</w:t>
      </w:r>
    </w:p>
    <w:p>
      <w:pPr>
        <w:tabs>
          <w:tab w:pos="9071" w:val="right" w:leader="dot"/>
        </w:tabs>
        <w:spacing w:before="0" w:after="0" w:line="360" w:lineRule="auto"/>
        <w:ind w:firstLine="0" w:left="0"/>
        <w:jc w:val="left"/>
      </w:pPr>
      <w:r>
        <w:rPr>
          <w:b/>
          <w:i w:val="0"/>
          <w:sz w:val="22"/>
        </w:rPr>
        <w:t>4 RECOMENDAÇÕES DE MELHORIA</w:t>
      </w:r>
      <w:r>
        <w:rPr>
          <w:b/>
          <w:i w:val="0"/>
          <w:sz w:val="22"/>
        </w:rPr>
        <w:tab/>
        <w:t>16</w:t>
      </w:r>
    </w:p>
    <w:p>
      <w:pPr>
        <w:tabs>
          <w:tab w:pos="9071" w:val="right" w:leader="dot"/>
        </w:tabs>
        <w:spacing w:before="0" w:after="0" w:line="360" w:lineRule="auto"/>
        <w:ind w:firstLine="0" w:left="0"/>
        <w:jc w:val="left"/>
      </w:pPr>
      <w:r>
        <w:rPr>
          <w:b/>
          <w:i w:val="0"/>
          <w:sz w:val="22"/>
        </w:rPr>
        <w:t>5 CONCLUSÃO</w:t>
      </w:r>
      <w:r>
        <w:rPr>
          <w:b/>
          <w:i w:val="0"/>
          <w:sz w:val="22"/>
        </w:rPr>
        <w:tab/>
        <w:t>17</w:t>
      </w:r>
    </w:p>
    <w:p>
      <w:pPr>
        <w:tabs>
          <w:tab w:pos="9071" w:val="right" w:leader="dot"/>
        </w:tabs>
        <w:spacing w:before="0" w:after="0" w:line="360" w:lineRule="auto"/>
        <w:ind w:firstLine="0" w:left="0"/>
        <w:jc w:val="left"/>
      </w:pPr>
      <w:r>
        <w:rPr>
          <w:b/>
          <w:i w:val="0"/>
          <w:sz w:val="22"/>
        </w:rPr>
        <w:t>REFERÊNCIAS</w:t>
      </w:r>
      <w:r>
        <w:rPr>
          <w:b/>
          <w:i w:val="0"/>
          <w:sz w:val="22"/>
        </w:rPr>
        <w:tab/>
        <w:t>19</w:t>
      </w:r>
    </w:p>
    <w:p>
      <w:pPr>
        <w:tabs>
          <w:tab w:pos="9071" w:val="right" w:leader="dot"/>
        </w:tabs>
        <w:spacing w:before="0" w:after="0" w:line="360" w:lineRule="auto"/>
        <w:ind w:firstLine="0" w:left="0"/>
        <w:jc w:val="left"/>
      </w:pPr>
      <w:r>
        <w:rPr>
          <w:b/>
          <w:i w:val="0"/>
          <w:sz w:val="22"/>
        </w:rPr>
        <w:t>APÊNDICE A – LISTA DE VERIFICAÇÃO</w:t>
      </w:r>
      <w:r>
        <w:rPr>
          <w:b/>
          <w:i w:val="0"/>
          <w:sz w:val="22"/>
        </w:rPr>
        <w:tab/>
        <w:t>21</w:t>
      </w:r>
    </w:p>
    <w:p>
      <w:pPr>
        <w:tabs>
          <w:tab w:pos="9071" w:val="right" w:leader="dot"/>
        </w:tabs>
        <w:spacing w:before="0" w:after="0" w:line="360" w:lineRule="auto"/>
        <w:ind w:firstLine="0" w:left="0"/>
        <w:jc w:val="left"/>
      </w:pPr>
      <w:r>
        <w:rPr>
          <w:b/>
          <w:i w:val="0"/>
          <w:sz w:val="22"/>
        </w:rPr>
        <w:t>APÊNDICE B – METODOLOGIA E LIMITES</w:t>
      </w:r>
      <w:r>
        <w:rPr>
          <w:b/>
          <w:i w:val="0"/>
          <w:sz w:val="22"/>
        </w:rPr>
        <w:tab/>
        <w:t>22</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2</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6</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0</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3</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de preços: julgamento por lote (grupo de itens)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82,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Prazo mínimo para apresentação de propostas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55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Orçamento sigiloso motivado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Registro de preços: quem pode aderir à ata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86, § 3º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de preços: regras obrigatórias do edital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82, inciso II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Registro de preços: quantidades e vigência da ata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82,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Participação em consórcio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15</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001/2026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Município de Campo Maior/PI — Secretaria Municipal de Cultura e Desenvolvimento do Turismo</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Registro de preços para serviços de organização, produção e execução de estruturas decorativas e ornamentais para eventos públicos (82 itens em 7 lotes)</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015/2026 – SRP · Processo nº 4232/2026 · PNCP 06716880000183-1-000022/2026</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LICITAÇÃO. PREGÃO ELETRÔNICO. SISTEMA DE REGISTRO DE PREÇOS. JULGAMENTO POR LOTE. ORÇAMENTO SIGILOSO. ADESÃO À ATA. PRAZO DE DIVULGAÇÃO. </w:t>
      </w:r>
      <w:r>
        <w:rPr>
          <w:b w:val="0"/>
          <w:i w:val="0"/>
          <w:sz w:val="20"/>
        </w:rPr>
        <w:t>Edital estruturado nos procedimentos gerais, com falhas concentradas no registro de preços: lote sem a demonstração do art. 82, § 1º, e sem preço unitário máximo; admissão de adesão vedada a atas municipais; ausência de regras obrigatórias do art. 82; sigilo do orçamento sem efetividade; prazo de propostas a conferir pela contagem do art. 183. Recomendação de ajustes na gestão da ata vigente e nos próximos certames.</w:t>
      </w:r>
    </w:p>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015/2026 – SRP · Processo nº 4232/2026 · PNCP 06716880000183-1-000022/2026, do Município de Campo Maior/PI — Secretaria Municipal de Cultura e Desenvolvimento do Turismo, cujo objeto é: Registro de preços para serviços de organização, produção e execução de estruturas decorativas e ornamentais para eventos públicos (82 itens em 7 lotes).</w:t>
      </w:r>
    </w:p>
    <w:p>
      <w:pPr>
        <w:spacing w:before="0" w:after="120" w:line="360" w:lineRule="auto"/>
        <w:ind w:firstLine="709"/>
        <w:jc w:val="both"/>
      </w:pPr>
      <w:r>
        <w:rPr>
          <w:b w:val="0"/>
          <w:i w:val="0"/>
        </w:rPr>
        <w:t>Foram examinados os seguintes documentos: Edital e minutas (ata e contrato) (EDITAL_PE_015-2026.pdf, obtido no PNCP — inclui Termo de Referência, ETP e minutas da ata e do contrato, 76 páginas). O exame teve por parâmetro a Lei 14.133/2021 — pregão eletrônico para registro de preços, menor preço por lote, aplicando-se o roteiro de verificação Licitacon (versão 2026-10-29), com 24 itens pertinentes ao caso.</w:t>
      </w:r>
    </w:p>
    <w:p>
      <w:pPr>
        <w:spacing w:before="0" w:after="120" w:line="360" w:lineRule="auto"/>
        <w:ind w:firstLine="709"/>
        <w:jc w:val="both"/>
      </w:pPr>
      <w:r>
        <w:rPr>
          <w:b w:val="0"/>
          <w:i w:val="0"/>
        </w:rPr>
        <w:t>Edital analisado isoladamente, com seus anexos (TR, ETP e minutas), a partir da versão publicada no PNCP. O certame já foi homologado; os apontamentos servem para a gestão da ata em vigor (em especial a cláusula de adesão) e para os próximos editais. O edital está bem estruturado nos procedimentos gerais (impugnação, recursos, sanções, declarações, reajuste na minuta de contrato). As falhas se concentram no registro de preços: o julgamento por lote não tem a demonstração exigida pelo art. 82, § 1º, nem preço unitário máximo; a ata admite adesões que a lei veda para atas municipais; faltam regras obrigatórias do art. 82. O orçamento foi declarado sigiloso com justificativa genérica e, na prática, os valores unitários foram publicados no PNCP no mesmo dia. O prazo para propostas merece conferência, pela contagem do art. 183.</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Registro de preços: julgamento por lote (grupo de itens)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Edital e minutas (ata e contrato), Edital, itens 1.3 (p. 3); TR, item 2.1 (p. 33); ETP, 'Justificativa para o parcelamento ou não da solução' (p. 59-60)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82 itens foram agrupados em 7 lotes (um por evento) e julgados por menor preço por lote, em registro de preços. O ETP justifica o 'parcelamento da execução' — isto é, a contratação sob demanda ao longo do ano —, mas não demonstra por que cada item (portal, balões, cenários, montagem) não poderia ser adjudicado isoladamente, nem a vantagem técnica e econômica do agrupamento. O edital também não indica preço unitário máximo: o orçamento é sigiloso e o TR traz 'VALOR TOTAL ESTIMADO R$ XXXX'.</w:t>
      </w:r>
    </w:p>
    <w:p>
      <w:pPr>
        <w:spacing w:before="0" w:after="120" w:line="360" w:lineRule="auto"/>
        <w:ind w:firstLine="709"/>
        <w:jc w:val="both"/>
      </w:pPr>
      <w:r>
        <w:rPr>
          <w:b w:val="0"/>
          <w:i w:val="0"/>
        </w:rPr>
        <w:t>O documento dispõe: “Dessa forma, conclui-se que o parcelamento da execução contratual é a medida mais adequada ao interesse público […] diante disso, os serviços deveram ser agrupados em lotes de acordo com a demanda do evento em questão.” (Edital, itens 1.3 (p. 3); TR, item 2.1 (p. 33); ETP, 'Justificativa para o parcelamento ou não da solução' (p. 59-60)).</w:t>
      </w:r>
    </w:p>
    <w:p>
      <w:pPr>
        <w:spacing w:before="0" w:after="80" w:line="360" w:lineRule="auto"/>
        <w:ind w:firstLine="709"/>
        <w:jc w:val="both"/>
      </w:pPr>
      <w:r>
        <w:rPr>
          <w:b/>
          <w:i w:val="0"/>
          <w:color w:val="12324A"/>
        </w:rPr>
        <w:t xml:space="preserve">Dispositivo aplicável. </w:t>
      </w:r>
      <w:r>
        <w:rPr>
          <w:b w:val="0"/>
          <w:i w:val="0"/>
        </w:rPr>
        <w:t>A matéria é disciplinada pelo art. 82, § 1º e pelo art. 82, § 2º, da Lei 14.133/2021, que assim dispõem:</w:t>
      </w:r>
    </w:p>
    <w:p>
      <w:pPr>
        <w:spacing w:before="80" w:after="200" w:line="240" w:lineRule="auto"/>
        <w:ind w:firstLine="0" w:left="2268"/>
        <w:jc w:val="both"/>
      </w:pPr>
      <w:r>
        <w:rPr>
          <w:b w:val="0"/>
          <w:i w:val="0"/>
          <w:sz w:val="20"/>
        </w:rPr>
        <w:t>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w:t>
      </w:r>
      <w:r>
        <w:rPr>
          <w:b w:val="0"/>
          <w:i w:val="0"/>
          <w:sz w:val="20"/>
        </w:rPr>
        <w:t xml:space="preserve"> (BRASIL, 2021, art. 82, § 1º)</w:t>
      </w:r>
    </w:p>
    <w:p>
      <w:pPr>
        <w:spacing w:before="80" w:after="200" w:line="240" w:lineRule="auto"/>
        <w:ind w:firstLine="0" w:left="2268"/>
        <w:jc w:val="both"/>
      </w:pPr>
      <w:r>
        <w:rPr>
          <w:b w:val="0"/>
          <w:i w:val="0"/>
          <w:sz w:val="20"/>
        </w:rPr>
        <w:t>Na hipótese de que trata o § 1º deste artigo, observados os parâmetros estabelecidos nos §§ 1º, 2º e 3º do art. 23 desta Lei, a contratação posterior de item específico constante de grupo de itens exigirá prévia pesquisa de mercado e demonstração de sua vantagem para o órgão ou entidade.</w:t>
      </w:r>
      <w:r>
        <w:rPr>
          <w:b w:val="0"/>
          <w:i w:val="0"/>
          <w:sz w:val="20"/>
        </w:rPr>
        <w:t xml:space="preserve"> (BRASIL, 2021, art. 82, § 2º)</w:t>
      </w:r>
    </w:p>
    <w:p>
      <w:pPr>
        <w:spacing w:before="0" w:after="120" w:line="360" w:lineRule="auto"/>
        <w:ind w:firstLine="709"/>
        <w:jc w:val="both"/>
      </w:pPr>
      <w:r>
        <w:rPr>
          <w:b/>
          <w:i w:val="0"/>
          <w:color w:val="12324A"/>
        </w:rPr>
        <w:t xml:space="preserve">Análise. </w:t>
      </w:r>
      <w:r>
        <w:rPr>
          <w:b w:val="0"/>
          <w:i w:val="0"/>
        </w:rPr>
        <w:t>Em registro de preços, o julgamento por grupo de itens é exceção: só pode ser adotado com demonstração da inviabilidade da adjudicação por item e da vantagem técnica e econômica, e o edital precisa indicar o critério de aceitabilidade dos preços unitários máximos (art. 82, § 1º). Justificar a execução parcelada (pedidos ao longo do ano) não responde a essa exigência, que trata da divisão do objeto entre fornecedores.</w:t>
      </w:r>
    </w:p>
    <w:p>
      <w:pPr>
        <w:spacing w:before="0" w:after="120" w:line="360" w:lineRule="auto"/>
        <w:ind w:firstLine="709"/>
        <w:jc w:val="both"/>
      </w:pPr>
      <w:r>
        <w:rPr>
          <w:b/>
          <w:i w:val="0"/>
          <w:color w:val="B23A48"/>
        </w:rPr>
        <w:t xml:space="preserve">Risco de manutenção. </w:t>
      </w:r>
      <w:r>
        <w:rPr>
          <w:b w:val="0"/>
          <w:i w:val="0"/>
        </w:rPr>
        <w:t>Agrupamento sem a demonstração exigida restringe a competição (afasta quem fornece só parte dos itens) e permite registrar itens individualmente caros dentro de um lote barato no total (jogo de planilha); sem preço unitário máximo, não há como recusar itens com sobrepreço.</w:t>
      </w:r>
    </w:p>
    <w:p>
      <w:pPr>
        <w:spacing w:before="0" w:after="120" w:line="360" w:lineRule="auto"/>
        <w:ind w:firstLine="709"/>
        <w:jc w:val="both"/>
      </w:pPr>
      <w:r>
        <w:rPr>
          <w:b/>
          <w:i w:val="0"/>
          <w:color w:val="12324A"/>
        </w:rPr>
        <w:t xml:space="preserve">Providência recomendada. </w:t>
      </w:r>
      <w:r>
        <w:rPr>
          <w:b w:val="0"/>
          <w:i w:val="0"/>
        </w:rPr>
        <w:t>Demonstre no ETP por que cada item não pode ser licitado isoladamente e qual a vantagem do lote; indique no edital o preço unitário máximo aceitável de cada item (ou o critério para aferi-lo).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Incluir no ETP tópico próprio demonstrando, item a item, a inviabilidade técnica da adjudicação isolada e a vantagem econômica do lote; e no edital: 'Serão desclassificadas as propostas cujo preço unitário de qualquer item supere o preço unitário máximo aceitável, informado [no Anexo X / aos órgãos de controle], ainda que o valor global do lote seja inferior ao estimado.'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Nas licitações para registro de preços, a modelagem de aquisição por preço global de grupo de itens é medida excepcional que precisa ser devidamente justificada, a ser utilizada apenas nos casos em que a Administração pretende contratar a totalidade dos itens do grupo, respeitadas as proporções de quantitativos definidos no certame. Apesar de essa modelagem ser, em regra, incompatível com a aquisição futura de itens isoladamente, admite-se tal hipótese quando o preço unitário ofertado pelo vencedor do grupo for o menor lance válido na disputa relativa ao item.</w:t>
      </w:r>
      <w:r>
        <w:rPr>
          <w:b w:val="0"/>
          <w:i w:val="0"/>
          <w:sz w:val="20"/>
        </w:rPr>
        <w:t xml:space="preserve"> (TCU, Acórdão 1347/2018-Plenário, enunciado 1)</w:t>
      </w:r>
      <w:r>
        <w:rPr>
          <w:b w:val="0"/>
          <w:i w:val="0"/>
          <w:sz w:val="20"/>
        </w:rPr>
        <w:t xml:space="preserve"> </w:t>
      </w:r>
      <w:hyperlink r:id="rId12">
        <w:r>
          <w:rPr>
            <w:color w:val="1F7A8C"/>
            <w:u w:val="single"/>
            <w:sz w:val="18"/>
          </w:rPr>
          <w:t xml:space="preserve">[fonte oficial]</w:t>
        </w:r>
      </w:hyperlink>
    </w:p>
    <w:p>
      <w:pPr>
        <w:spacing w:before="80" w:after="200" w:line="240" w:lineRule="auto"/>
        <w:ind w:firstLine="0" w:left="2268"/>
        <w:jc w:val="both"/>
      </w:pPr>
      <w:r>
        <w:rPr>
          <w:b w:val="0"/>
          <w:i w:val="0"/>
          <w:sz w:val="20"/>
        </w:rPr>
        <w:t>No sistema de registro de preços com critério de adjudicação pelo menor preço global por grupo (lote) de itens, não é admissível aquisição junto a empresa que apresentou a melhor proposta para determinado item, mas que não foi vencedora do respectivo grupo, uma vez que a licitação para registro de preços objetiva a convocação dos fornecedores mais bem classificados para assinar as atas, sendo possível, única e exclusivamente, contratação com as empresas vencedoras para fornecimento dos itens nelas registrados.</w:t>
      </w:r>
      <w:r>
        <w:rPr>
          <w:b w:val="0"/>
          <w:i w:val="0"/>
          <w:sz w:val="20"/>
        </w:rPr>
        <w:t xml:space="preserve"> (TCU, Acórdão 1347/2018-Plenário, enunciado 2)</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Prazo mínimo para apresentação de propostas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Edital e minutas (ata e contrato), Edital, capa e preâmbulo (p. 1-2); data de divulgação no PNCP: 08/05/2026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Para serviços comuns com menor preço, o prazo mínimo é de 10 dias úteis (art. 55, II, 'a'). O edital foi divulgado no PNCP em 08/05/2026 (sexta-feira). Pelo art. 183, o dia do começo é o primeiro dia útil seguinte à disponibilização na internet (11/05) e é excluído da contagem; assim, 22/05 é o 9º dia útil, e o recebimento das propostas se encerra às 09h30 desse dia. Se não houve divulgação oficial anterior, o prazo mínimo não foi atendido; a sessão de lances, em 25/05, coincide com o 10º dia útil.</w:t>
      </w:r>
    </w:p>
    <w:p>
      <w:pPr>
        <w:spacing w:before="0" w:after="120" w:line="360" w:lineRule="auto"/>
        <w:ind w:firstLine="709"/>
        <w:jc w:val="both"/>
      </w:pPr>
      <w:r>
        <w:rPr>
          <w:b w:val="0"/>
          <w:i w:val="0"/>
        </w:rPr>
        <w:t>O documento dispõe: “PRAZO FINAL PARA RECEBIMENTO DE PROPOSTAS 09:30 (NOVE E TRINTA HORAS) DO DIA 22/05/2026” (Edital, capa e preâmbulo (p. 1-2); data de divulgação no PNCP: 08/05/2026).</w:t>
      </w:r>
    </w:p>
    <w:p>
      <w:pPr>
        <w:spacing w:before="0" w:after="80" w:line="360" w:lineRule="auto"/>
        <w:ind w:firstLine="709"/>
        <w:jc w:val="both"/>
      </w:pPr>
      <w:r>
        <w:rPr>
          <w:b/>
          <w:i w:val="0"/>
          <w:color w:val="12324A"/>
        </w:rPr>
        <w:t xml:space="preserve">Dispositivo aplicável. </w:t>
      </w:r>
      <w:r>
        <w:rPr>
          <w:b w:val="0"/>
          <w:i w:val="0"/>
        </w:rPr>
        <w:t>A matéria é disciplinada pelo art. 55, pelo art. 183 e pelo art. 183, § 1º, inciso I, da Lei 14.133/2021, que assim dispõem:</w:t>
      </w:r>
    </w:p>
    <w:p>
      <w:pPr>
        <w:spacing w:before="80" w:after="200" w:line="240" w:lineRule="auto"/>
        <w:ind w:firstLine="0" w:left="2268"/>
        <w:jc w:val="both"/>
      </w:pPr>
      <w:r>
        <w:rPr>
          <w:b w:val="0"/>
          <w:i w:val="0"/>
          <w:sz w:val="20"/>
        </w:rPr>
        <w:t>Os prazos mínimos para apresentação de propostas e lances, contados a partir da data de divulgação do edital de licitação, são de: […]</w:t>
      </w:r>
      <w:r>
        <w:rPr>
          <w:b w:val="0"/>
          <w:i w:val="0"/>
          <w:sz w:val="20"/>
        </w:rPr>
        <w:t xml:space="preserve"> (BRASIL, 2021, art. 55)</w:t>
      </w:r>
    </w:p>
    <w:p>
      <w:pPr>
        <w:spacing w:before="80" w:after="200" w:line="240" w:lineRule="auto"/>
        <w:ind w:firstLine="0" w:left="2268"/>
        <w:jc w:val="both"/>
      </w:pPr>
      <w:r>
        <w:rPr>
          <w:b w:val="0"/>
          <w:i w:val="0"/>
          <w:sz w:val="20"/>
        </w:rPr>
        <w:t>Os prazos previstos nesta Lei serão contados com exclusão do dia do começo e inclusão do dia do vencimento e observarão as seguintes disposições: […]</w:t>
      </w:r>
      <w:r>
        <w:rPr>
          <w:b w:val="0"/>
          <w:i w:val="0"/>
          <w:sz w:val="20"/>
        </w:rPr>
        <w:t xml:space="preserve"> (BRASIL, 2021, art. 183)</w:t>
      </w:r>
    </w:p>
    <w:p>
      <w:pPr>
        <w:spacing w:before="80" w:after="200" w:line="240" w:lineRule="auto"/>
        <w:ind w:firstLine="0" w:left="2268"/>
        <w:jc w:val="both"/>
      </w:pPr>
      <w:r>
        <w:rPr>
          <w:b w:val="0"/>
          <w:i w:val="0"/>
          <w:sz w:val="20"/>
        </w:rPr>
        <w:t>Salvo disposição em contrário, considera-se dia do começo do prazo: […] o primeiro dia útil seguinte ao da disponibilização da informação na internet;</w:t>
      </w:r>
      <w:r>
        <w:rPr>
          <w:b w:val="0"/>
          <w:i w:val="0"/>
          <w:sz w:val="20"/>
        </w:rPr>
        <w:t xml:space="preserve"> (BRASIL, 2021, art. 183, § 1º, inciso I)</w:t>
      </w:r>
    </w:p>
    <w:p>
      <w:pPr>
        <w:spacing w:before="0" w:after="120" w:line="360" w:lineRule="auto"/>
        <w:ind w:firstLine="709"/>
        <w:jc w:val="both"/>
      </w:pPr>
      <w:r>
        <w:rPr>
          <w:b/>
          <w:i w:val="0"/>
          <w:color w:val="12324A"/>
        </w:rPr>
        <w:t xml:space="preserve">Análise. </w:t>
      </w:r>
      <w:r>
        <w:rPr>
          <w:b w:val="0"/>
          <w:i w:val="0"/>
        </w:rPr>
        <w:t>O art. 55 fixa prazos mínimos para apresentação de propostas contados da divulgação do edital, e o art. 183 define a contagem: exclui-se o dia do começo, que é o primeiro dia útil seguinte ao da disponibilização da informação na internet.</w:t>
      </w:r>
    </w:p>
    <w:p>
      <w:pPr>
        <w:spacing w:before="0" w:after="120" w:line="360" w:lineRule="auto"/>
        <w:ind w:firstLine="709"/>
        <w:jc w:val="both"/>
      </w:pPr>
      <w:r>
        <w:rPr>
          <w:b/>
          <w:i w:val="0"/>
          <w:color w:val="B23A48"/>
        </w:rPr>
        <w:t xml:space="preserve">Risco de manutenção. </w:t>
      </w:r>
      <w:r>
        <w:rPr>
          <w:b w:val="0"/>
          <w:i w:val="0"/>
        </w:rPr>
        <w:t>Prazo inferior ao mínimo legal é falha que pode ser questionada. No Acórdão 2921/2026-Plenário, o TCU tratou como falha o encerramento do recebimento antes do fim do prazo contado do primeiro dia útil seguinte à divulgação no PNCP, mas não anulou o certame porque houve competição efetiva e não se demonstrou prejuízo. Confira se houve divulgação oficial antes de 08/05/2026 e se houve feriado local no período.</w:t>
      </w:r>
    </w:p>
    <w:p>
      <w:pPr>
        <w:spacing w:before="0" w:after="120" w:line="360" w:lineRule="auto"/>
        <w:ind w:firstLine="709"/>
        <w:jc w:val="both"/>
      </w:pPr>
      <w:r>
        <w:rPr>
          <w:b/>
          <w:i w:val="0"/>
          <w:color w:val="12324A"/>
        </w:rPr>
        <w:t xml:space="preserve">Providência recomendada. </w:t>
      </w:r>
      <w:r>
        <w:rPr>
          <w:b w:val="0"/>
          <w:i w:val="0"/>
        </w:rPr>
        <w:t>Conte o prazo pelo art. 183 a partir da divulgação no PNCP e fixe o fim do recebimento de propostas, no mínimo, no último dia do prazo — de preferência coincidindo com a abertura da sessão.</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Denúncia sobre pregão eletrônico para coletes balísticos (eleições 2026; estimado R$ 3,2 milhões). O prazo mínimo para apresentação de propostas é contado a partir do primeiro dia útil seguinte à divulgação do edital no PNCP (art. 183, caput e § 1º, I, da Lei 14.133/2021). O recebimento foi encerrado antes do fim desse prazo, mas houve competição efetiva e não se demonstrou prejuízo: parcialmente procedente, com ciência e arquivamento. Ata 41/2026; conferido na base oficial do TCU.</w:t>
      </w:r>
      <w:r>
        <w:rPr>
          <w:b w:val="0"/>
          <w:i w:val="0"/>
          <w:sz w:val="20"/>
        </w:rPr>
        <w:t xml:space="preserve"> (TCU, Acórdão 2921/2026-Plenário – TC 021.316/2026-0)</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3.3 Orçamento sigiloso motivado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Não conforme   ·   Edital e minutas (ata e contrato), TR, item 15.1 (p. 41); ETP, 'Estimativa do valor da contratação' (p. 59); Edital, item 6.23 (p. 9); dados publicados no PNCP</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motivação do sigilo é genérica: repete o art. 24 e afirma economicidade, sem explicar por que, neste objeto, a divulgação do orçamento prejudicaria a disputa. Além disso, o sigilo não se manteve: no PNCP, a contratação foi publicada em 08/05/2026 com os valores unitários estimados dos 82 itens e a marcação 'orçamento sigiloso: não', somando R$ 4.292.956,02. A garantia de proposta exigida por lote corresponde a exatamente 0,15% desse valor (R$ 6.439,38), o que também permite deduzir o orçamento de cada lote.</w:t>
      </w:r>
    </w:p>
    <w:p>
      <w:pPr>
        <w:spacing w:before="0" w:after="120" w:line="360" w:lineRule="auto"/>
        <w:ind w:firstLine="709"/>
        <w:jc w:val="both"/>
      </w:pPr>
      <w:r>
        <w:rPr>
          <w:b w:val="0"/>
          <w:i w:val="0"/>
        </w:rPr>
        <w:t>O documento dispõe: “A escolha do valor sigiloso visa a maior economicidade na administração publica quanto às contratações.” (TR, item 15.1 (p. 41); ETP, 'Estimativa do valor da contratação' (p. 59); Edital, item 6.23 (p. 9); dados publicados no PNCP).</w:t>
      </w:r>
    </w:p>
    <w:p>
      <w:pPr>
        <w:spacing w:before="0" w:after="80" w:line="360" w:lineRule="auto"/>
        <w:ind w:firstLine="709"/>
        <w:jc w:val="both"/>
      </w:pPr>
      <w:r>
        <w:rPr>
          <w:b/>
          <w:i w:val="0"/>
          <w:color w:val="12324A"/>
        </w:rPr>
        <w:t xml:space="preserve">Dispositivo aplicável. </w:t>
      </w:r>
      <w:r>
        <w:rPr>
          <w:b w:val="0"/>
          <w:i w:val="0"/>
        </w:rPr>
        <w:t>A matéria é disciplinada pelo art. 24 e pelo art. 18, inciso XI, da Lei 14.133/2021, que assim dispõem:</w:t>
      </w:r>
    </w:p>
    <w:p>
      <w:pPr>
        <w:spacing w:before="80" w:after="200" w:line="240" w:lineRule="auto"/>
        <w:ind w:firstLine="0" w:left="2268"/>
        <w:jc w:val="both"/>
      </w:pPr>
      <w:r>
        <w:rPr>
          <w:b w:val="0"/>
          <w:i w:val="0"/>
          <w:sz w:val="20"/>
        </w:rPr>
        <w:t>Desde que justificado, o orçamento estimado da contratação poderá ter caráter sigiloso, sem prejuízo da divulgação do detalhamento dos quantitativos e das demais informações necessárias para a elaboração das propostas, e, nesse caso: […]</w:t>
      </w:r>
      <w:r>
        <w:rPr>
          <w:b w:val="0"/>
          <w:i w:val="0"/>
          <w:sz w:val="20"/>
        </w:rPr>
        <w:t xml:space="preserve"> (BRASIL, 2021, art. 24)</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sobre o momento da divulgação do orçamento da licitação, observado o art. 24 desta Lei.</w:t>
      </w:r>
      <w:r>
        <w:rPr>
          <w:b w:val="0"/>
          <w:i w:val="0"/>
          <w:sz w:val="20"/>
        </w:rPr>
        <w:t xml:space="preserve"> (BRASIL, 2021, art. 18, inciso XI)</w:t>
      </w:r>
    </w:p>
    <w:p>
      <w:pPr>
        <w:spacing w:before="0" w:after="120" w:line="360" w:lineRule="auto"/>
        <w:ind w:firstLine="709"/>
        <w:jc w:val="both"/>
      </w:pPr>
      <w:r>
        <w:rPr>
          <w:b/>
          <w:i w:val="0"/>
          <w:color w:val="12324A"/>
        </w:rPr>
        <w:t xml:space="preserve">Análise. </w:t>
      </w:r>
      <w:r>
        <w:rPr>
          <w:b w:val="0"/>
          <w:i w:val="0"/>
        </w:rPr>
        <w:t>O sigilo do orçamento depende de justificativa no processo e da motivação sobre o momento da divulgação (art. 24 e art. 18, XI). Declarar sigilo e, ao mesmo tempo, publicar os valores no portal oficial tira o efeito pretendido e dá informação desigual aos licitantes: quem consultou o PNCP conhecia o orçamento; quem leu só o edital, não.</w:t>
      </w:r>
    </w:p>
    <w:p>
      <w:pPr>
        <w:spacing w:before="0" w:after="120" w:line="360" w:lineRule="auto"/>
        <w:ind w:firstLine="709"/>
        <w:jc w:val="both"/>
      </w:pPr>
      <w:r>
        <w:rPr>
          <w:b/>
          <w:i w:val="0"/>
          <w:color w:val="C9781E"/>
        </w:rPr>
        <w:t xml:space="preserve">Risco de manutenção. </w:t>
      </w:r>
      <w:r>
        <w:rPr>
          <w:b w:val="0"/>
          <w:i w:val="0"/>
        </w:rPr>
        <w:t>Questionamento por quebra de isonomia entre licitantes, perda do efeito estratégico do sigilo e fragilidade da motivação diante do controle externo.</w:t>
      </w:r>
    </w:p>
    <w:p>
      <w:pPr>
        <w:spacing w:before="0" w:after="120" w:line="360" w:lineRule="auto"/>
        <w:ind w:firstLine="709"/>
        <w:jc w:val="both"/>
      </w:pPr>
      <w:r>
        <w:rPr>
          <w:b/>
          <w:i w:val="0"/>
          <w:color w:val="12324A"/>
        </w:rPr>
        <w:t xml:space="preserve">Providência recomendada. </w:t>
      </w:r>
      <w:r>
        <w:rPr>
          <w:b w:val="0"/>
          <w:i w:val="0"/>
        </w:rPr>
        <w:t>Escolha um caminho e seja coerente: (a) orçamento público, divulgado no edital e no PNCP; ou (b) orçamento sigiloso, com justificativa específica para o objeto, cadastrado como sigiloso no PNCP e sem parâmetros que permitam deduzi-lo (como garantia proporcional ao valor estimado).</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irregular a utilização de orçamento sigiloso (art. 24 da Lei 14.133/2021) sem justificativa adequada que indique a vantajosidade para o procedimento de contratação.</w:t>
      </w:r>
      <w:r>
        <w:rPr>
          <w:b w:val="0"/>
          <w:i w:val="0"/>
          <w:sz w:val="20"/>
        </w:rPr>
        <w:t xml:space="preserve"> (TCU, Acórdão 1635/2026-Plenário)</w:t>
      </w:r>
      <w:r>
        <w:rPr>
          <w:b w:val="0"/>
          <w:i w:val="0"/>
          <w:sz w:val="20"/>
        </w:rPr>
        <w:t xml:space="preserve"> </w:t>
      </w:r>
      <w:hyperlink r:id="rId15">
        <w:r>
          <w:rPr>
            <w:color w:val="1F7A8C"/>
            <w:u w:val="single"/>
            <w:sz w:val="18"/>
          </w:rPr>
          <w:t xml:space="preserve">[fonte oficial]</w:t>
        </w:r>
      </w:hyperlink>
    </w:p>
    <w:p>
      <w:pPr>
        <w:spacing w:before="80" w:after="200" w:line="240" w:lineRule="auto"/>
        <w:ind w:firstLine="0" w:left="2268"/>
        <w:jc w:val="both"/>
      </w:pPr>
      <w:r>
        <w:rPr>
          <w:b w:val="0"/>
          <w:i w:val="0"/>
          <w:sz w:val="20"/>
        </w:rPr>
        <w:t>Nas licitações regidas pela Lei 14.133/2021, deve ser permitida a abertura do sigilo do custo estimado da contratação após a fase de lances, quando as propostas permanecerem com preços acima dos de referência, desde que em ato público e com a devida justificativa, de modo a tornar a fase de negociação de preços com os licitantes mais efetiva e evitar a ocorrência de tratamento não isonômico.</w:t>
      </w:r>
      <w:r>
        <w:rPr>
          <w:b w:val="0"/>
          <w:i w:val="0"/>
          <w:sz w:val="20"/>
        </w:rPr>
        <w:t xml:space="preserve"> (TCU, Acórdão 2190/2024-Plenário)</w:t>
      </w:r>
      <w:r>
        <w:rPr>
          <w:b w:val="0"/>
          <w:i w:val="0"/>
          <w:sz w:val="20"/>
        </w:rPr>
        <w:t xml:space="preserve"> </w:t>
      </w:r>
      <w:hyperlink r:id="rId16">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3.4 Registro de preços: quem pode aderir à ata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Não conforme   ·   Edital e minutas (ata e contrato), Minuta da Ata de Registro de Preços, item 4.1 (p. 64)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ata é gerenciada por órgão municipal, mas admite adesão de órgãos federais, estaduais e distritais.</w:t>
      </w:r>
    </w:p>
    <w:p>
      <w:pPr>
        <w:spacing w:before="0" w:after="120" w:line="360" w:lineRule="auto"/>
        <w:ind w:firstLine="709"/>
        <w:jc w:val="both"/>
      </w:pPr>
      <w:r>
        <w:rPr>
          <w:b w:val="0"/>
          <w:i w:val="0"/>
        </w:rPr>
        <w:t>O documento dispõe: “Durante a vigência da ata, os órgãos e as entidades da Administração Pública federal, estadual, distrital e municipal poderão aderir à ata de registro de preços na condição de não participantes.” (Minuta da Ata de Registro de Preços, item 4.1 (p. 64)).</w:t>
      </w:r>
    </w:p>
    <w:p>
      <w:pPr>
        <w:spacing w:before="0" w:after="80" w:line="360" w:lineRule="auto"/>
        <w:ind w:firstLine="709"/>
        <w:jc w:val="both"/>
      </w:pPr>
      <w:r>
        <w:rPr>
          <w:b/>
          <w:i w:val="0"/>
          <w:color w:val="12324A"/>
        </w:rPr>
        <w:t xml:space="preserve">Dispositivo aplicável. </w:t>
      </w:r>
      <w:r>
        <w:rPr>
          <w:b w:val="0"/>
          <w:i w:val="0"/>
        </w:rPr>
        <w:t>A matéria é disciplinada pelo art. 86, § 3º, pelo art. 86, § 3º, inciso II, pelo art. 86, § 8º, pelo art. 86, § 4º e pelo art. 86, § 5º, da Lei 14.133/2021, que assim dispõem:</w:t>
      </w:r>
    </w:p>
    <w:p>
      <w:pPr>
        <w:spacing w:before="80" w:after="200" w:line="240" w:lineRule="auto"/>
        <w:ind w:firstLine="0" w:left="2268"/>
        <w:jc w:val="both"/>
      </w:pPr>
      <w:r>
        <w:rPr>
          <w:b w:val="0"/>
          <w:i w:val="0"/>
          <w:sz w:val="20"/>
        </w:rPr>
        <w:t>A faculdade de aderir à ata de registro de preços na condição de não participante poderá ser exercida: […]</w:t>
      </w:r>
      <w:r>
        <w:rPr>
          <w:b w:val="0"/>
          <w:i w:val="0"/>
          <w:sz w:val="20"/>
        </w:rPr>
        <w:t xml:space="preserve"> (BRASIL, 2021, art. 86, § 3º)</w:t>
      </w:r>
    </w:p>
    <w:p>
      <w:pPr>
        <w:spacing w:before="80" w:after="200" w:line="240" w:lineRule="auto"/>
        <w:ind w:firstLine="0" w:left="2268"/>
        <w:jc w:val="both"/>
      </w:pPr>
      <w:r>
        <w:rPr>
          <w:b w:val="0"/>
          <w:i w:val="0"/>
          <w:sz w:val="20"/>
        </w:rPr>
        <w:t>A faculdade de aderir à ata de registro de preços na condição de não participante poderá ser exercida: […] por órgãos e entidades da Administração Pública municipal, relativamente a ata de registro de preços de órgão ou entidade gerenciadora municipal, desde que o sistema de registro de preços tenha sido formalizado mediante licitação.</w:t>
      </w:r>
      <w:r>
        <w:rPr>
          <w:b w:val="0"/>
          <w:i w:val="0"/>
          <w:sz w:val="20"/>
        </w:rPr>
        <w:t xml:space="preserve"> (BRASIL, 2021, art. 86, § 3º, inciso II)</w:t>
      </w:r>
    </w:p>
    <w:p>
      <w:pPr>
        <w:spacing w:before="80" w:after="200" w:line="240" w:lineRule="auto"/>
        <w:ind w:firstLine="0" w:left="2268"/>
        <w:jc w:val="both"/>
      </w:pPr>
      <w:r>
        <w:rPr>
          <w:b w:val="0"/>
          <w:i w:val="0"/>
          <w:sz w:val="20"/>
        </w:rPr>
        <w:t>Será vedada aos órgãos e entidades da Administração Pública federal a adesão à ata de registro de preços gerenciada por órgão ou entidade estadual, distrital ou municipal.</w:t>
      </w:r>
      <w:r>
        <w:rPr>
          <w:b w:val="0"/>
          <w:i w:val="0"/>
          <w:sz w:val="20"/>
        </w:rPr>
        <w:t xml:space="preserve"> (BRASIL, 2021, art. 86, § 8º)</w:t>
      </w:r>
    </w:p>
    <w:p>
      <w:pPr>
        <w:spacing w:before="80" w:after="200" w:line="240" w:lineRule="auto"/>
        <w:ind w:firstLine="0" w:left="2268"/>
        <w:jc w:val="both"/>
      </w:pPr>
      <w:r>
        <w:rPr>
          <w:b w:val="0"/>
          <w:i w:val="0"/>
          <w:sz w:val="20"/>
        </w:rPr>
        <w:t>As aquisições ou as contratações adicionais a que se refere o § 2º deste artigo não poderão exceder, por órgão ou entidade, a 50% (cinquenta por cento) dos quantitativos dos itens do instrumento convocatório registrados na ata de registro de preços para o órgão gerenciador e para os órgãos participantes.</w:t>
      </w:r>
      <w:r>
        <w:rPr>
          <w:b w:val="0"/>
          <w:i w:val="0"/>
          <w:sz w:val="20"/>
        </w:rPr>
        <w:t xml:space="preserve"> (BRASIL, 2021, art. 86, § 4º)</w:t>
      </w:r>
    </w:p>
    <w:p>
      <w:pPr>
        <w:spacing w:before="80" w:after="200" w:line="240" w:lineRule="auto"/>
        <w:ind w:firstLine="0" w:left="2268"/>
        <w:jc w:val="both"/>
      </w:pPr>
      <w:r>
        <w:rPr>
          <w:b w:val="0"/>
          <w:i w:val="0"/>
          <w:sz w:val="20"/>
        </w:rPr>
        <w:t>O quantitativo decorrente das adesões à ata de registro de preços a que se refere o § 2º deste artigo não poderá exceder, na totalidade, ao dobro do quantitativo de cada item registrado na ata de registro de preços para o órgão gerenciador e órgãos participantes, independentemente do número de órgãos não participantes que aderirem.</w:t>
      </w:r>
      <w:r>
        <w:rPr>
          <w:b w:val="0"/>
          <w:i w:val="0"/>
          <w:sz w:val="20"/>
        </w:rPr>
        <w:t xml:space="preserve"> (BRASIL, 2021, art. 86, § 5º)</w:t>
      </w:r>
    </w:p>
    <w:p>
      <w:pPr>
        <w:spacing w:before="0" w:after="120" w:line="360" w:lineRule="auto"/>
        <w:ind w:firstLine="709"/>
        <w:jc w:val="both"/>
      </w:pPr>
      <w:r>
        <w:rPr>
          <w:b/>
          <w:i w:val="0"/>
          <w:color w:val="12324A"/>
        </w:rPr>
        <w:t xml:space="preserve">Análise. </w:t>
      </w:r>
      <w:r>
        <w:rPr>
          <w:b w:val="0"/>
          <w:i w:val="0"/>
        </w:rPr>
        <w:t>Ata de gerenciador municipal só admite adesão de órgãos e entidades municipais, e desde que o registro tenha sido formalizado por licitação (art. 86, § 3º, II). Órgãos federais estão expressamente proibidos de aderir a atas municipais (art. 86, § 8º).</w:t>
      </w:r>
    </w:p>
    <w:p>
      <w:pPr>
        <w:spacing w:before="0" w:after="120" w:line="360" w:lineRule="auto"/>
        <w:ind w:firstLine="709"/>
        <w:jc w:val="both"/>
      </w:pPr>
      <w:r>
        <w:rPr>
          <w:b/>
          <w:i w:val="0"/>
          <w:color w:val="C9781E"/>
        </w:rPr>
        <w:t xml:space="preserve">Risco de manutenção. </w:t>
      </w:r>
      <w:r>
        <w:rPr>
          <w:b w:val="0"/>
          <w:i w:val="0"/>
        </w:rPr>
        <w:t>Como a ata está vigente, a cláusula pode induzir órgãos de outras esferas a aderirem irregularmente, com risco de nulidade das contratações decorrentes e de responsabilização de quem autorizar a adesão.</w:t>
      </w:r>
    </w:p>
    <w:p>
      <w:pPr>
        <w:spacing w:before="0" w:after="120" w:line="360" w:lineRule="auto"/>
        <w:ind w:firstLine="709"/>
        <w:jc w:val="both"/>
      </w:pPr>
      <w:r>
        <w:rPr>
          <w:b/>
          <w:i w:val="0"/>
          <w:color w:val="12324A"/>
        </w:rPr>
        <w:t xml:space="preserve">Providência recomendada. </w:t>
      </w:r>
      <w:r>
        <w:rPr>
          <w:b w:val="0"/>
          <w:i w:val="0"/>
        </w:rPr>
        <w:t>Restrinja a adesão aos órgãos e entidades municipais (art. 86, § 3º, II) e mantenha os limites dos §§ 4º e 5º.</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4.1. Durante a vigência da ata, os órgãos e as entidades da Administração Pública municipal poderão aderir à ata de registro de preços na condição de não participantes, observados os requisitos e limites do art. 86 da Lei nº 14.133/2021.</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Não é juridicamente possível o aproveitamento, por órgão federal, de contrato já firmado por órgão estadual ou municipal. O único instrumento legal que possibilita determinado órgão se beneficiar de licitação realizada por outro é a adesão a ata de registro de preços, no âmbito do Sistema de Registro de Preços (SRP); porém é vedada, pelo art. 22, § 8º, do Decreto 7.892/2013 e pelo art. 86, § 8º, da Lei 14.133/2021, aos órgãos e entidades da Administração Pública Federal a adesão a ata de registro de preços gerenciada por órgão ou entidade estadual, distrital ou municipal.</w:t>
      </w:r>
      <w:r>
        <w:rPr>
          <w:b w:val="0"/>
          <w:i w:val="0"/>
          <w:sz w:val="20"/>
        </w:rPr>
        <w:t xml:space="preserve"> (TCU, Acórdão 1851/2022-Plenário)</w:t>
      </w:r>
      <w:r>
        <w:rPr>
          <w:b w:val="0"/>
          <w:i w:val="0"/>
          <w:sz w:val="20"/>
        </w:rPr>
        <w:t xml:space="preserve"> </w:t>
      </w:r>
      <w:hyperlink r:id="rId17">
        <w:r>
          <w:rPr>
            <w:color w:val="1F7A8C"/>
            <w:u w:val="single"/>
            <w:sz w:val="18"/>
          </w:rPr>
          <w:t xml:space="preserve">[fonte oficial]</w:t>
        </w:r>
      </w:hyperlink>
    </w:p>
    <w:p>
      <w:pPr>
        <w:spacing w:before="80" w:after="200" w:line="240" w:lineRule="auto"/>
        <w:ind w:firstLine="0" w:left="2268"/>
        <w:jc w:val="both"/>
      </w:pPr>
      <w:r>
        <w:rPr>
          <w:b w:val="0"/>
          <w:i w:val="0"/>
          <w:sz w:val="20"/>
        </w:rPr>
        <w:t>A adesão à ata de registro de preços por ente não participante da licitação originária, ou “adesão carona”, está prevista expressamente nos arts. 82 a 86 da Lei nº 14.133/2021 e encontra fundamento no princípio da eficiência administrativa, desde que seu uso se dê com observância aos princípios da legalidade, da economicidade, do planejamento e da motivação.</w:t>
      </w:r>
      <w:r>
        <w:rPr>
          <w:b w:val="0"/>
          <w:i w:val="0"/>
          <w:sz w:val="20"/>
        </w:rPr>
        <w:t xml:space="preserve"> (TCE-RJ, Acórdão 49600/2025 – Processo 228.123-0/2025)</w:t>
      </w:r>
      <w:r>
        <w:rPr>
          <w:b w:val="0"/>
          <w:i w:val="0"/>
          <w:sz w:val="20"/>
        </w:rPr>
        <w:t xml:space="preserve"> </w:t>
      </w:r>
      <w:hyperlink r:id="rId18">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3.5 Registro de preços: regras obrigatórias do edital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Edital e minuta da ata (p. 1-16 e 63-68)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trata das condições de alteração dos preços registrados (TR 15.2), do cadastro de reserva (edital, item 10) e do cancelamento (ata, item 8). Não foram localizadas as regras sobre: quantidade mínima a ser cotada (art. 82, II); possibilidade de cotar quantitativo inferior ao máximo (art. 82, IV); e vedação de o órgão participar de mais de uma ata com o mesmo objeto (art. 82, VIII).</w:t>
      </w:r>
    </w:p>
    <w:p>
      <w:pPr>
        <w:spacing w:before="0" w:after="80" w:line="360" w:lineRule="auto"/>
        <w:ind w:firstLine="709"/>
        <w:jc w:val="both"/>
      </w:pPr>
      <w:r>
        <w:rPr>
          <w:b/>
          <w:i w:val="0"/>
          <w:color w:val="12324A"/>
        </w:rPr>
        <w:t xml:space="preserve">Dispositivo aplicável. </w:t>
      </w:r>
      <w:r>
        <w:rPr>
          <w:b w:val="0"/>
          <w:i w:val="0"/>
        </w:rPr>
        <w:t>A matéria é disciplinada pelo art. 82, inciso II, pelo art. 82, inciso IV, pelo art. 82, inciso VI, pelo art. 82, inciso VII, pelo art. 82, inciso VIII e pelo art. 82, inciso IX, da Lei 14.133/2021, que assim dispõem:</w:t>
      </w:r>
    </w:p>
    <w:p>
      <w:pPr>
        <w:spacing w:before="80" w:after="200" w:line="240" w:lineRule="auto"/>
        <w:ind w:firstLine="0" w:left="2268"/>
        <w:jc w:val="both"/>
      </w:pPr>
      <w:r>
        <w:rPr>
          <w:b w:val="0"/>
          <w:i w:val="0"/>
          <w:sz w:val="20"/>
        </w:rPr>
        <w:t>O edital de licitação para registro de preços observará as regras gerais desta Lei e deverá dispor sobre: […] a quantidade mínima a ser cotada de unidades de bens ou, no caso de serviços, de unidades de medida;</w:t>
      </w:r>
      <w:r>
        <w:rPr>
          <w:b w:val="0"/>
          <w:i w:val="0"/>
          <w:sz w:val="20"/>
        </w:rPr>
        <w:t xml:space="preserve"> (BRASIL, 2021, art. 82, inciso II)</w:t>
      </w:r>
    </w:p>
    <w:p>
      <w:pPr>
        <w:spacing w:before="80" w:after="200" w:line="240" w:lineRule="auto"/>
        <w:ind w:firstLine="0" w:left="2268"/>
        <w:jc w:val="both"/>
      </w:pPr>
      <w:r>
        <w:rPr>
          <w:b w:val="0"/>
          <w:i w:val="0"/>
          <w:sz w:val="20"/>
        </w:rPr>
        <w:t>O edital de licitação para registro de preços observará as regras gerais desta Lei e deverá dispor sobre: […] a possibilidade de o licitante oferecer ou não proposta em quantitativo inferior ao máximo previsto no edital, obrigando-se nos limites dela;</w:t>
      </w:r>
      <w:r>
        <w:rPr>
          <w:b w:val="0"/>
          <w:i w:val="0"/>
          <w:sz w:val="20"/>
        </w:rPr>
        <w:t xml:space="preserve"> (BRASIL, 2021, art. 82, inciso IV)</w:t>
      </w:r>
    </w:p>
    <w:p>
      <w:pPr>
        <w:spacing w:before="80" w:after="200" w:line="240" w:lineRule="auto"/>
        <w:ind w:firstLine="0" w:left="2268"/>
        <w:jc w:val="both"/>
      </w:pPr>
      <w:r>
        <w:rPr>
          <w:b w:val="0"/>
          <w:i w:val="0"/>
          <w:sz w:val="20"/>
        </w:rPr>
        <w:t>O edital de licitação para registro de preços observará as regras gerais desta Lei e deverá dispor sobre: […] as condições para alteração de preços registrados;</w:t>
      </w:r>
      <w:r>
        <w:rPr>
          <w:b w:val="0"/>
          <w:i w:val="0"/>
          <w:sz w:val="20"/>
        </w:rPr>
        <w:t xml:space="preserve"> (BRASIL, 2021, art. 82, inciso VI)</w:t>
      </w:r>
    </w:p>
    <w:p>
      <w:pPr>
        <w:spacing w:before="80" w:after="200" w:line="240" w:lineRule="auto"/>
        <w:ind w:firstLine="0" w:left="2268"/>
        <w:jc w:val="both"/>
      </w:pPr>
      <w:r>
        <w:rPr>
          <w:b w:val="0"/>
          <w:i w:val="0"/>
          <w:sz w:val="20"/>
        </w:rPr>
        <w:t>O edital de licitação para registro de preços observará as regras gerais desta Lei e deverá dispor sobre: […] o registro de mais de um fornecedor ou prestador de serviço, desde que aceitem cotar o objeto em preço igual ao do licitante vencedor, assegurada a preferência de contratação de acordo com a ordem de classificação;</w:t>
      </w:r>
      <w:r>
        <w:rPr>
          <w:b w:val="0"/>
          <w:i w:val="0"/>
          <w:sz w:val="20"/>
        </w:rPr>
        <w:t xml:space="preserve"> (BRASIL, 2021, art. 82, inciso VII)</w:t>
      </w:r>
    </w:p>
    <w:p>
      <w:pPr>
        <w:spacing w:before="80" w:after="200" w:line="240" w:lineRule="auto"/>
        <w:ind w:firstLine="0" w:left="2268"/>
        <w:jc w:val="both"/>
      </w:pPr>
      <w:r>
        <w:rPr>
          <w:b w:val="0"/>
          <w:i w:val="0"/>
          <w:sz w:val="20"/>
        </w:rPr>
        <w:t>O edital de licitação para registro de preços observará as regras gerais desta Lei e deverá dispor sobre: […] a vedação à participação do órgão ou entidade em mais de uma ata de registro de preços com o mesmo objeto no prazo de validade daquela de que já tiver participado, salvo na ocorrência de ata que tenha registrado quantitativo inferior ao máximo previsto no edital;</w:t>
      </w:r>
      <w:r>
        <w:rPr>
          <w:b w:val="0"/>
          <w:i w:val="0"/>
          <w:sz w:val="20"/>
        </w:rPr>
        <w:t xml:space="preserve"> (BRASIL, 2021, art. 82, inciso VIII)</w:t>
      </w:r>
    </w:p>
    <w:p>
      <w:pPr>
        <w:spacing w:before="80" w:after="200" w:line="240" w:lineRule="auto"/>
        <w:ind w:firstLine="0" w:left="2268"/>
        <w:jc w:val="both"/>
      </w:pPr>
      <w:r>
        <w:rPr>
          <w:b w:val="0"/>
          <w:i w:val="0"/>
          <w:sz w:val="20"/>
        </w:rPr>
        <w:t>O edital de licitação para registro de preços observará as regras gerais desta Lei e deverá dispor sobre: […] as hipóteses de cancelamento da ata de registro de preços e suas consequências.</w:t>
      </w:r>
      <w:r>
        <w:rPr>
          <w:b w:val="0"/>
          <w:i w:val="0"/>
          <w:sz w:val="20"/>
        </w:rPr>
        <w:t xml:space="preserve"> (BRASIL, 2021, art. 82, inciso IX)</w:t>
      </w:r>
    </w:p>
    <w:p>
      <w:pPr>
        <w:spacing w:before="0" w:after="120" w:line="360" w:lineRule="auto"/>
        <w:ind w:firstLine="709"/>
        <w:jc w:val="both"/>
      </w:pPr>
      <w:r>
        <w:rPr>
          <w:b/>
          <w:i w:val="0"/>
          <w:color w:val="12324A"/>
        </w:rPr>
        <w:t xml:space="preserve">Análise. </w:t>
      </w:r>
      <w:r>
        <w:rPr>
          <w:b w:val="0"/>
          <w:i w:val="0"/>
        </w:rPr>
        <w:t>O edital dispõe sobre: quantidade mínima a ser cotada; possibilidade de cotar quantitativo inferior ao máximo; condições para alteração dos preços registrados; registro de mais de um fornecedor (cadastro de reserva); vedação de o órgão participar de mais de uma ata com o mesmo objeto; hipóteses de cancelamento da ata.</w:t>
      </w:r>
    </w:p>
    <w:p>
      <w:pPr>
        <w:spacing w:before="0" w:after="120" w:line="360" w:lineRule="auto"/>
        <w:ind w:firstLine="709"/>
        <w:jc w:val="both"/>
      </w:pPr>
      <w:r>
        <w:rPr>
          <w:b/>
          <w:i w:val="0"/>
          <w:color w:val="C9781E"/>
        </w:rPr>
        <w:t xml:space="preserve">Risco de manutenção. </w:t>
      </w:r>
      <w:r>
        <w:rPr>
          <w:b w:val="0"/>
          <w:i w:val="0"/>
        </w:rPr>
        <w:t>A omissão de regras que a lei manda o edital prever gera insegurança na formação das propostas e na gestão da ata, e pode ser apontada em impugnação ou pelo controle.</w:t>
      </w:r>
    </w:p>
    <w:p>
      <w:pPr>
        <w:spacing w:before="0" w:after="120" w:line="360" w:lineRule="auto"/>
        <w:ind w:firstLine="709"/>
        <w:jc w:val="both"/>
      </w:pPr>
      <w:r>
        <w:rPr>
          <w:b/>
          <w:i w:val="0"/>
          <w:color w:val="12324A"/>
        </w:rPr>
        <w:t xml:space="preserve">Providência recomendada. </w:t>
      </w:r>
      <w:r>
        <w:rPr>
          <w:b w:val="0"/>
          <w:i w:val="0"/>
        </w:rPr>
        <w:t>Inclua os três incisos faltantes no edital, ainda que para declarar a opção adotada (por exemplo: 'não será admitida proposta com quantitativo inferior ao máximo previsto').</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Diferença significativa entre os quantitativos mínimos e máximos previstos em licitação para registro de preços (art. 82, incisos I e II, da Lei 14.133/2021) não configura, por si só, ilegalidade ou antieconomicidade do certame, desde que os quantitativos estejam tecnicamente justificados no planejamento da contratação. Eventual comprometimento da competitividade, da economicidade ou da obtenção da proposta mais vantajosa para a Administração deve ser demonstrado por elementos concretos, a exemplo de estudos de mercado e dados relativos à participação em certames anteriores.</w:t>
      </w:r>
      <w:r>
        <w:rPr>
          <w:b w:val="0"/>
          <w:i w:val="0"/>
          <w:sz w:val="20"/>
        </w:rPr>
        <w:t xml:space="preserve"> (TCU, Acórdão 2272/2026-Plenário)</w:t>
      </w:r>
      <w:r>
        <w:rPr>
          <w:b w:val="0"/>
          <w:i w:val="0"/>
          <w:sz w:val="20"/>
        </w:rPr>
        <w:t xml:space="preserve"> </w:t>
      </w:r>
      <w:hyperlink r:id="rId19">
        <w:r>
          <w:rPr>
            <w:color w:val="1F7A8C"/>
            <w:u w:val="single"/>
            <w:sz w:val="18"/>
          </w:rPr>
          <w:t xml:space="preserve">[fonte oficial]</w:t>
        </w:r>
      </w:hyperlink>
    </w:p>
    <w:p>
      <w:pPr>
        <w:spacing w:before="80" w:after="200" w:line="240" w:lineRule="auto"/>
        <w:ind w:firstLine="0" w:left="2268"/>
        <w:jc w:val="both"/>
      </w:pPr>
      <w:r>
        <w:rPr>
          <w:b w:val="0"/>
          <w:i w:val="0"/>
          <w:sz w:val="20"/>
        </w:rPr>
        <w:t>Em licitação para registro de preços que permita cotação parcial (art. 82, inciso IV, da Lei 14.133/2021), caso a proposta de menor preço seja para quantitativo inferior ao máximo previsto no edital, é irregular a desclassificação de licitantes que apresentaram preços abaixo do valor de referência para todo o quantitativo licitado, mas que não igualaram o preço da melhor proposta. Tal procedimento impede a formação do cadastro de reserva e, na prática, inviabiliza o fornecimento do saldo remanescente.</w:t>
      </w:r>
      <w:r>
        <w:rPr>
          <w:b w:val="0"/>
          <w:i w:val="0"/>
          <w:sz w:val="20"/>
        </w:rPr>
        <w:t xml:space="preserve"> (TCU, Acórdão 1564/2025-Plenário)</w:t>
      </w:r>
      <w:r>
        <w:rPr>
          <w:b w:val="0"/>
          <w:i w:val="0"/>
          <w:sz w:val="20"/>
        </w:rPr>
        <w:t xml:space="preserve"> </w:t>
      </w:r>
      <w:hyperlink r:id="rId20">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3.6 Registro de preços: quantidades e vigência da ata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ETP, 'Descrição da necessidade' e 'Estimativa das quantidades' (p. 44 e 59); minuta da ata, item 5.1 (p. 64)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ETP declara que as quantidades foram planejadas para 2026, 2027 e 2028 (com erro de digitação '2017'), enquanto a ata vale 1 ano, prorrogável por igual período (máximo de 2 anos). Todos os itens têm quantidade 3, sem memória de cálculo que relacione a estimativa ao número de edições de cada evento na vigência da ata ('As quantidades foram estimadas baseadas nas demandas utilizadas nos anos de exercício de 2021, a 2025').</w:t>
      </w:r>
    </w:p>
    <w:p>
      <w:pPr>
        <w:spacing w:before="0" w:after="120" w:line="360" w:lineRule="auto"/>
        <w:ind w:firstLine="709"/>
        <w:jc w:val="both"/>
      </w:pPr>
      <w:r>
        <w:rPr>
          <w:b w:val="0"/>
          <w:i w:val="0"/>
        </w:rPr>
        <w:t>O documento dispõe: “permitindo contratações ao longo do período de 2026, 2017 e 2028 sem a necessidade de novas licitações” (ETP, 'Descrição da necessidade' e 'Estimativa das quantidades' (p. 44 e 59); minuta da ata, item 5.1 (p. 64)).</w:t>
      </w:r>
    </w:p>
    <w:p>
      <w:pPr>
        <w:spacing w:before="0" w:after="80" w:line="360" w:lineRule="auto"/>
        <w:ind w:firstLine="709"/>
        <w:jc w:val="both"/>
      </w:pPr>
      <w:r>
        <w:rPr>
          <w:b/>
          <w:i w:val="0"/>
          <w:color w:val="12324A"/>
        </w:rPr>
        <w:t xml:space="preserve">Dispositivo aplicável. </w:t>
      </w:r>
      <w:r>
        <w:rPr>
          <w:b w:val="0"/>
          <w:i w:val="0"/>
        </w:rPr>
        <w:t>A matéria é disciplinada pelo art. 82, inciso I, pelo art. 84 e pelo art. 18, § 1º, inciso IV, da Lei 14.133/2021, que assim dispõem:</w:t>
      </w:r>
    </w:p>
    <w:p>
      <w:pPr>
        <w:spacing w:before="80" w:after="200" w:line="240" w:lineRule="auto"/>
        <w:ind w:firstLine="0" w:left="2268"/>
        <w:jc w:val="both"/>
      </w:pPr>
      <w:r>
        <w:rPr>
          <w:b w:val="0"/>
          <w:i w:val="0"/>
          <w:sz w:val="20"/>
        </w:rPr>
        <w:t>O edital de licitação para registro de preços observará as regras gerais desta Lei e deverá dispor sobre: […] as especificidades da licitação e de seu objeto, inclusive a quantidade máxima de cada item que poderá ser adquirida;</w:t>
      </w:r>
      <w:r>
        <w:rPr>
          <w:b w:val="0"/>
          <w:i w:val="0"/>
          <w:sz w:val="20"/>
        </w:rPr>
        <w:t xml:space="preserve"> (BRASIL, 2021, art. 82, inciso I)</w:t>
      </w:r>
    </w:p>
    <w:p>
      <w:pPr>
        <w:spacing w:before="80" w:after="200" w:line="240" w:lineRule="auto"/>
        <w:ind w:firstLine="0" w:left="2268"/>
        <w:jc w:val="both"/>
      </w:pPr>
      <w:r>
        <w:rPr>
          <w:b w:val="0"/>
          <w:i w:val="0"/>
          <w:sz w:val="20"/>
        </w:rPr>
        <w:t>O prazo de vigência da ata de registro de preços será de 1 (um) ano e poderá ser prorrogado, por igual período, desde que comprovado o preço vantajoso.</w:t>
      </w:r>
      <w:r>
        <w:rPr>
          <w:b w:val="0"/>
          <w:i w:val="0"/>
          <w:sz w:val="20"/>
        </w:rPr>
        <w:t xml:space="preserve"> (BRASIL, 2021, art. 84)</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 estimativas das quantidades para a contratação, acompanhadas das memórias de cálculo e dos documentos que lhes dão suporte, que considerem interdependências com outras contratações, de modo a possibilitar economia de escala;</w:t>
      </w:r>
      <w:r>
        <w:rPr>
          <w:b w:val="0"/>
          <w:i w:val="0"/>
          <w:sz w:val="20"/>
        </w:rPr>
        <w:t xml:space="preserve"> (BRASIL, 2021, art. 18, § 1º, inciso IV)</w:t>
      </w:r>
    </w:p>
    <w:p>
      <w:pPr>
        <w:spacing w:before="0" w:after="120" w:line="360" w:lineRule="auto"/>
        <w:ind w:firstLine="709"/>
        <w:jc w:val="both"/>
      </w:pPr>
      <w:r>
        <w:rPr>
          <w:b/>
          <w:i w:val="0"/>
          <w:color w:val="12324A"/>
        </w:rPr>
        <w:t xml:space="preserve">Análise. </w:t>
      </w:r>
      <w:r>
        <w:rPr>
          <w:b w:val="0"/>
          <w:i w:val="0"/>
        </w:rPr>
        <w:t>O edital fixa a quantidade máxima de cada item compatível com a vigência da ata (1 ano, prorrogável por igual período) e o planejamento não estima consumo para período maior que o da ata.</w:t>
      </w:r>
    </w:p>
    <w:p>
      <w:pPr>
        <w:spacing w:before="0" w:after="120" w:line="360" w:lineRule="auto"/>
        <w:ind w:firstLine="709"/>
        <w:jc w:val="both"/>
      </w:pPr>
      <w:r>
        <w:rPr>
          <w:b/>
          <w:i w:val="0"/>
          <w:color w:val="C9781E"/>
        </w:rPr>
        <w:t xml:space="preserve">Risco de manutenção. </w:t>
      </w:r>
      <w:r>
        <w:rPr>
          <w:b w:val="0"/>
          <w:i w:val="0"/>
        </w:rPr>
        <w:t>Se as 3 unidades correspondem a três anos de eventos, o registro está superdimensionado para a vigência da ata — o que também amplia o limite das adesões, calculado sobre esse quantitativo.</w:t>
      </w:r>
    </w:p>
    <w:p>
      <w:pPr>
        <w:spacing w:before="0" w:after="120" w:line="360" w:lineRule="auto"/>
        <w:ind w:firstLine="709"/>
        <w:jc w:val="both"/>
      </w:pPr>
      <w:r>
        <w:rPr>
          <w:b/>
          <w:i w:val="0"/>
          <w:color w:val="12324A"/>
        </w:rPr>
        <w:t xml:space="preserve">Providência recomendada. </w:t>
      </w:r>
      <w:r>
        <w:rPr>
          <w:b w:val="0"/>
          <w:i w:val="0"/>
        </w:rPr>
        <w:t>Dimensione a quantidade máxima para a vigência da ata, com memória de cálculo; planeje os anos seguintes em novo registro de preços.</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Representação sobre certame para mobiliário em que itens foram superestimados para comercialização na ata de registro de preços (prática de 'barriga de aluguel'). Empresas e agentes ouvidos em audiência; um revel e demais razões rejeitadas. Não se aplicou multa porque alguns responsáveis já haviam sido sancionados por outras irregularidades no mesmo certame; apensamento. Sumário oficial não cita dispositivos legais. Ata 41/2026; conferido na base oficial do TCU.</w:t>
      </w:r>
      <w:r>
        <w:rPr>
          <w:b w:val="0"/>
          <w:i w:val="0"/>
          <w:sz w:val="20"/>
        </w:rPr>
        <w:t xml:space="preserve"> (TCU, Acórdão 2910/2026-Plenário – TC 006.933/2025-4)</w:t>
      </w:r>
      <w:r>
        <w:rPr>
          <w:b w:val="0"/>
          <w:i w:val="0"/>
          <w:sz w:val="20"/>
        </w:rPr>
        <w:t xml:space="preserve"> </w:t>
      </w:r>
      <w:hyperlink r:id="rId21">
        <w:r>
          <w:rPr>
            <w:color w:val="1F7A8C"/>
            <w:u w:val="single"/>
            <w:sz w:val="18"/>
          </w:rPr>
          <w:t xml:space="preserve">[fonte oficial]</w:t>
        </w:r>
      </w:hyperlink>
    </w:p>
    <w:p>
      <w:pPr>
        <w:spacing w:before="80" w:after="200" w:line="240" w:lineRule="auto"/>
        <w:ind w:firstLine="0" w:left="2268"/>
        <w:jc w:val="both"/>
      </w:pPr>
      <w:r>
        <w:rPr>
          <w:b w:val="0"/>
          <w:i w:val="0"/>
          <w:sz w:val="20"/>
        </w:rPr>
        <w:t>Em edital de registro de preços que não indique a estimativa dos quantitativos a serem contratados, é irregular a previsão de adesão de órgãos não participantes (caronas), por contrariar os arts. 82, § 4º, e 86, §§ 4º e 5º, da Lei 14.133/2021.</w:t>
      </w:r>
      <w:r>
        <w:rPr>
          <w:b w:val="0"/>
          <w:i w:val="0"/>
          <w:sz w:val="20"/>
        </w:rPr>
        <w:t xml:space="preserve"> (TCU, Acórdão 1387/2026-Plenário)</w:t>
      </w:r>
      <w:r>
        <w:rPr>
          <w:b w:val="0"/>
          <w:i w:val="0"/>
          <w:sz w:val="20"/>
        </w:rPr>
        <w:t xml:space="preserve"> </w:t>
      </w:r>
      <w:hyperlink r:id="rId2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3.7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Não conforme   ·   Edital e minutas (ata e contrato), Edital, itens 1.2 e 1.3 (p. 3), capa (p. 1-2) e item 4.8 (p. 5); TR, item 2.8 (p. 33); minuta do contrato, item 2.1.1 (p. 69)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Três contradições: (1) o item 1.2 diz que a licitação é dividida em itens, e o item 1.3, que o julgamento é por lote; (2) o recebimento de propostas termina em 22/05 às 09h30, mas os itens 4.8 e 6.2 permitem retirar ou substituir propostas 'até a abertura da sessão pública', marcada para 25/05; (3) o TR e o ETP tratam o objeto como fornecimento continuado/serviços contínuos, mas a minuta do contrato prevê prorrogação automática da vigência quando o objeto não for concluído, regra própria de contratos por escopo (art. 111).</w:t>
      </w:r>
    </w:p>
    <w:p>
      <w:pPr>
        <w:spacing w:before="0" w:after="120" w:line="360" w:lineRule="auto"/>
        <w:ind w:firstLine="709"/>
        <w:jc w:val="both"/>
      </w:pPr>
      <w:r>
        <w:rPr>
          <w:b w:val="0"/>
          <w:i w:val="0"/>
        </w:rPr>
        <w:t>O documento dispõe: “1.2. A licitação será dividida em ITENS, conforme tabela constante do Termo de Referência. 1.3. O critério de julgamento adotado será o menor preço POR LOTE” (Edital, itens 1.2 e 1.3 (p. 3), capa (p. 1-2) e item 4.8 (p. 5); TR, item 2.8 (p. 33); minuta do contrato, item 2.1.1 (p. 69)).</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Datas, critério de julgamento, forma de adjudicação e demais regras são os mesmos no corpo do edital, no termo de referência, no ETP e nas minutas, sem disposições contraditórias.</w:t>
      </w:r>
    </w:p>
    <w:p>
      <w:pPr>
        <w:spacing w:before="0" w:after="120" w:line="360" w:lineRule="auto"/>
        <w:ind w:firstLine="709"/>
        <w:jc w:val="both"/>
      </w:pPr>
      <w:r>
        <w:rPr>
          <w:b/>
          <w:i w:val="0"/>
          <w:color w:val="C9781E"/>
        </w:rPr>
        <w:t xml:space="preserve">Risco de manutenção. </w:t>
      </w:r>
      <w:r>
        <w:rPr>
          <w:b w:val="0"/>
          <w:i w:val="0"/>
        </w:rPr>
        <w:t>Dúvida sobre a forma de adjudicação e sobre até quando a proposta pode ser alterada, com risco de impugnação e recurso; e cláusula de vigência aplicada a um tipo de contrato diferente do descrito no TR.</w:t>
      </w:r>
    </w:p>
    <w:p>
      <w:pPr>
        <w:spacing w:before="0" w:after="120" w:line="360" w:lineRule="auto"/>
        <w:ind w:firstLine="709"/>
        <w:jc w:val="both"/>
      </w:pPr>
      <w:r>
        <w:rPr>
          <w:b/>
          <w:i w:val="0"/>
          <w:color w:val="12324A"/>
        </w:rPr>
        <w:t xml:space="preserve">Providência recomendada. </w:t>
      </w:r>
      <w:r>
        <w:rPr>
          <w:b w:val="0"/>
          <w:i w:val="0"/>
        </w:rPr>
        <w:t>Revise o edital e os anexos juntos antes da publicação, com uma tabela única de datas, critério de julgamento e forma de adjudicação.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3.8 Participação em consórcio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item 2.6 (p. 33); Edital, item 3.6.8.2 (p. 4)</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Há justificativa formal para vedar consórcios, mas ela é genérica e contraditória: a vedação reduz, e não amplia, as possibilidades de participação.</w:t>
      </w:r>
    </w:p>
    <w:p>
      <w:pPr>
        <w:spacing w:before="0" w:after="120" w:line="360" w:lineRule="auto"/>
        <w:ind w:firstLine="709"/>
        <w:jc w:val="both"/>
      </w:pPr>
      <w:r>
        <w:rPr>
          <w:b w:val="0"/>
          <w:i w:val="0"/>
        </w:rPr>
        <w:t>O documento dispõe: “Nesta licitação não será admitida a possibilidade de Consórcio de empresas, para garantia de maior competitividade entre os participantes.” (TR, item 2.6 (p. 33); Edital, item 3.6.8.2 (p. 4)).</w:t>
      </w:r>
    </w:p>
    <w:p>
      <w:pPr>
        <w:spacing w:before="0" w:after="80" w:line="360" w:lineRule="auto"/>
        <w:ind w:firstLine="709"/>
        <w:jc w:val="both"/>
      </w:pPr>
      <w:r>
        <w:rPr>
          <w:b/>
          <w:i w:val="0"/>
          <w:color w:val="12324A"/>
        </w:rPr>
        <w:t xml:space="preserve">Dispositivo aplicável. </w:t>
      </w:r>
      <w:r>
        <w:rPr>
          <w:b w:val="0"/>
          <w:i w:val="0"/>
        </w:rPr>
        <w:t>A matéria é disciplinada pelo art. 15, da Lei 14.133/2021, que assim dispõe:</w:t>
      </w:r>
    </w:p>
    <w:p>
      <w:pPr>
        <w:spacing w:before="80" w:after="200" w:line="240" w:lineRule="auto"/>
        <w:ind w:firstLine="0" w:left="2268"/>
        <w:jc w:val="both"/>
      </w:pPr>
      <w:r>
        <w:rPr>
          <w:b w:val="0"/>
          <w:i w:val="0"/>
          <w:sz w:val="20"/>
        </w:rPr>
        <w:t>Salvo vedação devidamente justificada no processo licitatório, pessoa jurídica poderá participar de licitação em consórcio, observadas as seguintes normas: […]</w:t>
      </w:r>
      <w:r>
        <w:rPr>
          <w:b w:val="0"/>
          <w:i w:val="0"/>
          <w:sz w:val="20"/>
        </w:rPr>
        <w:t xml:space="preserve"> (BRASIL, 2021, art. 15)</w:t>
      </w:r>
    </w:p>
    <w:p>
      <w:pPr>
        <w:spacing w:before="0" w:after="120" w:line="360" w:lineRule="auto"/>
        <w:ind w:firstLine="709"/>
        <w:jc w:val="both"/>
      </w:pPr>
      <w:r>
        <w:rPr>
          <w:b/>
          <w:i w:val="0"/>
          <w:color w:val="12324A"/>
        </w:rPr>
        <w:t xml:space="preserve">Análise. </w:t>
      </w:r>
      <w:r>
        <w:rPr>
          <w:b w:val="0"/>
          <w:i w:val="0"/>
        </w:rPr>
        <w:t>Se o edital veda a participação de consórcios, a vedação está justificada no processo.</w:t>
      </w:r>
    </w:p>
    <w:p>
      <w:pPr>
        <w:spacing w:before="0" w:after="120" w:line="360" w:lineRule="auto"/>
        <w:ind w:firstLine="709"/>
        <w:jc w:val="both"/>
      </w:pPr>
      <w:r>
        <w:rPr>
          <w:b/>
          <w:i w:val="0"/>
          <w:color w:val="C9781E"/>
        </w:rPr>
        <w:t xml:space="preserve">Risco de manutenção. </w:t>
      </w:r>
      <w:r>
        <w:rPr>
          <w:b w:val="0"/>
          <w:i w:val="0"/>
        </w:rPr>
        <w:t>Vedação sem motivação pode restringir a competição em objetos de maior porte ou complexidade.</w:t>
      </w:r>
    </w:p>
    <w:p>
      <w:pPr>
        <w:spacing w:before="0" w:after="120" w:line="360" w:lineRule="auto"/>
        <w:ind w:firstLine="709"/>
        <w:jc w:val="both"/>
      </w:pPr>
      <w:r>
        <w:rPr>
          <w:b/>
          <w:i w:val="0"/>
          <w:color w:val="12324A"/>
        </w:rPr>
        <w:t xml:space="preserve">Providência recomendada. </w:t>
      </w:r>
      <w:r>
        <w:rPr>
          <w:b w:val="0"/>
          <w:i w:val="0"/>
        </w:rPr>
        <w:t>Fundamente a vedação nas características do objeto (por exemplo, baixa complexidade e mercado com muitos fornecedores aptos a executar cada lote isoladamente), ou admita consórcios com as regras do art. 15.</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vedação à participação de empresas em consórcio sem a apresentação, nos autos do processo licitatório, de justificativa técnica que demonstre a incompatibilidade dessa forma de associação com as características do objeto demandado afronta o art. 15 da Lei 14.133/2021.</w:t>
      </w:r>
      <w:r>
        <w:rPr>
          <w:b w:val="0"/>
          <w:i w:val="0"/>
          <w:sz w:val="20"/>
        </w:rPr>
        <w:t xml:space="preserve"> (TCU, Acórdão 25/2026-Plenário)</w:t>
      </w:r>
      <w:r>
        <w:rPr>
          <w:b w:val="0"/>
          <w:i w:val="0"/>
          <w:sz w:val="20"/>
        </w:rPr>
        <w:t xml:space="preserve"> </w:t>
      </w:r>
      <w:hyperlink r:id="rId23">
        <w:r>
          <w:rPr>
            <w:color w:val="1F7A8C"/>
            <w:u w:val="single"/>
            <w:sz w:val="18"/>
          </w:rPr>
          <w:t xml:space="preserve">[fonte oficial]</w:t>
        </w:r>
      </w:hyperlink>
    </w:p>
    <w:p>
      <w:pPr>
        <w:spacing w:before="80" w:after="200" w:line="240" w:lineRule="auto"/>
        <w:ind w:firstLine="0" w:left="2268"/>
        <w:jc w:val="both"/>
      </w:pPr>
      <w:r>
        <w:rPr>
          <w:b w:val="0"/>
          <w:i w:val="0"/>
          <w:sz w:val="20"/>
        </w:rPr>
        <w:t>A vedação da participação de consórcios em licitação deve ser justificada pela Administração</w:t>
      </w:r>
      <w:r>
        <w:rPr>
          <w:b w:val="0"/>
          <w:i w:val="0"/>
          <w:sz w:val="20"/>
        </w:rPr>
        <w:t xml:space="preserve"> (TCM-RJ, Voto 136/2026 · Proc. 040/100611/2026 · Enunciado 143)</w:t>
      </w:r>
      <w:r>
        <w:rPr>
          <w:b w:val="0"/>
          <w:i w:val="0"/>
          <w:sz w:val="20"/>
        </w:rPr>
        <w:t xml:space="preserve"> </w:t>
      </w:r>
      <w:hyperlink r:id="rId24">
        <w:r>
          <w:rPr>
            <w:color w:val="1F7A8C"/>
            <w:u w:val="single"/>
            <w:sz w:val="18"/>
          </w:rPr>
          <w:t xml:space="preserve">[fonte oficial]</w:t>
        </w:r>
      </w:hyperlink>
    </w:p>
    <w:p>
      <w:pPr>
        <w:pStyle w:val="Heading1"/>
        <w:keepNext/>
        <w:spacing w:before="360" w:after="160" w:line="360" w:lineRule="auto"/>
        <w:ind w:firstLine="0"/>
        <w:jc w:val="left"/>
      </w:pPr>
      <w:r>
        <w:rPr>
          <w:rFonts w:ascii="Arial" w:hAnsi="Arial"/>
          <w:b/>
          <w:i w:val="0"/>
          <w:color w:val="12324A"/>
          <w:sz w:val="24"/>
        </w:rPr>
        <w:t>4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Índice de reajuste com data-base no orçamento: </w:t>
      </w:r>
      <w:r>
        <w:rPr>
          <w:b w:val="0"/>
          <w:i w:val="0"/>
        </w:rPr>
        <w:t>A minuta do contrato fixa corretamente o IPCA-E com data-base na data do orçamento estimado (cláusula 7ª), mas o TR (item 1.4) menciona só o índice. Indique também no TR e no edital a data-base e o mês/ano do orçamento, para evitar leitura divergente. (art. 25, § 7º, da Lei 14.133/2021; art. 92, § 3º, da Lei 14.133/2021).</w:t>
      </w:r>
    </w:p>
    <w:p>
      <w:pPr>
        <w:spacing w:before="0" w:after="120" w:line="360" w:lineRule="auto"/>
        <w:ind w:left="425" w:hanging="425"/>
        <w:jc w:val="both"/>
      </w:pPr>
      <w:r>
        <w:rPr>
          <w:b/>
          <w:i w:val="0"/>
          <w:color w:val="1F7A8C"/>
        </w:rPr>
        <w:t xml:space="preserve">b) </w:t>
      </w:r>
      <w:r>
        <w:rPr>
          <w:b/>
          <w:i w:val="0"/>
        </w:rPr>
        <w:t xml:space="preserve">Qualificação técnica proporcional: </w:t>
      </w:r>
      <w:r>
        <w:rPr>
          <w:b w:val="0"/>
          <w:i w:val="0"/>
        </w:rPr>
        <w:t>O atestado exige apenas 'serviços compatíveis com o objeto'. Defina critérios objetivos de compatibilidade (por exemplo, execução de ornamentação temática de evento público com estrutura metálica e iluminação), para evitar julgamento subjetivo na habilitação. (art. 67, § 1º, da Lei 14.133/2021; art. 67, § 2º, da Lei 14.133/2021).</w:t>
      </w:r>
    </w:p>
    <w:p>
      <w:pPr>
        <w:spacing w:before="0" w:after="120" w:line="360" w:lineRule="auto"/>
        <w:ind w:left="425" w:hanging="425"/>
        <w:jc w:val="both"/>
      </w:pPr>
      <w:r>
        <w:rPr>
          <w:b/>
          <w:i w:val="0"/>
          <w:color w:val="1F7A8C"/>
        </w:rPr>
        <w:t xml:space="preserve">c) </w:t>
      </w:r>
      <w:r>
        <w:rPr>
          <w:b/>
          <w:i w:val="0"/>
        </w:rPr>
        <w:t xml:space="preserve">Garantia de proposta e garantia contratual: </w:t>
      </w:r>
      <w:r>
        <w:rPr>
          <w:b w:val="0"/>
          <w:i w:val="0"/>
        </w:rPr>
        <w:t>A garantia de proposta (0,15% do valor estimado) está abaixo do limite de 1%. Avalie se ela é necessária num registro de preços de serviços eventuais — encarece a participação de pequenas empresas — e, se mantida, não a calcule como percentual do orçamento sigiloso. (art. 58, § 1º, da Lei 14.133/2021; art. 98, da Lei 14.133/2021).</w:t>
      </w:r>
    </w:p>
    <w:p>
      <w:pPr>
        <w:pStyle w:val="Heading1"/>
        <w:keepNext/>
        <w:spacing w:before="360" w:after="160" w:line="360" w:lineRule="auto"/>
        <w:ind w:firstLine="0"/>
        <w:jc w:val="left"/>
      </w:pPr>
      <w:r>
        <w:rPr>
          <w:rFonts w:ascii="Arial" w:hAnsi="Arial"/>
          <w:b/>
          <w:i w:val="0"/>
          <w:color w:val="12324A"/>
          <w:sz w:val="24"/>
        </w:rPr>
        <w:t>5 CONCLUSÃO</w:t>
      </w:r>
    </w:p>
    <w:p>
      <w:pPr>
        <w:spacing w:before="0" w:after="120" w:line="360" w:lineRule="auto"/>
        <w:ind w:firstLine="709"/>
        <w:jc w:val="both"/>
      </w:pPr>
      <w:r>
        <w:rPr>
          <w:b w:val="0"/>
          <w:i w:val="0"/>
        </w:rPr>
        <w:t>Diante do exposto, o edital do Pregão Eletrônico nº 015/2026 – SRP apresenta estrutura adequada quanto aos procedimentos gerais (impugnação, recursos, sanções, declarações e reajuste), mas contém falhas relevantes no regime de registro de preços, duas delas de gravidade alta. Como o certame já foi homologado, as providências dirigem-se à gestão da ata em vigor — em especial a vedação de adesões por órgãos federais, estaduais e distritais — e ao aperfeiçoamento dos próximos editais.</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Registro de preços: julgamento por lote (grupo de itens) </w:t>
      </w:r>
      <w:r>
        <w:rPr>
          <w:b w:val="0"/>
          <w:i w:val="0"/>
          <w:color w:val="B23A48"/>
        </w:rPr>
        <w:t xml:space="preserve">(gravidade alta, item 3.1): </w:t>
      </w:r>
      <w:r>
        <w:rPr>
          <w:b w:val="0"/>
          <w:i w:val="0"/>
        </w:rPr>
        <w:t>Demonstre no ETP por que cada item não pode ser licitado isoladamente e qual a vantagem do lote; indique no edital o preço unitário máximo aceitável de cada item (ou o critério para aferi-lo).</w:t>
      </w:r>
    </w:p>
    <w:p>
      <w:pPr>
        <w:spacing w:before="0" w:after="80" w:line="360" w:lineRule="auto"/>
        <w:ind w:left="425" w:hanging="425"/>
        <w:jc w:val="both"/>
      </w:pPr>
      <w:r>
        <w:rPr>
          <w:b/>
          <w:i w:val="0"/>
          <w:color w:val="B23A48"/>
        </w:rPr>
        <w:t xml:space="preserve">2. </w:t>
      </w:r>
      <w:r>
        <w:rPr>
          <w:b/>
          <w:i w:val="0"/>
        </w:rPr>
        <w:t xml:space="preserve">Prazo mínimo para apresentação de propostas </w:t>
      </w:r>
      <w:r>
        <w:rPr>
          <w:b w:val="0"/>
          <w:i w:val="0"/>
          <w:color w:val="B23A48"/>
        </w:rPr>
        <w:t xml:space="preserve">(gravidade alta, item 3.2): </w:t>
      </w:r>
      <w:r>
        <w:rPr>
          <w:b w:val="0"/>
          <w:i w:val="0"/>
        </w:rPr>
        <w:t>Conte o prazo pelo art. 183 a partir da divulgação no PNCP e fixe o fim do recebimento de propostas, no mínimo, no último dia do prazo — de preferência coincidindo com a abertura da sessão.</w:t>
      </w:r>
    </w:p>
    <w:p>
      <w:pPr>
        <w:spacing w:before="0" w:after="80" w:line="360" w:lineRule="auto"/>
        <w:ind w:left="425" w:hanging="425"/>
        <w:jc w:val="both"/>
      </w:pPr>
      <w:r>
        <w:rPr>
          <w:b/>
          <w:i w:val="0"/>
          <w:color w:val="C9781E"/>
        </w:rPr>
        <w:t xml:space="preserve">3. </w:t>
      </w:r>
      <w:r>
        <w:rPr>
          <w:b/>
          <w:i w:val="0"/>
        </w:rPr>
        <w:t xml:space="preserve">Orçamento sigiloso motivado </w:t>
      </w:r>
      <w:r>
        <w:rPr>
          <w:b w:val="0"/>
          <w:i w:val="0"/>
          <w:color w:val="C9781E"/>
        </w:rPr>
        <w:t xml:space="preserve">(gravidade média, item 3.3): </w:t>
      </w:r>
      <w:r>
        <w:rPr>
          <w:b w:val="0"/>
          <w:i w:val="0"/>
        </w:rPr>
        <w:t>Escolha um caminho e seja coerente: (a) orçamento público, divulgado no edital e no PNCP; ou (b) orçamento sigiloso, com justificativa específica para o objeto, cadastrado como sigiloso no PNCP e sem parâmetros que permitam deduzi-lo (como garantia proporcional ao valor estimado).</w:t>
      </w:r>
    </w:p>
    <w:p>
      <w:pPr>
        <w:spacing w:before="0" w:after="80" w:line="360" w:lineRule="auto"/>
        <w:ind w:left="425" w:hanging="425"/>
        <w:jc w:val="both"/>
      </w:pPr>
      <w:r>
        <w:rPr>
          <w:b/>
          <w:i w:val="0"/>
          <w:color w:val="C9781E"/>
        </w:rPr>
        <w:t xml:space="preserve">4. </w:t>
      </w:r>
      <w:r>
        <w:rPr>
          <w:b/>
          <w:i w:val="0"/>
        </w:rPr>
        <w:t xml:space="preserve">Registro de preços: quem pode aderir à ata </w:t>
      </w:r>
      <w:r>
        <w:rPr>
          <w:b w:val="0"/>
          <w:i w:val="0"/>
          <w:color w:val="C9781E"/>
        </w:rPr>
        <w:t xml:space="preserve">(gravidade média, item 3.4): </w:t>
      </w:r>
      <w:r>
        <w:rPr>
          <w:b w:val="0"/>
          <w:i w:val="0"/>
        </w:rPr>
        <w:t>Restrinja a adesão aos órgãos e entidades municipais (art. 86, § 3º, II) e mantenha os limites dos §§ 4º e 5º.</w:t>
      </w:r>
    </w:p>
    <w:p>
      <w:pPr>
        <w:spacing w:before="0" w:after="80" w:line="360" w:lineRule="auto"/>
        <w:ind w:left="425" w:hanging="425"/>
        <w:jc w:val="both"/>
      </w:pPr>
      <w:r>
        <w:rPr>
          <w:b/>
          <w:i w:val="0"/>
          <w:color w:val="C9781E"/>
        </w:rPr>
        <w:t xml:space="preserve">5. </w:t>
      </w:r>
      <w:r>
        <w:rPr>
          <w:b/>
          <w:i w:val="0"/>
        </w:rPr>
        <w:t xml:space="preserve">Registro de preços: regras obrigatórias do edital </w:t>
      </w:r>
      <w:r>
        <w:rPr>
          <w:b w:val="0"/>
          <w:i w:val="0"/>
          <w:color w:val="C9781E"/>
        </w:rPr>
        <w:t xml:space="preserve">(gravidade média, item 3.5): </w:t>
      </w:r>
      <w:r>
        <w:rPr>
          <w:b w:val="0"/>
          <w:i w:val="0"/>
        </w:rPr>
        <w:t>Inclua os três incisos faltantes no edital, ainda que para declarar a opção adotada (por exemplo: 'não será admitida proposta com quantitativo inferior ao máximo previsto').</w:t>
      </w:r>
    </w:p>
    <w:p>
      <w:pPr>
        <w:spacing w:before="0" w:after="80" w:line="360" w:lineRule="auto"/>
        <w:ind w:left="425" w:hanging="425"/>
        <w:jc w:val="both"/>
      </w:pPr>
      <w:r>
        <w:rPr>
          <w:b/>
          <w:i w:val="0"/>
          <w:color w:val="C9781E"/>
        </w:rPr>
        <w:t xml:space="preserve">6. </w:t>
      </w:r>
      <w:r>
        <w:rPr>
          <w:b/>
          <w:i w:val="0"/>
        </w:rPr>
        <w:t xml:space="preserve">Registro de preços: quantidades e vigência da ata </w:t>
      </w:r>
      <w:r>
        <w:rPr>
          <w:b w:val="0"/>
          <w:i w:val="0"/>
          <w:color w:val="C9781E"/>
        </w:rPr>
        <w:t xml:space="preserve">(gravidade média, item 3.6): </w:t>
      </w:r>
      <w:r>
        <w:rPr>
          <w:b w:val="0"/>
          <w:i w:val="0"/>
        </w:rPr>
        <w:t>Dimensione a quantidade máxima para a vigência da ata, com memória de cálculo; planeje os anos seguintes em novo registro de preços.</w:t>
      </w:r>
    </w:p>
    <w:p>
      <w:pPr>
        <w:spacing w:before="0" w:after="80" w:line="360" w:lineRule="auto"/>
        <w:ind w:left="425" w:hanging="425"/>
        <w:jc w:val="both"/>
      </w:pPr>
      <w:r>
        <w:rPr>
          <w:b/>
          <w:i w:val="0"/>
          <w:color w:val="C9781E"/>
        </w:rPr>
        <w:t xml:space="preserve">7. </w:t>
      </w:r>
      <w:r>
        <w:rPr>
          <w:b/>
          <w:i w:val="0"/>
        </w:rPr>
        <w:t xml:space="preserve">Coerência interna do edital e dos anexos </w:t>
      </w:r>
      <w:r>
        <w:rPr>
          <w:b w:val="0"/>
          <w:i w:val="0"/>
          <w:color w:val="C9781E"/>
        </w:rPr>
        <w:t xml:space="preserve">(gravidade média, item 3.7): </w:t>
      </w:r>
      <w:r>
        <w:rPr>
          <w:b w:val="0"/>
          <w:i w:val="0"/>
        </w:rPr>
        <w:t>Revise o edital e os anexos juntos antes da publicação, com uma tabela única de datas, critério de julgamento e forma de adjudicação.</w:t>
      </w:r>
    </w:p>
    <w:p>
      <w:pPr>
        <w:spacing w:before="0" w:after="80" w:line="360" w:lineRule="auto"/>
        <w:ind w:left="425" w:hanging="425"/>
        <w:jc w:val="both"/>
      </w:pPr>
      <w:r>
        <w:rPr>
          <w:b/>
          <w:i w:val="0"/>
          <w:color w:val="C9781E"/>
        </w:rPr>
        <w:t xml:space="preserve">8. </w:t>
      </w:r>
      <w:r>
        <w:rPr>
          <w:b/>
          <w:i w:val="0"/>
        </w:rPr>
        <w:t xml:space="preserve">Participação em consórcio </w:t>
      </w:r>
      <w:r>
        <w:rPr>
          <w:b w:val="0"/>
          <w:i w:val="0"/>
          <w:color w:val="C9781E"/>
        </w:rPr>
        <w:t xml:space="preserve">(gravidade média, item 3.8): </w:t>
      </w:r>
      <w:r>
        <w:rPr>
          <w:b w:val="0"/>
          <w:i w:val="0"/>
        </w:rPr>
        <w:t>Fundamente a vedação nas características do objeto (por exemplo, baixa complexidade e mercado com muitos fornecedores aptos a executar cada lote isoladamente), ou admita consórcios com as regras do art. 15.</w:t>
      </w:r>
    </w:p>
    <w:p>
      <w:pPr>
        <w:spacing w:before="120" w:after="120" w:line="360" w:lineRule="auto"/>
        <w:ind w:firstLine="709"/>
        <w:jc w:val="both"/>
      </w:pPr>
      <w:r>
        <w:rPr>
          <w:b w:val="0"/>
          <w:i w:val="0"/>
        </w:rPr>
        <w:t>O presente parecer tem natureza técnica, de apoio à instrução do processo, e não substitui a análise jurídica prévia obrigatória (art. 53 da Lei 14.133/2021) nem a decisão da autoridade competente.</w:t>
      </w:r>
    </w:p>
    <w:p>
      <w:pPr>
        <w:spacing w:before="0" w:after="360" w:line="360" w:lineRule="auto"/>
        <w:ind w:firstLine="709"/>
        <w:jc w:val="both"/>
      </w:pPr>
      <w:r>
        <w:rPr>
          <w:b w:val="0"/>
          <w:i w:val="0"/>
        </w:rPr>
        <w:t>É o parecer técnico.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Tribunal de Contas da União (Plenário). Acórdão 1347/2018-Plenário. Relator: Ministro(a) Bruno Dantas. Julgado em 13 jun. 2018. TCU – Jurisprudência Selecionada. Disponível em: https://pesquisa.apps.tcu.gov.br/documento/jurisprudencia-selecionada/*/KEY%253AJURISPRUDENCIA-SELECIONADA-58300/score%2520desc/0. Acesso em: 28 out. 2026.</w:t>
      </w:r>
    </w:p>
    <w:p>
      <w:pPr>
        <w:spacing w:before="0" w:after="240" w:line="240" w:lineRule="auto"/>
        <w:ind w:firstLine="0"/>
        <w:jc w:val="left"/>
      </w:pPr>
      <w:r>
        <w:rPr>
          <w:b w:val="0"/>
          <w:i w:val="0"/>
          <w:sz w:val="22"/>
        </w:rPr>
        <w:t>BRASIL. Tribunal de Contas da União (Plenário). Acórdão 1347/2018-Plenário. Relator: Ministro(a) Bruno Dantas. Julgado em 13 jun. 2018. TCU – Jurisprudência Selecionada. Disponível em: https://pesquisa.apps.tcu.gov.br/documento/jurisprudencia-selecionada/*/KEY%253AJURISPRUDENCIA-SELECIONADA-58558/score%2520desc/0. Acesso em: 28 out. 2026.</w:t>
      </w:r>
    </w:p>
    <w:p>
      <w:pPr>
        <w:spacing w:before="0" w:after="240" w:line="240" w:lineRule="auto"/>
        <w:ind w:firstLine="0"/>
        <w:jc w:val="left"/>
      </w:pPr>
      <w:r>
        <w:rPr>
          <w:b w:val="0"/>
          <w:i w:val="0"/>
          <w:sz w:val="22"/>
        </w:rPr>
        <w:t>BRASIL. Tribunal de Contas da União (Plenário). Acórdão 1387/2026-Plenário. Relator: Ministro(a) Antonio Anastasia. Julgado em 27 maio 2026. TCU – Jurisprudência Selecionada (BJ nº 587 de 15/06/2026). Disponível em: https://pesquisa.apps.tcu.gov.br/documento/jurisprudencia-selecionada/*/KEY%253AJURISPRUDENCIA-SELECIONADA-203563/score%2520desc/0. Acesso em: 28 out. 2026.</w:t>
      </w:r>
    </w:p>
    <w:p>
      <w:pPr>
        <w:spacing w:before="0" w:after="240" w:line="240" w:lineRule="auto"/>
        <w:ind w:firstLine="0"/>
        <w:jc w:val="left"/>
      </w:pPr>
      <w:r>
        <w:rPr>
          <w:b w:val="0"/>
          <w:i w:val="0"/>
          <w:sz w:val="22"/>
        </w:rPr>
        <w:t>BRASIL. Tribunal de Contas da União (Plenário). Acórdão 1564/2025-Plenário. Relator: Ministro(a) Antonio Anastasia. Julgado em 16 jul. 2025. TCU – Jurisprudência Selecionada (Informativo de Licitações e Contratos nº 510 de 12/08/2025 BJ nº 549 de 04/08/2025). Disponível em: https://pesquisa.apps.tcu.gov.br/documento/jurisprudencia-selecionada/*/KEY%253AJURISPRUDENCIA-SELECIONADA-186887/score%2520desc/0. Acesso em: 28 out. 2026.</w:t>
      </w:r>
    </w:p>
    <w:p>
      <w:pPr>
        <w:spacing w:before="0" w:after="240" w:line="240" w:lineRule="auto"/>
        <w:ind w:firstLine="0"/>
        <w:jc w:val="left"/>
      </w:pPr>
      <w:r>
        <w:rPr>
          <w:b w:val="0"/>
          <w:i w:val="0"/>
          <w:sz w:val="22"/>
        </w:rPr>
        <w:t>BRASIL. Tribunal de Contas da União (Plenário). Acórdão 1635/2026-Plenário. Relator: Ministro(a) Jhonatan De Jesus. Julgado em 24 jun. 2026. TCU – Jurisprudência Selecionada (BJ nº 591 de 13/07/2026). Disponível em: https://pesquisa.apps.tcu.gov.br/documento/jurisprudencia-selecionada/*/KEY%253AJURISPRUDENCIA-SELECIONADA-205376/score%2520desc/0. Acesso em: 28 out. 2026.</w:t>
      </w:r>
    </w:p>
    <w:p>
      <w:pPr>
        <w:spacing w:before="0" w:after="240" w:line="240" w:lineRule="auto"/>
        <w:ind w:firstLine="0"/>
        <w:jc w:val="left"/>
      </w:pPr>
      <w:r>
        <w:rPr>
          <w:b w:val="0"/>
          <w:i w:val="0"/>
          <w:sz w:val="22"/>
        </w:rPr>
        <w:t>BRASIL. Tribunal de Contas da União (Plenário). Acórdão 1851/2022-Plenário. Relator: Ministro(a) Bruno Dantas. Julgado em 10 ago. 2022. TCU – Jurisprudência Selecionada. Disponível em: https://pesquisa.apps.tcu.gov.br/documento/jurisprudencia-selecionada/*/KEY%253AJURISPRUDENCIA-SELECIONADA-137717/score%2520desc/0. Acesso em: 28 out. 2026.</w:t>
      </w:r>
    </w:p>
    <w:p>
      <w:pPr>
        <w:spacing w:before="0" w:after="240" w:line="240" w:lineRule="auto"/>
        <w:ind w:firstLine="0"/>
        <w:jc w:val="left"/>
      </w:pPr>
      <w:r>
        <w:rPr>
          <w:b w:val="0"/>
          <w:i w:val="0"/>
          <w:sz w:val="22"/>
        </w:rPr>
        <w:t>BRASIL. Tribunal de Contas da União (Plenário). Acórdão 2190/2024-Plenário. Relator: Ministro(a) Augusto Nardes. Julgado em 16 out. 2024. TCU – Jurisprudência Selecionada (BJ nº 516 de 04/11/2024). Disponível em: https://pesquisa.apps.tcu.gov.br/documento/jurisprudencia-selecionada/*/KEY%253AJURISPRUDENCIA-SELECIONADA-175486/score%2520desc/0. Acesso em: 28 out. 2026.</w:t>
      </w:r>
    </w:p>
    <w:p>
      <w:pPr>
        <w:spacing w:before="0" w:after="240" w:line="240" w:lineRule="auto"/>
        <w:ind w:firstLine="0"/>
        <w:jc w:val="left"/>
      </w:pPr>
      <w:r>
        <w:rPr>
          <w:b w:val="0"/>
          <w:i w:val="0"/>
          <w:sz w:val="22"/>
        </w:rPr>
        <w:t>BRASIL. Tribunal de Contas da União (Plenário). Acórdão 2272/2026-Plenário. Relator: Ministro(a) Jorge Oliveira. Julgado em 25 ago. 2026. TCU – Jurisprudência Selecionada. Disponível em: https://pesquisa.apps.tcu.gov.br/documento/jurisprudencia-selecionada/*/KEY%253AJURISPRUDENCIA-SELECIONADA-208056/score%2520desc/0. Acesso em: 28 out. 2026.</w:t>
      </w:r>
    </w:p>
    <w:p>
      <w:pPr>
        <w:spacing w:before="0" w:after="240" w:line="240" w:lineRule="auto"/>
        <w:ind w:firstLine="0"/>
        <w:jc w:val="left"/>
      </w:pPr>
      <w:r>
        <w:rPr>
          <w:b w:val="0"/>
          <w:i w:val="0"/>
          <w:sz w:val="22"/>
        </w:rPr>
        <w:t>BRASIL. Tribunal de Contas da União (Plenário). Acórdão 25/2026-Plenário. Relator: Ministro(a) Benjamin Zymler. Julgado em 21 jan. 2026. TCU – Jurisprudência Selecionada (BJ nº 570 de 09/02/2026). Disponível em: https://pesquisa.apps.tcu.gov.br/documento/jurisprudencia-selecionada/*/KEY%253AJURISPRUDENCIA-SELECIONADA-195296/score%2520desc/0. Acesso em: 28 out. 2026.</w:t>
      </w:r>
    </w:p>
    <w:p>
      <w:pPr>
        <w:spacing w:before="0" w:after="240" w:line="240" w:lineRule="auto"/>
        <w:ind w:firstLine="0"/>
        <w:jc w:val="left"/>
      </w:pPr>
      <w:r>
        <w:rPr>
          <w:b w:val="0"/>
          <w:i w:val="0"/>
          <w:sz w:val="22"/>
        </w:rPr>
        <w:t>BRASIL. Tribunal de Contas da União (Plenário). Acórdão 2910/2026-Plenário – TC 006.933/2025-4. Relator: Ministro(a) Benjamin Zymler. Julgado em 21 out. 2026. TCU – Pesquisa de acórdãos. Disponível em: https://pesquisa.apps.tcu.gov.br/documento/acordao-completo/*/KEY%253AACORDAO-COMPLETO-2782230/score%2520desc/0. Acesso em: 28 out. 2026.</w:t>
      </w:r>
    </w:p>
    <w:p>
      <w:pPr>
        <w:spacing w:before="0" w:after="240" w:line="240" w:lineRule="auto"/>
        <w:ind w:firstLine="0"/>
        <w:jc w:val="left"/>
      </w:pPr>
      <w:r>
        <w:rPr>
          <w:b w:val="0"/>
          <w:i w:val="0"/>
          <w:sz w:val="22"/>
        </w:rPr>
        <w:t>BRASIL. Tribunal de Contas da União (Plenário). Acórdão 2921/2026-Plenário – TC 021.316/2026-0. Relator: Ministro(a) Jhonatan de Jesus. Julgado em 21 out. 2026. TCU – Pesquisa de acórdãos. Disponível em: https://pesquisa.apps.tcu.gov.br/documento/acordao-completo/*/KEY%253AACORDAO-COMPLETO-2783491/score%2520desc/0. Acesso em: 28 out. 2026.</w:t>
      </w:r>
    </w:p>
    <w:p>
      <w:pPr>
        <w:spacing w:before="0" w:after="240" w:line="240" w:lineRule="auto"/>
        <w:ind w:firstLine="0"/>
        <w:jc w:val="left"/>
      </w:pPr>
      <w:r>
        <w:rPr>
          <w:b w:val="0"/>
          <w:i w:val="0"/>
          <w:sz w:val="22"/>
        </w:rPr>
        <w:t>CAMPO MAIOR (PI). Secretaria Municipal de Cultura e Desenvolvimento do Turismo. Edital do Pregão Eletrônico nº 015/2026 – SRP. Processo nº 4232/2026. Campo Maior: Prefeitura Municipal, 2026. Disponível em: https://pncp.gov.br/app/editais/06716880000183/2026/22. Acesso em: 29 out. 2026.</w:t>
      </w:r>
    </w:p>
    <w:p>
      <w:pPr>
        <w:spacing w:before="0" w:after="240" w:line="240" w:lineRule="auto"/>
        <w:ind w:firstLine="0"/>
        <w:jc w:val="left"/>
      </w:pPr>
      <w:r>
        <w:rPr>
          <w:b w:val="0"/>
          <w:i w:val="0"/>
          <w:sz w:val="22"/>
        </w:rPr>
        <w:t>RIO DE JANEIRO (Estado). Tribunal de Contas do Estado do Rio de Janeiro (Plenário). Acórdão 49600/2025 – Processo 228.123-0/2025. Relator: Conselheiro Marianna Montebello Willeman. Julgado em 6 out. 2025. TCE-RJ – Jurisprudência Selecionada. Disponível em: https://www.tcerj.tc.br/cadastro-publicacoes/public/jurisprudencia-selecionada. Acesso em: 28 out. 2026.</w:t>
      </w:r>
    </w:p>
    <w:p>
      <w:pPr>
        <w:spacing w:before="0" w:after="240" w:line="240" w:lineRule="auto"/>
        <w:ind w:firstLine="0"/>
        <w:jc w:val="left"/>
      </w:pPr>
      <w:r>
        <w:rPr>
          <w:b w:val="0"/>
          <w:i w:val="0"/>
          <w:sz w:val="22"/>
        </w:rPr>
        <w:t>RIO DE JANEIRO (Município). Tribunal de Contas do Município do Rio de Janeiro (Plenário). Voto 136/2026 · Proc. 040/100611/2026 · Enunciado 143. Relator: Conselheiro Felipe Galvão Puccioni. Julgado em 11 mar. 2026. TCM-RJ – TCMJuris (decisões selecionadas). Disponível em: https://etcm.tcmrio.tc.br/Processo/Ficha?ctid=2427894. Acesso em: 28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24; art. 18, inciso XI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II; art. 82, inciso IV; art. 82, inciso VI; art. 82, inciso VII; art. 82, inciso VIII; art. 82,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Matriz obrigatória em grande vulto e contratação integrada/semi-integrada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Mapa / Matriz de Riscos</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22, § 3º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Vistoria prévia substituível por declaração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Termo de Referência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63, § 2º; art. 63, § 3º</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código de verificação 2D01B3CEEB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Análise técnica de apoio à instrução processual · não substitui o parecer jurídico do art. 53 da Lei 14.133/2021 · código de verificação 2D01B3CEEB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001/2026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jurisprudencia-selecionada/*/KEY%253AJURISPRUDENCIA-SELECIONADA-58300/score%2520desc/0" TargetMode="External"/><Relationship Id="rId13" Type="http://schemas.openxmlformats.org/officeDocument/2006/relationships/hyperlink" Target="https://pesquisa.apps.tcu.gov.br/documento/jurisprudencia-selecionada/*/KEY%253AJURISPRUDENCIA-SELECIONADA-58558/score%2520desc/0" TargetMode="External"/><Relationship Id="rId14" Type="http://schemas.openxmlformats.org/officeDocument/2006/relationships/hyperlink" Target="https://pesquisa.apps.tcu.gov.br/documento/acordao-completo/*/KEY%253AACORDAO-COMPLETO-2783491/score%2520desc/0" TargetMode="External"/><Relationship Id="rId15" Type="http://schemas.openxmlformats.org/officeDocument/2006/relationships/hyperlink" Target="https://pesquisa.apps.tcu.gov.br/documento/jurisprudencia-selecionada/*/KEY%253AJURISPRUDENCIA-SELECIONADA-205376/score%2520desc/0" TargetMode="External"/><Relationship Id="rId16" Type="http://schemas.openxmlformats.org/officeDocument/2006/relationships/hyperlink" Target="https://pesquisa.apps.tcu.gov.br/documento/jurisprudencia-selecionada/*/KEY%253AJURISPRUDENCIA-SELECIONADA-175486/score%2520desc/0" TargetMode="External"/><Relationship Id="rId17" Type="http://schemas.openxmlformats.org/officeDocument/2006/relationships/hyperlink" Target="https://pesquisa.apps.tcu.gov.br/documento/jurisprudencia-selecionada/*/KEY%253AJURISPRUDENCIA-SELECIONADA-137717/score%2520desc/0" TargetMode="External"/><Relationship Id="rId18" Type="http://schemas.openxmlformats.org/officeDocument/2006/relationships/hyperlink" Target="https://www.tcerj.tc.br/cadastro-publicacoes/public/jurisprudencia-selecionada" TargetMode="External"/><Relationship Id="rId19" Type="http://schemas.openxmlformats.org/officeDocument/2006/relationships/hyperlink" Target="https://pesquisa.apps.tcu.gov.br/documento/jurisprudencia-selecionada/*/KEY%253AJURISPRUDENCIA-SELECIONADA-208056/score%2520desc/0" TargetMode="External"/><Relationship Id="rId20" Type="http://schemas.openxmlformats.org/officeDocument/2006/relationships/hyperlink" Target="https://pesquisa.apps.tcu.gov.br/documento/jurisprudencia-selecionada/*/KEY%253AJURISPRUDENCIA-SELECIONADA-186887/score%2520desc/0" TargetMode="External"/><Relationship Id="rId21" Type="http://schemas.openxmlformats.org/officeDocument/2006/relationships/hyperlink" Target="https://pesquisa.apps.tcu.gov.br/documento/acordao-completo/*/KEY%253AACORDAO-COMPLETO-2782230/score%2520desc/0" TargetMode="External"/><Relationship Id="rId22" Type="http://schemas.openxmlformats.org/officeDocument/2006/relationships/hyperlink" Target="https://pesquisa.apps.tcu.gov.br/documento/jurisprudencia-selecionada/*/KEY%253AJURISPRUDENCIA-SELECIONADA-203563/score%2520desc/0" TargetMode="External"/><Relationship Id="rId23" Type="http://schemas.openxmlformats.org/officeDocument/2006/relationships/hyperlink" Target="https://pesquisa.apps.tcu.gov.br/documento/jurisprudencia-selecionada/*/KEY%253AJURISPRUDENCIA-SELECIONADA-195296/score%2520desc/0" TargetMode="External"/><Relationship Id="rId24" Type="http://schemas.openxmlformats.org/officeDocument/2006/relationships/hyperlink" Target="https://etcm.tcmrio.tc.br/Processo/Ficha?ctid=24278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