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1D64/2026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Contratação de empresa especializada em gestão de mão de obra, com dedicação exclusiva (435 postos de Auxiliar de Desenvolvimento Infantil), para atendimento da Educação Infantil nas Unidades Escolares da Secretaria de Educação, por 12 meses prorrogáveis. Valor estimado de R$ 40.955.284,80.</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Educação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54/2026 – Processo Administrativo nº 18321/2025 (PNCP 29131075000193-1-000445/2026)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 menor preço global, modo de disputa aberto, empreitada por preço unitário;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6</w:t>
      </w:r>
    </w:p>
    <w:p>
      <w:pPr>
        <w:tabs>
          <w:tab w:pos="9071" w:val="right" w:leader="dot"/>
        </w:tabs>
        <w:spacing w:before="0" w:after="0" w:line="360" w:lineRule="auto"/>
        <w:ind w:firstLine="0" w:left="0"/>
        <w:jc w:val="left"/>
      </w:pPr>
      <w:r>
        <w:rPr>
          <w:b/>
          <w:i w:val="0"/>
          <w:sz w:val="22"/>
        </w:rPr>
        <w:t>3 FUNDAMENTAÇÃO</w:t>
      </w:r>
      <w:r>
        <w:rPr>
          <w:b/>
          <w:i w:val="0"/>
          <w:sz w:val="22"/>
        </w:rPr>
        <w:tab/>
        <w:t>7</w:t>
      </w:r>
    </w:p>
    <w:p>
      <w:pPr>
        <w:tabs>
          <w:tab w:pos="9071" w:val="right" w:leader="dot"/>
        </w:tabs>
        <w:spacing w:before="0" w:after="0" w:line="360" w:lineRule="auto"/>
        <w:ind w:firstLine="0" w:left="340"/>
        <w:jc w:val="left"/>
      </w:pPr>
      <w:r>
        <w:rPr>
          <w:b w:val="0"/>
          <w:i w:val="0"/>
          <w:sz w:val="21"/>
        </w:rPr>
        <w:t>3.1 Atribuições dos postos incluem tarefas pedagógicas: risco de terceirização de atividade-fim</w:t>
      </w:r>
      <w:r>
        <w:rPr>
          <w:b w:val="0"/>
          <w:i w:val="0"/>
          <w:sz w:val="21"/>
        </w:rPr>
        <w:tab/>
        <w:t>7</w:t>
      </w:r>
    </w:p>
    <w:p>
      <w:pPr>
        <w:tabs>
          <w:tab w:pos="9071" w:val="right" w:leader="dot"/>
        </w:tabs>
        <w:spacing w:before="0" w:after="0" w:line="360" w:lineRule="auto"/>
        <w:ind w:firstLine="0" w:left="340"/>
        <w:jc w:val="left"/>
      </w:pPr>
      <w:r>
        <w:rPr>
          <w:b w:val="0"/>
          <w:i w:val="0"/>
          <w:sz w:val="21"/>
        </w:rPr>
        <w:t>3.2 Índice de reajuste com data-base no orçamento</w:t>
      </w:r>
      <w:r>
        <w:rPr>
          <w:b w:val="0"/>
          <w:i w:val="0"/>
          <w:sz w:val="21"/>
        </w:rPr>
        <w:tab/>
        <w:t>8</w:t>
      </w:r>
    </w:p>
    <w:p>
      <w:pPr>
        <w:tabs>
          <w:tab w:pos="9071" w:val="right" w:leader="dot"/>
        </w:tabs>
        <w:spacing w:before="0" w:after="0" w:line="360" w:lineRule="auto"/>
        <w:ind w:firstLine="0" w:left="340"/>
        <w:jc w:val="left"/>
      </w:pPr>
      <w:r>
        <w:rPr>
          <w:b w:val="0"/>
          <w:i w:val="0"/>
          <w:sz w:val="21"/>
        </w:rPr>
        <w:t>3.3 Critério de reajuste em serviços contínuos</w:t>
      </w:r>
      <w:r>
        <w:rPr>
          <w:b w:val="0"/>
          <w:i w:val="0"/>
          <w:sz w:val="21"/>
        </w:rPr>
        <w:tab/>
        <w:t>9</w:t>
      </w:r>
    </w:p>
    <w:p>
      <w:pPr>
        <w:tabs>
          <w:tab w:pos="9071" w:val="right" w:leader="dot"/>
        </w:tabs>
        <w:spacing w:before="0" w:after="0" w:line="360" w:lineRule="auto"/>
        <w:ind w:firstLine="0" w:left="340"/>
        <w:jc w:val="left"/>
      </w:pPr>
      <w:r>
        <w:rPr>
          <w:b w:val="0"/>
          <w:i w:val="0"/>
          <w:sz w:val="21"/>
        </w:rPr>
        <w:t>3.4 Qualificação técnica proporcional</w:t>
      </w:r>
      <w:r>
        <w:rPr>
          <w:b w:val="0"/>
          <w:i w:val="0"/>
          <w:sz w:val="21"/>
        </w:rPr>
        <w:tab/>
        <w:t>11</w:t>
      </w:r>
    </w:p>
    <w:p>
      <w:pPr>
        <w:tabs>
          <w:tab w:pos="9071" w:val="right" w:leader="dot"/>
        </w:tabs>
        <w:spacing w:before="0" w:after="0" w:line="360" w:lineRule="auto"/>
        <w:ind w:firstLine="0" w:left="340"/>
        <w:jc w:val="left"/>
      </w:pPr>
      <w:r>
        <w:rPr>
          <w:b w:val="0"/>
          <w:i w:val="0"/>
          <w:sz w:val="21"/>
        </w:rPr>
        <w:t>3.5 Qualificação econômico-financeira</w:t>
      </w:r>
      <w:r>
        <w:rPr>
          <w:b w:val="0"/>
          <w:i w:val="0"/>
          <w:sz w:val="21"/>
        </w:rPr>
        <w:tab/>
        <w:t>13</w:t>
      </w:r>
    </w:p>
    <w:p>
      <w:pPr>
        <w:tabs>
          <w:tab w:pos="9071" w:val="right" w:leader="dot"/>
        </w:tabs>
        <w:spacing w:before="0" w:after="0" w:line="360" w:lineRule="auto"/>
        <w:ind w:firstLine="0" w:left="340"/>
        <w:jc w:val="left"/>
      </w:pPr>
      <w:r>
        <w:rPr>
          <w:b w:val="0"/>
          <w:i w:val="0"/>
          <w:sz w:val="21"/>
        </w:rPr>
        <w:t>3.6 Tratamento diferenciado a ME e EPP</w:t>
      </w:r>
      <w:r>
        <w:rPr>
          <w:b w:val="0"/>
          <w:i w:val="0"/>
          <w:sz w:val="21"/>
        </w:rPr>
        <w:tab/>
        <w:t>14</w:t>
      </w:r>
    </w:p>
    <w:p>
      <w:pPr>
        <w:tabs>
          <w:tab w:pos="9071" w:val="right" w:leader="dot"/>
        </w:tabs>
        <w:spacing w:before="0" w:after="0" w:line="360" w:lineRule="auto"/>
        <w:ind w:firstLine="0" w:left="340"/>
        <w:jc w:val="left"/>
      </w:pPr>
      <w:r>
        <w:rPr>
          <w:b w:val="0"/>
          <w:i w:val="0"/>
          <w:sz w:val="21"/>
        </w:rPr>
        <w:t>3.7 Impugnação e esclarecimentos</w:t>
      </w:r>
      <w:r>
        <w:rPr>
          <w:b w:val="0"/>
          <w:i w:val="0"/>
          <w:sz w:val="21"/>
        </w:rPr>
        <w:tab/>
        <w:t>16</w:t>
      </w:r>
    </w:p>
    <w:p>
      <w:pPr>
        <w:tabs>
          <w:tab w:pos="9071" w:val="right" w:leader="dot"/>
        </w:tabs>
        <w:spacing w:before="0" w:after="0" w:line="360" w:lineRule="auto"/>
        <w:ind w:firstLine="0" w:left="340"/>
        <w:jc w:val="left"/>
      </w:pPr>
      <w:r>
        <w:rPr>
          <w:b w:val="0"/>
          <w:i w:val="0"/>
          <w:sz w:val="21"/>
        </w:rPr>
        <w:t>3.8 Minuta de contrato como anexo e cláusulas necessárias</w:t>
      </w:r>
      <w:r>
        <w:rPr>
          <w:b w:val="0"/>
          <w:i w:val="0"/>
          <w:sz w:val="21"/>
        </w:rPr>
        <w:tab/>
        <w:t>17</w:t>
      </w:r>
    </w:p>
    <w:p>
      <w:pPr>
        <w:tabs>
          <w:tab w:pos="9071" w:val="right" w:leader="dot"/>
        </w:tabs>
        <w:spacing w:before="0" w:after="0" w:line="360" w:lineRule="auto"/>
        <w:ind w:firstLine="0" w:left="340"/>
        <w:jc w:val="left"/>
      </w:pPr>
      <w:r>
        <w:rPr>
          <w:b w:val="0"/>
          <w:i w:val="0"/>
          <w:sz w:val="21"/>
        </w:rPr>
        <w:t>3.9 Coerência interna do edital e dos anexos</w:t>
      </w:r>
      <w:r>
        <w:rPr>
          <w:b w:val="0"/>
          <w:i w:val="0"/>
          <w:sz w:val="21"/>
        </w:rPr>
        <w:tab/>
        <w:t>18</w:t>
      </w:r>
    </w:p>
    <w:p>
      <w:pPr>
        <w:tabs>
          <w:tab w:pos="9071" w:val="right" w:leader="dot"/>
        </w:tabs>
        <w:spacing w:before="0" w:after="0" w:line="360" w:lineRule="auto"/>
        <w:ind w:firstLine="0" w:left="340"/>
        <w:jc w:val="left"/>
      </w:pPr>
      <w:r>
        <w:rPr>
          <w:b w:val="0"/>
          <w:i w:val="0"/>
          <w:sz w:val="21"/>
        </w:rPr>
        <w:t>3.10 Convenção coletiva usada no orçamento (asseio e conservação) e data-base da planilha</w:t>
      </w:r>
      <w:r>
        <w:rPr>
          <w:b w:val="0"/>
          <w:i w:val="0"/>
          <w:sz w:val="21"/>
        </w:rPr>
        <w:tab/>
        <w:t>20</w:t>
      </w:r>
    </w:p>
    <w:p>
      <w:pPr>
        <w:tabs>
          <w:tab w:pos="9071" w:val="right" w:leader="dot"/>
        </w:tabs>
        <w:spacing w:before="0" w:after="0" w:line="360" w:lineRule="auto"/>
        <w:ind w:firstLine="0" w:left="340"/>
        <w:jc w:val="left"/>
      </w:pPr>
      <w:r>
        <w:rPr>
          <w:b w:val="0"/>
          <w:i w:val="0"/>
          <w:sz w:val="21"/>
        </w:rPr>
        <w:t>3.11 Sanções e multas</w:t>
      </w:r>
      <w:r>
        <w:rPr>
          <w:b w:val="0"/>
          <w:i w:val="0"/>
          <w:sz w:val="21"/>
        </w:rPr>
        <w:tab/>
        <w:t>21</w:t>
      </w:r>
    </w:p>
    <w:p>
      <w:pPr>
        <w:tabs>
          <w:tab w:pos="9071" w:val="right" w:leader="dot"/>
        </w:tabs>
        <w:spacing w:before="0" w:after="0" w:line="360" w:lineRule="auto"/>
        <w:ind w:firstLine="0" w:left="340"/>
        <w:jc w:val="left"/>
      </w:pPr>
      <w:r>
        <w:rPr>
          <w:b w:val="0"/>
          <w:i w:val="0"/>
          <w:sz w:val="21"/>
        </w:rPr>
        <w:t>3.12 Contagem de prazos do edital em dias corridos</w:t>
      </w:r>
      <w:r>
        <w:rPr>
          <w:b w:val="0"/>
          <w:i w:val="0"/>
          <w:sz w:val="21"/>
        </w:rPr>
        <w:tab/>
        <w:t>22</w:t>
      </w:r>
    </w:p>
    <w:p>
      <w:pPr>
        <w:tabs>
          <w:tab w:pos="9071" w:val="right" w:leader="dot"/>
        </w:tabs>
        <w:spacing w:before="0" w:after="0" w:line="360" w:lineRule="auto"/>
        <w:ind w:firstLine="0" w:left="340"/>
        <w:jc w:val="left"/>
      </w:pPr>
      <w:r>
        <w:rPr>
          <w:b w:val="0"/>
          <w:i w:val="0"/>
          <w:sz w:val="21"/>
        </w:rPr>
        <w:t>3.13 Vedações de participação com quarentenas locais</w:t>
      </w:r>
      <w:r>
        <w:rPr>
          <w:b w:val="0"/>
          <w:i w:val="0"/>
          <w:sz w:val="21"/>
        </w:rPr>
        <w:tab/>
        <w:t>23</w:t>
      </w:r>
    </w:p>
    <w:p>
      <w:pPr>
        <w:tabs>
          <w:tab w:pos="9071" w:val="right" w:leader="dot"/>
        </w:tabs>
        <w:spacing w:before="0" w:after="0" w:line="360" w:lineRule="auto"/>
        <w:ind w:firstLine="0" w:left="0"/>
        <w:jc w:val="left"/>
      </w:pPr>
      <w:r>
        <w:rPr>
          <w:b/>
          <w:i w:val="0"/>
          <w:sz w:val="22"/>
        </w:rPr>
        <w:t>4 RECOMENDAÇÕES DE MELHORIA</w:t>
      </w:r>
      <w:r>
        <w:rPr>
          <w:b/>
          <w:i w:val="0"/>
          <w:sz w:val="22"/>
        </w:rPr>
        <w:tab/>
        <w:t>24</w:t>
      </w:r>
    </w:p>
    <w:p>
      <w:pPr>
        <w:tabs>
          <w:tab w:pos="9071" w:val="right" w:leader="dot"/>
        </w:tabs>
        <w:spacing w:before="0" w:after="0" w:line="360" w:lineRule="auto"/>
        <w:ind w:firstLine="0" w:left="0"/>
        <w:jc w:val="left"/>
      </w:pPr>
      <w:r>
        <w:rPr>
          <w:b/>
          <w:i w:val="0"/>
          <w:sz w:val="22"/>
        </w:rPr>
        <w:t>5 CONCLUSÃO</w:t>
      </w:r>
      <w:r>
        <w:rPr>
          <w:b/>
          <w:i w:val="0"/>
          <w:sz w:val="22"/>
        </w:rPr>
        <w:tab/>
        <w:t>25</w:t>
      </w:r>
    </w:p>
    <w:p>
      <w:pPr>
        <w:tabs>
          <w:tab w:pos="9071" w:val="right" w:leader="dot"/>
        </w:tabs>
        <w:spacing w:before="0" w:after="0" w:line="360" w:lineRule="auto"/>
        <w:ind w:firstLine="0" w:left="0"/>
        <w:jc w:val="left"/>
      </w:pPr>
      <w:r>
        <w:rPr>
          <w:b/>
          <w:i w:val="0"/>
          <w:sz w:val="22"/>
        </w:rPr>
        <w:t>REFERÊNCIAS</w:t>
      </w:r>
      <w:r>
        <w:rPr>
          <w:b/>
          <w:i w:val="0"/>
          <w:sz w:val="22"/>
        </w:rPr>
        <w:tab/>
        <w:t>29</w:t>
      </w:r>
    </w:p>
    <w:p>
      <w:pPr>
        <w:tabs>
          <w:tab w:pos="9071" w:val="right" w:leader="dot"/>
        </w:tabs>
        <w:spacing w:before="0" w:after="0" w:line="360" w:lineRule="auto"/>
        <w:ind w:firstLine="0" w:left="0"/>
        <w:jc w:val="left"/>
      </w:pPr>
      <w:r>
        <w:rPr>
          <w:b/>
          <w:i w:val="0"/>
          <w:sz w:val="22"/>
        </w:rPr>
        <w:t>APÊNDICE A – LISTA DE VERIFICAÇÃO</w:t>
      </w:r>
      <w:r>
        <w:rPr>
          <w:b/>
          <w:i w:val="0"/>
          <w:sz w:val="22"/>
        </w:rPr>
        <w:tab/>
        <w:t>31</w:t>
      </w:r>
    </w:p>
    <w:p>
      <w:pPr>
        <w:tabs>
          <w:tab w:pos="9071" w:val="right" w:leader="dot"/>
        </w:tabs>
        <w:spacing w:before="0" w:after="0" w:line="360" w:lineRule="auto"/>
        <w:ind w:firstLine="0" w:left="0"/>
        <w:jc w:val="left"/>
      </w:pPr>
      <w:r>
        <w:rPr>
          <w:b/>
          <w:i w:val="0"/>
          <w:sz w:val="22"/>
        </w:rPr>
        <w:t>APÊNDICE B – METODOLOGIA E LIMITES</w:t>
      </w:r>
      <w:r>
        <w:rPr>
          <w:b/>
          <w:i w:val="0"/>
          <w:sz w:val="22"/>
        </w:rPr>
        <w:tab/>
        <w:t>32</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1</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9</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3</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6</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Atribuições dos postos incluem tarefas pedagógicas: risco de terceirização de atividade-fim</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Convenção coletiva usada no orçamento (asseio e conservação) e data-base da planilha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Sanções e multas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156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Contagem de prazos do edital em dias corridos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183</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Vedações de participação com quarentenas locais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14</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1D64/2026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Educação</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Contratação de empresa especializada em gestão de mão de obra, com dedicação exclusiva (435 postos de Auxiliar de Desenvolvimento Infantil), para atendimento da Educação Infantil nas Unidades Escolares da Secretaria de Educação, por 12 meses prorrogáveis. Valor estimado de R$ 40.955.284,80.</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54/2026 – Processo Administrativo nº 18321/2025 (PNCP 29131075000193-1-000445/2026)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TERCEIRIZAÇÃO. DEDICAÇÃO EXCLUSIVA DE MÃO DE OBRA. EDUCAÇÃO INFANTIL. REAJUSTE E REPACTUAÇÃO. HABILITAÇÃO ECONÔMICO-FINANCEIRA. QUALIFICAÇÃO TÉCNICA. ME/EPP. MINUTA DE CONTRATO. COERÊNCIA DO EDITAL. MARICÁ </w:t>
      </w:r>
      <w:r>
        <w:rPr>
          <w:b w:val="0"/>
          <w:i w:val="0"/>
          <w:sz w:val="20"/>
        </w:rPr>
        <w:t>Edital de pregão eletrônico para terceirização de 435 postos de auxiliar de desenvolvimento infantil. Os pontos básicos estão regulares: prazo de propostas de 10 dias úteis, garantia de proposta de 1%, capital ou patrimônio líquido mínimo de 10%, multas dentro do teto legal e prorrogação prevista. Há falhas relevantes: reajuste e repactuação com regras discrepantes entre edital, TR e minuta; tratamento de ME/EPP contraditório; exigências econômico-financeiras e técnicas sem justificativa completa; minuta com lacunas; e atribuições do posto que incluem tarefas pedagógicas, com risco de terceirização de atividade-fim.</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54/2026 – Processo Administrativo nº 18321/2025 (PNCP 29131075000193-1-000445/2026), do Prefeitura Municipal de Maricá – Secretaria de Educação, cujo objeto é: Contratação de empresa especializada em gestão de mão de obra, com dedicação exclusiva (435 postos de Auxiliar de Desenvolvimento Infantil), para atendimento da Educação Infantil nas Unidades Escolares da Secretaria de Educação, por 12 meses prorrogáveis. Valor estimado de R$ 40.955.284,80.</w:t>
      </w:r>
    </w:p>
    <w:p>
      <w:pPr>
        <w:spacing w:before="0" w:after="120" w:line="360" w:lineRule="auto"/>
        <w:ind w:firstLine="709"/>
        <w:jc w:val="both"/>
      </w:pPr>
      <w:r>
        <w:rPr>
          <w:b w:val="0"/>
          <w:i w:val="0"/>
        </w:rPr>
        <w:t>Foram examinados os seguintes documentos: Edital e minutas (ata e contrato) (https://pncp.gov.br/app/editais/29131075000193/2026/445, 127 páginas). O exame teve por parâmetro a Lei 14.133/2021, aplicando-se o roteiro de verificação Licitacon (versão 2026-10-29), com 26 itens pertinentes ao caso.</w:t>
      </w:r>
    </w:p>
    <w:p>
      <w:pPr>
        <w:spacing w:before="0" w:after="120" w:line="360" w:lineRule="auto"/>
        <w:ind w:firstLine="709"/>
        <w:jc w:val="both"/>
      </w:pPr>
      <w:r>
        <w:rPr>
          <w:b w:val="0"/>
          <w:i w:val="0"/>
        </w:rPr>
        <w:t>O edital do Pregão Eletrônico 54/2026 (Maricá/Secretaria de Educação) contrata gestão de mão de obra com dedicação exclusiva. São 435 postos de Auxiliar de Desenvolvimento Infantil, 12 meses de vigência prorrogáveis e valor estimado de R$ 40.955.284,80 (435 × R$ 7.845,84 × 12, aritmética conferida). O documento tem estrutura completa: julgamento, habilitação, recursos, sanções, pagamento, reajuste, TR e minuta. O prazo de propostas atende o mínimo legal de 10 dias úteis, sem margem. Os principais problemas são: (i) reajuste e repactuação tratados de forma divergente no edital, no TR e na minuta, com data-base dos insumos contada da proposta; (ii) o TR diz que não haverá tratamento diferenciado a ME/EPP, mas o edital aplica empate ficto e regularização fiscal tardia; (iii) exigências de habilitação econômico-financeira cumulativas (índices, capital ou PL de 10%, capital circulante líquido de 16,66% e declaração de compromissos) sem justificativa de todas; (iv) qualificação técnica com exigência de 36 meses de experiência, técnico de segurança do trabalho e divergências entre TR e edital; (v) a minuta de contrato é um modelo com campos em branco e referências à garantia contratual que o edital afasta; (vi) o edital tem resquícios de outros modelos (cooperativas, marca de produtos, porteiros, equipamentos) e referências cruzadas incorretas; (vii) as atribuições do posto incluem avaliar e corrigir atividades dos alunos, o que pode caracterizar terceirização de atividade-fim. A sessão estava marcada para 27/10/2026, antes da data da análise (29/10/2026). Os autos não informam se ela ocorreu nem o resultado.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Atribuições dos postos incluem tarefas pedagógicas: risco de terceirização de atividade-fim</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TR item 3.1-1 (Principais Atribuições), [página 56]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caracteriza o auxiliar de desenvolvimento infantil como 'atividade meio'. A lista de atribuições, porém, inclui ações típicas da docência, como avaliar e corrigir atividades dos alunos, observar linguagem, socialização e raciocínio lógico, ler textos e desenvolver capacidades intelectuais, e também banho, troca de fraldas e limpeza. O objeto fala em 'serviços nas áreas pedagógicas'. O TR fundamenta a contratação em normas federais (Lei 9.632/98, Decreto 9.507/2018 e IN 05/2017) e em um decreto municipal sem apontar a base legal local.</w:t>
      </w:r>
    </w:p>
    <w:p>
      <w:pPr>
        <w:spacing w:before="0" w:after="120" w:line="360" w:lineRule="auto"/>
        <w:ind w:firstLine="709"/>
        <w:jc w:val="both"/>
      </w:pPr>
      <w:r>
        <w:rPr>
          <w:b w:val="0"/>
          <w:i w:val="0"/>
        </w:rPr>
        <w:t>O documento dispõe: “avaliar atividades dos alunos; corrigir atividades; observar a linguagem; observar a” (TR item 3.1-1 (Principais Atribuições), [página 56]).</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Contratar empresa para executar atividades pedagógicas, com subordinação às unidades escolares e dedicação exclusiva, pode configurar terceirização de atividade-fim e substituição de servidores concursados. Também pode gerar vínculo ou responsabilidade da Administração, especialmente se os postos substituírem professores ou servidores da carreira.</w:t>
      </w:r>
    </w:p>
    <w:p>
      <w:pPr>
        <w:spacing w:before="0" w:after="120" w:line="360" w:lineRule="auto"/>
        <w:ind w:firstLine="709"/>
        <w:jc w:val="both"/>
      </w:pPr>
      <w:r>
        <w:rPr>
          <w:b/>
          <w:i w:val="0"/>
          <w:color w:val="B23A48"/>
        </w:rPr>
        <w:t xml:space="preserve">Risco de manutenção. </w:t>
      </w:r>
      <w:r>
        <w:rPr>
          <w:b w:val="0"/>
          <w:i w:val="0"/>
        </w:rPr>
        <w:t>Questionamento do Ministério Público, do Tribunal de Contas e da Justiça do Trabalho, com nulidade da contratação, responsabilização do gestor e custos trabalhistas ao Município.</w:t>
      </w:r>
    </w:p>
    <w:p>
      <w:pPr>
        <w:spacing w:before="0" w:after="120" w:line="360" w:lineRule="auto"/>
        <w:ind w:firstLine="709"/>
        <w:jc w:val="both"/>
      </w:pPr>
      <w:r>
        <w:rPr>
          <w:b/>
          <w:i w:val="0"/>
          <w:color w:val="12324A"/>
        </w:rPr>
        <w:t xml:space="preserve">Providência recomendada. </w:t>
      </w:r>
      <w:r>
        <w:rPr>
          <w:b w:val="0"/>
          <w:i w:val="0"/>
        </w:rPr>
        <w:t>Revisar as atribuições do posto para retirar as tarefas docentes e deixar o objeto restrito ao apoio de cuidado e higiene. Revisar o objeto ('serviços nas áreas pedagógicas'). Justificar no ETP a natureza de atividade-meio, citando a legislação municipal aplicável e a inexistência de cargo equivalente. Se necessário, retificar e republicar.</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III (TR), item 18.1.5, [página 82]; edital item 19.1, [página 34]; minuta Cláusula Quinta, [página 112]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(item 19.1) prevê reajuste após 12 meses contados da data do orçamento estimado (27/07/2026, Anexo I) e fixa o IPCA (item 19.2). No TR (item 18.1.5), porém, o interregno para os insumos é contado 'a partir da data limite para apresentação das propostas'. O edital também prevê repactuação com data vinculada à proposta para custos de mercado (19.2.2). Na minuta (Cláusula Quinta), o prazo em meses e o índice estão em branco. As regras são divergentes quanto à data-base dos insumos e há lacuna na minuta.</w:t>
      </w:r>
    </w:p>
    <w:p>
      <w:pPr>
        <w:spacing w:before="0" w:after="120" w:line="360" w:lineRule="auto"/>
        <w:ind w:firstLine="709"/>
        <w:jc w:val="both"/>
      </w:pPr>
      <w:r>
        <w:rPr>
          <w:b w:val="0"/>
          <w:i w:val="0"/>
        </w:rPr>
        <w:t>O documento dispõe: “Para os demais custos, sujeitos à variação de preços do mercado (insumos não decorrentes da mão de obra): a partir da data limite para apresentação das propostas” (Anexo III (TR), item 18.1.5, [página 82]; edital item 19.1, [página 34]; minuta Cláusula Quinta, [página 112]).</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25, § 7º, e o art. 92, § 3º, exigem índice com data-base vinculada à data do orçamento estimado. Contar da proposta o reajuste por índice contraria a regra e abre espaço para pedidos de reajuste em datas diferentes das do edital. A minuta, que é o contrato a ser assinado, deve trazer o índice e o prazo preenchidos.</w:t>
      </w:r>
    </w:p>
    <w:p>
      <w:pPr>
        <w:spacing w:before="0" w:after="120" w:line="360" w:lineRule="auto"/>
        <w:ind w:firstLine="709"/>
        <w:jc w:val="both"/>
      </w:pPr>
      <w:r>
        <w:rPr>
          <w:b/>
          <w:i w:val="0"/>
          <w:color w:val="C9781E"/>
        </w:rPr>
        <w:t xml:space="preserve">Risco de manutenção. </w:t>
      </w:r>
      <w:r>
        <w:rPr>
          <w:b w:val="0"/>
          <w:i w:val="0"/>
        </w:rPr>
        <w:t>Disputa sobre o marco do primeiro reajuste, com pagamentos antecipados ou negados indevidamente. O 'prazo em meses' e o 'índice' em branco na minuta permitem preenchimento divergente do edital.</w:t>
      </w:r>
    </w:p>
    <w:p>
      <w:pPr>
        <w:spacing w:before="0" w:after="120" w:line="360" w:lineRule="auto"/>
        <w:ind w:firstLine="709"/>
        <w:jc w:val="both"/>
      </w:pPr>
      <w:r>
        <w:rPr>
          <w:b/>
          <w:i w:val="0"/>
          <w:color w:val="12324A"/>
        </w:rPr>
        <w:t xml:space="preserve">Providência recomendada. </w:t>
      </w:r>
      <w:r>
        <w:rPr>
          <w:b w:val="0"/>
          <w:i w:val="0"/>
        </w:rPr>
        <w:t>Harmonizar edital, TR e minuta. Para reajuste por índice (insumos), indicar o IPCA com data-base no orçamento estimado (27/07/2026). Para custos de mão de obra, manter a repactuação com data vinculada à convenção. Se algum insumo for repactuado, explicitar que a data segue a regra do art. 135. Preencher na minuta o prazo (12 meses) e o índice (IPCA).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IPCA/IBGE, com data-base na data do orçamento estimado (27/07/2026), observado o interregno mínimo de um ano. Os custos de mão de obra serão objeto de repactuação, mediante demonstração analítica da variação dos custos, com data vinculada à convenção coletiva a que o orçamento esteja vinculado.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Nos procedimentos licitatórios cuja fase de disputa ainda não tenha sido concluída, a previsão de reajuste deve observar periodicidade anual, contada a partir da data-base do orçamento estimativo, em substituição à prática anterior de adoção de periodicidade bienal. Decisões de 2024–2025 que aplicaram o enunciado: Processo 040/104391/2025 (Voto 390/2025, David Carlos Pereira Neto, sessão de 17/12/2025); Processo 040/104396/2025 (Voto 392/2025, David Carlos Pereira Neto, sessão de 17/12/2025); Processo 040/104425/2025 (Voto 388/2025, David Carlos Pereira Neto, sessão de 17/12/2025); Processo 040/104426/2025 (Voto 382/2025, David Carlos Pereira Neto, sessão de 17/12/2025); Processo 040/104202/2025 (Voto 368/2025, David Carlos Pereira Neto, sessão de 17/12/2025); Processo 040/104222/2025 (Voto 378/2025, David Carlos Pereira Neto, sessão de 17/12/2025).</w:t>
      </w:r>
      <w:r>
        <w:rPr>
          <w:b w:val="0"/>
          <w:i w:val="0"/>
          <w:sz w:val="20"/>
        </w:rPr>
        <w:t xml:space="preserve"> (TCM-RJ, Voto 390/2025 · Proc. 040/104391/2025 · Enunciado 527)</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19.2, [página 34]; minuta Cláusula Quinta, [página 113]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objeto é serviço contínuo com dedicação exclusiva de mão de obra (435 postos, item 7.1 do TR). O edital prevê repactuação (item 19.2.1) e o TR a detalha (item 18.2). O item 19.2, porém, diz que 'os preços serão reajustados' pelo IPCA, sem separar mão de obra de insumos. A minuta (Cláusula Quinta) traz o reajuste por índice como regra e deixa a repactuação em parágrafos entre colchetes ('incluir os seguintes parágrafos'). A leitura conjunta é ambígua.</w:t>
      </w:r>
    </w:p>
    <w:p>
      <w:pPr>
        <w:spacing w:before="0" w:after="120" w:line="360" w:lineRule="auto"/>
        <w:ind w:firstLine="709"/>
        <w:jc w:val="both"/>
      </w:pPr>
      <w:r>
        <w:rPr>
          <w:b w:val="0"/>
          <w:i w:val="0"/>
        </w:rPr>
        <w:t>O documento dispõe: “Os preços serão reajustados de acordo com a variação do IPCA calculado por meio da seguinte fórmula:” (Edital item 19.2, [página 34]; minuta Cláusula Quinta, [página 113]).</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Com dedicação exclusiva de mão de obra, o art. 25, § 8º, II, e o art. 135 impõem a repactuação mediante demonstração analítica da variação dos custos. O índice aplicado ao preço global, sem ressalva, pode ser lido como reajuste da própria mão de obra, que é a principal parcela do preço.</w:t>
      </w:r>
    </w:p>
    <w:p>
      <w:pPr>
        <w:spacing w:before="0" w:after="120" w:line="360" w:lineRule="auto"/>
        <w:ind w:firstLine="709"/>
        <w:jc w:val="both"/>
      </w:pPr>
      <w:r>
        <w:rPr>
          <w:b/>
          <w:i w:val="0"/>
          <w:color w:val="C9781E"/>
        </w:rPr>
        <w:t xml:space="preserve">Risco de manutenção. </w:t>
      </w:r>
      <w:r>
        <w:rPr>
          <w:b w:val="0"/>
          <w:i w:val="0"/>
        </w:rPr>
        <w:t>Pedido de reajuste por índice sobre toda a planilha, desconectado dos custos reais, ou recusa de repactuação por falta de previsão clara na minuta.</w:t>
      </w:r>
    </w:p>
    <w:p>
      <w:pPr>
        <w:spacing w:before="0" w:after="120" w:line="360" w:lineRule="auto"/>
        <w:ind w:firstLine="709"/>
        <w:jc w:val="both"/>
      </w:pPr>
      <w:r>
        <w:rPr>
          <w:b/>
          <w:i w:val="0"/>
          <w:color w:val="12324A"/>
        </w:rPr>
        <w:t xml:space="preserve">Providência recomendada. </w:t>
      </w:r>
      <w:r>
        <w:rPr>
          <w:b w:val="0"/>
          <w:i w:val="0"/>
        </w:rPr>
        <w:t>Reescrever o item 19.2 e a Cláusula Quinta: mão de obra por repactuação (data da convenção), insumos por índice ou repactuação, conforme a opção. Excluir da minuta os parágrafos entre colchetes que não se aplicam e deixar apenas as regras do objeto.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19.2 – Por se tratar de serviço contínuo com regime de dedicação exclusiva de mão de obra, os custos de mão de obra serão repactuados, após o interregno mínimo de um ano, mediante demonstração analítica da variação dos custos. Os demais insumos serão reajustados pelo IPCA, com data-base na data do orçamento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13 (E), subitem E.10, [página 28]; TR itens 12.9 e 24, [páginas 75 e 88]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objeto tem um único item (posto), e o edital exige capacidade de gestão de 50% da quantidade (218 de 435 postos), o que respeita o teto do § 2º. Há ressalvas. (i) O item E.10 exige atestados de 'serviços similares' por no mínimo 36 meses, sem definir as características de similaridade e com limitação de tempo; a justificativa do TR (item 12.9) é genérica. (ii) O item E.7 exige Técnico de Segurança do Trabalho, e os itens E.8 e E.9 exigem NR-01 e SESMT. Não se vinculam a parcela de maior relevância e o próprio TR classifica a atividade como risco baixo (grau 2). (iii) O TR exige experiência 'em ambientes educacionais ou instituições similares' (item 24) e atestados emitidos após a conclusão ou um ano de execução (item 12.9). Essas exigências não constam do edital, o que gera dúvida sobre o que vale.</w:t>
      </w:r>
    </w:p>
    <w:p>
      <w:pPr>
        <w:spacing w:before="0" w:after="120" w:line="360" w:lineRule="auto"/>
        <w:ind w:firstLine="709"/>
        <w:jc w:val="both"/>
      </w:pPr>
      <w:r>
        <w:rPr>
          <w:b w:val="0"/>
          <w:i w:val="0"/>
        </w:rPr>
        <w:t>O documento dispõe: “demonstre(m) a execução de serviços similares, em períodos sucessivos ou não, pelo prazo” (Edital item 13 (E), subitem E.10, [página 28]; TR itens 12.9 e 24, [páginas 75 e 88]).</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restringe atestados às parcelas de maior relevância ou valor significativo (4% ou mais). O § 2º limita quantitativos a 50% e veda 'limitações de tempo e de locais específicos'. Exigir 36 meses de experiência e documentos adicionais sem vínculo com a parcela relevante, ou deixar o TR com exigência diferente da do edital, compromete a objetividade e a competitividade.</w:t>
      </w:r>
    </w:p>
    <w:p>
      <w:pPr>
        <w:spacing w:before="0" w:after="120" w:line="360" w:lineRule="auto"/>
        <w:ind w:firstLine="709"/>
        <w:jc w:val="both"/>
      </w:pPr>
      <w:r>
        <w:rPr>
          <w:b/>
          <w:i w:val="0"/>
          <w:color w:val="C9781E"/>
        </w:rPr>
        <w:t xml:space="preserve">Risco de manutenção. </w:t>
      </w:r>
      <w:r>
        <w:rPr>
          <w:b w:val="0"/>
          <w:i w:val="0"/>
        </w:rPr>
        <w:t>Impugnação ou representação por restrição da competição. Inabilitação baseada em requisito que só consta do TR.</w:t>
      </w:r>
    </w:p>
    <w:p>
      <w:pPr>
        <w:spacing w:before="0" w:after="120" w:line="360" w:lineRule="auto"/>
        <w:ind w:firstLine="709"/>
        <w:jc w:val="both"/>
      </w:pPr>
      <w:r>
        <w:rPr>
          <w:b/>
          <w:i w:val="0"/>
          <w:color w:val="12324A"/>
        </w:rPr>
        <w:t xml:space="preserve">Providência recomendada. </w:t>
      </w:r>
      <w:r>
        <w:rPr>
          <w:b w:val="0"/>
          <w:i w:val="0"/>
        </w:rPr>
        <w:t>Definir claramente 'serviço similar' (por exemplo, serviços continuados com dedicação exclusiva em mínimo de 218 postos). Reavaliar o requisito de 36 meses, justificando-o expressamente no processo ou suprimindo-o. Justificar tecnicamente o técnico de segurança do trabalho, ou admiti-lo como obrigação contratual. Alinhar o TR ao edital, retirando exigências divergentes (ambiente educacional; emissão após um ano).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E.10 – Atestado(s) que comprove(m) a execução, pela licitante, de serviços continuados com dedicação exclusiva de mão de obra, em quantitativo mínimo de 218 (duzentos e dezoito) postos de trabalho (50% do total licitado), admitido o somatório de atestados, sem limitação de tempo ou de local de execução.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3">
        <w:r>
          <w:rPr>
            <w:color w:val="1F7A8C"/>
            <w:u w:val="single"/>
            <w:sz w:val="18"/>
          </w:rPr>
          <w:t xml:space="preserve">[fonte oficial]</w:t>
        </w:r>
      </w:hyperlink>
    </w:p>
    <w:p>
      <w:pPr>
        <w:spacing w:before="80" w:after="200" w:line="240" w:lineRule="auto"/>
        <w:ind w:firstLine="0" w:left="2268"/>
        <w:jc w:val="both"/>
      </w:pPr>
      <w:r>
        <w:rPr>
          <w:b w:val="0"/>
          <w:i w:val="0"/>
          <w:sz w:val="20"/>
        </w:rPr>
        <w:t>É irregular restringir, quando não tecnicamente justificado, os possíveis emissores de atestados de capacidade técnica a determinados segmentos econômicos, por afronta aos princípios da impessoalidade e da competitividade, pois a qualificação operacional da licitante deve ser aferida por parâmetros objetivos relacionados à sua experiência pregressa e à complexidade do objeto da licitação, e não pela natureza jurídica ou pelo ramo de atuação do emissor do atestado.</w:t>
      </w:r>
      <w:r>
        <w:rPr>
          <w:b w:val="0"/>
          <w:i w:val="0"/>
          <w:sz w:val="20"/>
        </w:rPr>
        <w:t xml:space="preserve"> (TCU, Acórdão 2215/2026-Plenário)</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3.5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13 (B), subitens B.1 a B.3, [páginas 21 a 23]; TR item 12.7.1, [páginas 72-73]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(itens B.1 a B.3) exige cumulativamente: ILG ≥ 1, ISG ≥ 1, IE ≤ 1, capital social ou PL mínimo de 10% (B.2, dentro do limite do § 4º), capital circulante líquido de 16,66% do valor estimado e declaração de compromissos (1/12). Não há exigência de faturamento mínimo nem de índices de rentabilidade. A justificativa do TR (item 12.7.1) trata só do capital ou PL de 10% e não explica os índices, o CCL de 16,66% nem a cumulatividade. O TR exige também ILC ≥ 1, ausente do edital. Há erro material: o item B.1.b rotula o ISG como 'índice de Liquidez Corrente'. A numeração B.2 aparece duas vezes.</w:t>
      </w:r>
    </w:p>
    <w:p>
      <w:pPr>
        <w:spacing w:before="0" w:after="120" w:line="360" w:lineRule="auto"/>
        <w:ind w:firstLine="709"/>
        <w:jc w:val="both"/>
      </w:pPr>
      <w:r>
        <w:rPr>
          <w:b w:val="0"/>
          <w:i w:val="0"/>
        </w:rPr>
        <w:t>O documento dispõe: “(B.1.b) Índice de solvência geral (ISG) igual ou maior que 1(um). Será considerado como índice” (Edital item 13 (B), subitens B.1 a B.3, [páginas 21 a 23]; TR item 12.7.1, [páginas 72-73]).</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índices 'devidamente justificados no processo' e veda índices e valores não usuais (§ 5º). A Súmula TCU 289 exige justificativa e parâmetros de mercado. Capital ou PL a até 10% é permitido (§ 4º), mas somar a ele CCL de 16,66% e vários índices redundantes (ISG e IE medem a mesma relação) exige motivação própria.</w:t>
      </w:r>
    </w:p>
    <w:p>
      <w:pPr>
        <w:spacing w:before="0" w:after="120" w:line="360" w:lineRule="auto"/>
        <w:ind w:firstLine="709"/>
        <w:jc w:val="both"/>
      </w:pPr>
      <w:r>
        <w:rPr>
          <w:b/>
          <w:i w:val="0"/>
          <w:color w:val="C9781E"/>
        </w:rPr>
        <w:t xml:space="preserve">Risco de manutenção. </w:t>
      </w:r>
      <w:r>
        <w:rPr>
          <w:b w:val="0"/>
          <w:i w:val="0"/>
        </w:rPr>
        <w:t>Impugnação por excesso de exigência econômica, especialmente contra empresas de médio porte, e inabilitação por requisito que não consta no edital (ILC).</w:t>
      </w:r>
    </w:p>
    <w:p>
      <w:pPr>
        <w:spacing w:before="0" w:after="120" w:line="360" w:lineRule="auto"/>
        <w:ind w:firstLine="709"/>
        <w:jc w:val="both"/>
      </w:pPr>
      <w:r>
        <w:rPr>
          <w:b/>
          <w:i w:val="0"/>
          <w:color w:val="12324A"/>
        </w:rPr>
        <w:t xml:space="preserve">Providência recomendada. </w:t>
      </w:r>
      <w:r>
        <w:rPr>
          <w:b w:val="0"/>
          <w:i w:val="0"/>
        </w:rPr>
        <w:t>Justificar no processo cada índice e o CCL, ou excluir os redundantes. Avaliar se a soma de PL de 10%, CCL de 16,66% e declaração de compromissos é necessária. Uniformizar edital e TR (ILC). Corrigir o rótulo do ISG e a numeração dos subitens.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Justificativa: os índices ILG, ISG e IE (≥ 1,0, ≥ 1,0 e ≤ 1,0, respectivamente) são usualmente adotados em contratações de serviços contínuos com dedicação exclusiva de mão de obra. Servem para aferir a capacidade de arcar com folha e encargos durante, no mínimo, os dois primeiros meses de execução, até o primeiro pagamento.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5">
        <w:r>
          <w:rPr>
            <w:color w:val="1F7A8C"/>
            <w:u w:val="single"/>
            <w:sz w:val="18"/>
          </w:rPr>
          <w:t xml:space="preserve">[fonte oficial]</w:t>
        </w:r>
      </w:hyperlink>
    </w:p>
    <w:p>
      <w:pPr>
        <w:spacing w:before="80" w:after="200" w:line="240" w:lineRule="auto"/>
        <w:ind w:firstLine="0" w:left="2268"/>
        <w:jc w:val="both"/>
      </w:pPr>
      <w:r>
        <w:rPr>
          <w:b w:val="0"/>
          <w:i w:val="0"/>
          <w:sz w:val="20"/>
        </w:rPr>
        <w:t>Para fins de qualificação econômico-financeira, a Administração pode exigir das licitantes, de forma não cumulativa, capital social mínimo, patrimônio líquido mínimo ou garantias que assegurem o adimplemento do contrato a ser celebrado, no caso de compras para entrega futura e de execução de obras e serviços. (Súmula vigente, aprovada pelo Acórdão 1321/2012-Plenário; data indicada = ano de aprovação.)</w:t>
      </w:r>
      <w:r>
        <w:rPr>
          <w:b w:val="0"/>
          <w:i w:val="0"/>
          <w:sz w:val="20"/>
        </w:rPr>
        <w:t xml:space="preserve"> (TCU, Súmula TCU 275)</w:t>
      </w:r>
      <w:r>
        <w:rPr>
          <w:b w:val="0"/>
          <w:i w:val="0"/>
          <w:sz w:val="20"/>
        </w:rPr>
        <w:t xml:space="preserve"> </w:t>
      </w:r>
      <w:hyperlink r:id="rId16">
        <w:r>
          <w:rPr>
            <w:color w:val="1F7A8C"/>
            <w:u w:val="single"/>
            <w:sz w:val="18"/>
          </w:rPr>
          <w:t xml:space="preserve">[fonte oficial]</w:t>
        </w:r>
      </w:hyperlink>
    </w:p>
    <w:p>
      <w:pPr>
        <w:spacing w:before="80" w:after="200" w:line="240" w:lineRule="auto"/>
        <w:ind w:firstLine="0" w:left="2268"/>
        <w:jc w:val="both"/>
      </w:pPr>
      <w:r>
        <w:rPr>
          <w:b w:val="0"/>
          <w:i w:val="0"/>
          <w:sz w:val="20"/>
        </w:rPr>
        <w:t>A exigência de capital social ou patrimônio líquido mínimos, disposta no art. 69, § 4º, da Lei 14.133/2021, não está condicionada apenas aos casos em que o licitante apresente índices contábeis iguais ou inferiores a 1 (um). Para fins de habilitação econômico-financeira, a Administração pode exigir dos licitantes, de forma cumulativa: i) declaração de compromissos assumidos (art. 69, § 3º, da mencionada lei); ii) índices de liquidez acima de 1 (um); iii) patrimônio líquido mínimo de até 10% do valor estimado da contratação; e iv) capital circulante mínimo em percentual suficiente para assegurar até dois meses de execução contratual sem nenhum pagamento por parte da Administração, devendo tais exigências ser devidamente motivadas nos atos preparatórios da contratação.</w:t>
      </w:r>
      <w:r>
        <w:rPr>
          <w:b w:val="0"/>
          <w:i w:val="0"/>
          <w:sz w:val="20"/>
        </w:rPr>
        <w:t xml:space="preserve"> (TCU, Acórdão 2724/2025-Plenário)</w:t>
      </w:r>
      <w:r>
        <w:rPr>
          <w:b w:val="0"/>
          <w:i w:val="0"/>
          <w:sz w:val="20"/>
        </w:rPr>
        <w:t xml:space="preserve"> </w:t>
      </w:r>
      <w:hyperlink r:id="rId17">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3.6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12.5 a 12.8 e C.6, [páginas 14-17 e 25]; TR item 12, [páginas 67-68]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(item 12) afirma que não será concedido tratamento diferenciado a ME/EPP, invocando o art. 49, III da LC 123, por causa da 'voluptuosidade' e indivisibilidade do serviço. O edital, contudo, aplica empate ficto de 5% (item 12.5), regularização fiscal tardia (C.6) e declaração de enquadramento (10.9). Em contrapartida, ao final do item 12.8, uma observação diz que os benefícios não se aplicam 'nos casos previstos no art. 4º, § 1º'. O item único tem valor de R$ 40,9 milhões, muito acima do limite de receita bruta da EPP. A fundamentação do TR não se apoia no art. 4º, § 1º, da Lei 14.133. O edital não diz qual regime aplica.</w:t>
      </w:r>
    </w:p>
    <w:p>
      <w:pPr>
        <w:spacing w:before="0" w:after="120" w:line="360" w:lineRule="auto"/>
        <w:ind w:firstLine="709"/>
        <w:jc w:val="both"/>
      </w:pPr>
      <w:r>
        <w:rPr>
          <w:b w:val="0"/>
          <w:i w:val="0"/>
        </w:rPr>
        <w:t>O documento dispõe: “Serão consideradas em situação de empate as propostas apresentadas pelas” (Edital itens 12.5 a 12.8 e C.6, [páginas 14-17 e 25]; TR item 12, [páginas 67-68]).</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aplica os arts. 42 a 49 da LC 123, mas o § 1º afasta essas disposições nos casos que enumera, entre eles o item de bens ou serviços em geral com valor estimado acima do limite de receita bruta da EPP. A contradição impede o licitante de saber se há empate ficto e prazo para regularizar a documentação, e fragiliza decisões do pregoeiro.</w:t>
      </w:r>
    </w:p>
    <w:p>
      <w:pPr>
        <w:spacing w:before="0" w:after="120" w:line="360" w:lineRule="auto"/>
        <w:ind w:firstLine="709"/>
        <w:jc w:val="both"/>
      </w:pPr>
      <w:r>
        <w:rPr>
          <w:b/>
          <w:i w:val="0"/>
          <w:color w:val="C9781E"/>
        </w:rPr>
        <w:t xml:space="preserve">Risco de manutenção. </w:t>
      </w:r>
      <w:r>
        <w:rPr>
          <w:b w:val="0"/>
          <w:i w:val="0"/>
        </w:rPr>
        <w:t>Recurso de ME/EPP ou de empresa de maior porte sobre a aplicação indevida (ou omissão) do benefício, com nulidade da fase de julgamento ou habilitação.</w:t>
      </w:r>
    </w:p>
    <w:p>
      <w:pPr>
        <w:spacing w:before="0" w:after="120" w:line="360" w:lineRule="auto"/>
        <w:ind w:firstLine="709"/>
        <w:jc w:val="both"/>
      </w:pPr>
      <w:r>
        <w:rPr>
          <w:b/>
          <w:i w:val="0"/>
          <w:color w:val="12324A"/>
        </w:rPr>
        <w:t xml:space="preserve">Providência recomendada. </w:t>
      </w:r>
      <w:r>
        <w:rPr>
          <w:b w:val="0"/>
          <w:i w:val="0"/>
        </w:rPr>
        <w:t>Definir um único regime. Considerando o valor, o caminho mais coerente é declarar expressamente a inaplicabilidade dos arts. 42 a 49 da LC 123 (art. 4º, § 1º), fundamentando-a no valor estimado do item. Nesse caso, ajustar os itens 12.5, C.6 e 10.9 e corrigir a base legal citada no TR (hoje art. 49, III).</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12.5 – Em razão de o valor estimado do item (R$ 40.955.284,80) superar a receita bruta máxima admitida para enquadramento como empresa de pequeno porte, não se aplicam a esta licitação os arts. 42 a 49 da Lei Complementar nº 123/2006, nos termos do art. 4º, § 1º,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diretriz de fomento à participação de micro e pequenas empresas deve ser interpretada em consonância com os limites legais estabelecidos na Lei nº 14.133/2021 e na Lei Complementar nº 123/2006. Elevado valor estimado da contratação, quando significativamente superior ao limite de receita bruta exigido para o enquadramento societário como empresa de pequeno porte, afasta a obrigatoriedade de concessão de tratamento favorecido, nos termos do art. 4º, §1º, I, da Lei nº 14.133/2021.</w:t>
      </w:r>
      <w:r>
        <w:rPr>
          <w:b w:val="0"/>
          <w:i w:val="0"/>
          <w:sz w:val="20"/>
        </w:rPr>
        <w:t xml:space="preserve"> (TCE-RJ, Acórdão 19519/2026 – Processo 100.467-3/2026)</w:t>
      </w:r>
      <w:r>
        <w:rPr>
          <w:b w:val="0"/>
          <w:i w:val="0"/>
          <w:sz w:val="20"/>
        </w:rPr>
        <w:t xml:space="preserve"> </w:t>
      </w:r>
      <w:hyperlink r:id="rId18">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3.7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1.8 a 1.9,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pedidos de esclarecimento e a impugnação têm prazo de até 3 dias úteis antes da abertura (itens 1.7 e 1.8). A resposta aos esclarecimentos tem prazo de 3 dias úteis, limitado ao último dia útil anterior à abertura, com divulgação pelo sistema (1.7.1). Para a impugnação, o item 1.8.1 fixa 3 dias úteis do recebimento, sem o limite do último dia útil anterior e sem prever a divulgação da resposta em sítio oficial. O item 1.8.2 dá efeito suspensivo automático à impugnação, sem apoio no art. 164, e o item 1.9 condiciona o prosseguimento do certame às respostas.</w:t>
      </w:r>
    </w:p>
    <w:p>
      <w:pPr>
        <w:spacing w:before="0" w:after="120" w:line="360" w:lineRule="auto"/>
        <w:ind w:firstLine="709"/>
        <w:jc w:val="both"/>
      </w:pPr>
      <w:r>
        <w:rPr>
          <w:b w:val="0"/>
          <w:i w:val="0"/>
        </w:rPr>
        <w:t>O documento dispõe: “decidir sobre a impugnação no prazo de 3 (três) dias úteis, contado da data de recebimento da impugnação.” (Edital itens 1.8 a 1.9,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exige divulgação da resposta em sítio eletrônico oficial no prazo de até 3 dias úteis, limitado ao último dia útil anterior à abertura. O efeito suspensivo automático por qualquer impugnação, sem base legal, permite adiar o certame com pedidos protelatórios.</w:t>
      </w:r>
    </w:p>
    <w:p>
      <w:pPr>
        <w:spacing w:before="0" w:after="120" w:line="360" w:lineRule="auto"/>
        <w:ind w:firstLine="709"/>
        <w:jc w:val="both"/>
      </w:pPr>
      <w:r>
        <w:rPr>
          <w:b/>
          <w:i w:val="0"/>
          <w:color w:val="C9781E"/>
        </w:rPr>
        <w:t xml:space="preserve">Risco de manutenção. </w:t>
      </w:r>
      <w:r>
        <w:rPr>
          <w:b w:val="0"/>
          <w:i w:val="0"/>
        </w:rPr>
        <w:t>Resposta à impugnação fora do prazo legal ou não divulgada, com alegação de cerceamento de defesa. Adiamentos sucessivos do certame.</w:t>
      </w:r>
    </w:p>
    <w:p>
      <w:pPr>
        <w:spacing w:before="0" w:after="120" w:line="360" w:lineRule="auto"/>
        <w:ind w:firstLine="709"/>
        <w:jc w:val="both"/>
      </w:pPr>
      <w:r>
        <w:rPr>
          <w:b/>
          <w:i w:val="0"/>
          <w:color w:val="12324A"/>
        </w:rPr>
        <w:t xml:space="preserve">Providência recomendada. </w:t>
      </w:r>
      <w:r>
        <w:rPr>
          <w:b w:val="0"/>
          <w:i w:val="0"/>
        </w:rPr>
        <w:t>Reescrever o item 1.8.1 espelhando o parágrafo único do art. 164 (limite do último dia útil anterior à abertura e divulgação no PNCP/Compras.gov). Avaliar a retirada do efeito suspensivo automático (1.8.2). Se mantido, restringir às impugnações com plausibilidade, por decisão do pregoeiro.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1.8.1 – A resposta à impugnação será divulgada no sítio eletrônico oficial no prazo de até 3 (três) dias úteis, contado do recebimento do pedido, limitado ao último dia útil anterior à data da abertura do certame.</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XII, Cláusulas Quinta, Nona e Décima Sétima, [páginas 112, 113, 115 e 125]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consta como Anexo XII e traz objeto, valor, pagamento, reajuste, fiscalização, prazo, obrigações, recebimento, sanções, recursos, extinção, dotação e foro. É um modelo genérico, com campos essenciais em branco ('prazo de ___ meses', 'Índice ____', 'vigorará por ____ dias/meses', objeto e valor), instruções entre colchetes não removidas e referências a 'Anexo ___' (o TR é o Anexo III). Há incoerências. A Cláusula Décima Sétima, § 4º, prevê desconto da multa 'do valor da garantia', mas não há garantia contratual (item 16.1 do edital). A Cláusula Décima Sétima, § 3º, remete à 'Cláusula Décima Sexta, caput, alínea c', e as sanções estão na Décima Quinta. Há numeração salteada (inciso XXII após XVII). A minuta não declara o regime de execução (empreitada por preço unitário), não reproduz as regras de repactuação do TR nem traz o prazo de execução (15 dias, TR 19.1).</w:t>
      </w:r>
    </w:p>
    <w:p>
      <w:pPr>
        <w:spacing w:before="0" w:after="120" w:line="360" w:lineRule="auto"/>
        <w:ind w:firstLine="709"/>
        <w:jc w:val="both"/>
      </w:pPr>
      <w:r>
        <w:rPr>
          <w:b w:val="0"/>
          <w:i w:val="0"/>
        </w:rPr>
        <w:t>O documento dispõe: “Somente ocorrerá reajustamento do Contrato decorrido o prazo de _________________ ( )” (Anexo XII, Cláusulas Quinta, Nona e Décima Sétima, [páginas 112, 113, 115 e 125]).</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18, VI, exige a minuta como anexo do edital, e o art. 92 exige cláusulas sobre objeto, regime de execução, preço e reajuste, prazos, pagamento, garantias, direitos e responsabilidades, sanções e extinção. Campos em branco e remissões incorretas deixam o contrato sem definição sobre pontos essenciais.</w:t>
      </w:r>
    </w:p>
    <w:p>
      <w:pPr>
        <w:spacing w:before="0" w:after="120" w:line="360" w:lineRule="auto"/>
        <w:ind w:firstLine="709"/>
        <w:jc w:val="both"/>
      </w:pPr>
      <w:r>
        <w:rPr>
          <w:b/>
          <w:i w:val="0"/>
          <w:color w:val="C9781E"/>
        </w:rPr>
        <w:t xml:space="preserve">Risco de manutenção. </w:t>
      </w:r>
      <w:r>
        <w:rPr>
          <w:b w:val="0"/>
          <w:i w:val="0"/>
        </w:rPr>
        <w:t>Lacunas na execução, contrato assinado com condições diferentes do edital e dificuldade de aplicar sanções, reajuste e repactuação.</w:t>
      </w:r>
    </w:p>
    <w:p>
      <w:pPr>
        <w:spacing w:before="0" w:after="120" w:line="360" w:lineRule="auto"/>
        <w:ind w:firstLine="709"/>
        <w:jc w:val="both"/>
      </w:pPr>
      <w:r>
        <w:rPr>
          <w:b/>
          <w:i w:val="0"/>
          <w:color w:val="12324A"/>
        </w:rPr>
        <w:t xml:space="preserve">Providência recomendada. </w:t>
      </w:r>
      <w:r>
        <w:rPr>
          <w:b w:val="0"/>
          <w:i w:val="0"/>
        </w:rPr>
        <w:t>Preencher a minuta com os dados da contratação (12 meses; IPCA; repactuação; valor mensal e global; Anexo III). Excluir os trechos entre colchetes não aplicáveis. Excluir as referências à garantia contratual. Corrigir as remissões internas e a numeração. Incluir o regime de execução e o prazo de início.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23 (Ciclo de Vida), [página 87]; edital itens 8.8, 10.4, 12.4(h), 17.10, 18.5 e 20.11; TR item 11.16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várias incoerências entre edital, TR e anexos. (i) Número da contratação: o edital cita 'Contratação PNCP: 469/2026', e o sistema registra 000445/2026. (ii) Resquícios de outros modelos: o TR fala em 'treinamento periódico dos porteiros', 'nota fiscal no valor global de cada equipamento', 'substituição dos materiais recusados'; o edital desclassifica proposta sem 'marca dos produtos cotados' (12.4, h) e tem regras de cooperativa (10.4, 10.4.1 e 17.10) e de 'cooperativa' no Anexo XI, embora o item 8.8 vede cooperativas. (iii) Juros de mora: o edital prevê Selic limitada a 12% (18.5) e o TR prevê correção por IPCA (11.16). O prazo de liquidação (10 dias úteis, TR 10.1) não se concilia com os 30 dias do protocolo (edital 18.1). (iv) Anos: 'Pregão Eletrônico nº ___/2025' no Anexo XI e na proposta, embora o certame seja de 2026. (v) Garantia: o edital e o TR dispensam a garantia contratual, mas a minuta e o edital (20.11) tratam de 'recomposição da garantia' e 'devolução da garantia'. (vi) Habilitação: o TR (itens 12.5 a 12.8) tem exigências diferentes das do edital (ILC, OSCs/CEBAS, pessoa física). (vii) Referências cruzadas incorretas: 'item 16' para habilitação, 'item 6' para obrigações, Anexos I e II internos do TR repetindo a numeração do edital. (viii) O item 12.14 exige via física original da documentação em pregão eletrônico, e o item 22.4 manda prevalecer o edital em divergências.</w:t>
      </w:r>
    </w:p>
    <w:p>
      <w:pPr>
        <w:spacing w:before="0" w:after="120" w:line="360" w:lineRule="auto"/>
        <w:ind w:firstLine="709"/>
        <w:jc w:val="both"/>
      </w:pPr>
      <w:r>
        <w:rPr>
          <w:b w:val="0"/>
          <w:i w:val="0"/>
        </w:rPr>
        <w:t>O documento dispõe: “treinamento periódico dos porteiros e monitoramento do cumprimento das” (TR item 23 (Ciclo de Vida), [página 87]; edital itens 8.8, 10.4, 12.4(h), 17.10, 18.5 e 20.11; TR item 11.16).</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edital com regras claras de julgamento, fiscalização, entrega e pagamento. O art. 18, IX, exige motivação circunstanciada das condições do edital. Disposições contraditórias ou herdadas de outros objetos geram dúvida sobre como competir, julgar e pagar.</w:t>
      </w:r>
    </w:p>
    <w:p>
      <w:pPr>
        <w:spacing w:before="0" w:after="120" w:line="360" w:lineRule="auto"/>
        <w:ind w:firstLine="709"/>
        <w:jc w:val="both"/>
      </w:pPr>
      <w:r>
        <w:rPr>
          <w:b/>
          <w:i w:val="0"/>
          <w:color w:val="C9781E"/>
        </w:rPr>
        <w:t xml:space="preserve">Risco de manutenção. </w:t>
      </w:r>
      <w:r>
        <w:rPr>
          <w:b w:val="0"/>
          <w:i w:val="0"/>
        </w:rPr>
        <w:t>Impugnações e recursos, interpretações divergentes pelo pregoeiro e pela fiscalização e questionamento dos atos do certame por violação ao edital.</w:t>
      </w:r>
    </w:p>
    <w:p>
      <w:pPr>
        <w:spacing w:before="0" w:after="120" w:line="360" w:lineRule="auto"/>
        <w:ind w:firstLine="709"/>
        <w:jc w:val="both"/>
      </w:pPr>
      <w:r>
        <w:rPr>
          <w:b/>
          <w:i w:val="0"/>
          <w:color w:val="12324A"/>
        </w:rPr>
        <w:t xml:space="preserve">Providência recomendada. </w:t>
      </w:r>
      <w:r>
        <w:rPr>
          <w:b w:val="0"/>
          <w:i w:val="0"/>
        </w:rPr>
        <w:t>Revisar edital, TR, minuta e anexos em conjunto, com tabela única de datas, critério de julgamento, forma de adjudicação, juros e prazo de pagamento, habilitação e garantias. Remover o conteúdo de outros objetos (cooperativas, marca de produtos, porteiros, equipamentos, garantia contratual). Corrigir o número da contratação, os anos e as remissões. Se houver retificação relevante, republicar o edital e reabrir o prazo.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Convenção coletiva usada no orçamento (asseio e conservação) e data-base da planilha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item 14, [página 76]; TR item 1.1, [página 52]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orçamento estimado usa a convenção coletiva SEAC-RJ/SINTACLUNS (categoria de asseio e conservação), registro MTE RJ 001105/2025, vigência 2025-2026, para um posto de Auxiliar de Desenvolvimento Infantil, que exerce funções de cuidado e educação infantil. O orçamento tem data de 27/07/2026 e a proposta exige informar a convenção aplicável (Anexo II, OBS 3). Não há demonstração de que essa convenção seja a correta para a categoria nem de que haja instrumento mais recente.</w:t>
      </w:r>
    </w:p>
    <w:p>
      <w:pPr>
        <w:spacing w:before="0" w:after="120" w:line="360" w:lineRule="auto"/>
        <w:ind w:firstLine="709"/>
        <w:jc w:val="both"/>
      </w:pPr>
      <w:r>
        <w:rPr>
          <w:b w:val="0"/>
          <w:i w:val="0"/>
        </w:rPr>
        <w:t>O documento dispõe: “Convenção Coletiva registrada no MTE sob o número de registro RJ 001105/2025,” (TR item 14, [página 76]; TR item 1.1, [página 52]).</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Se o enquadramento sindical estiver incorreto ou se existir convenção mais recente, o valor estimado (R$ 7.845,84 por posto) pode estar defasado ou inadequado. Isso afeta a exequibilidade, a aceitação de propostas e o reajuste ou repactuação com data vinculada à convenção.</w:t>
      </w:r>
    </w:p>
    <w:p>
      <w:pPr>
        <w:spacing w:before="0" w:after="120" w:line="360" w:lineRule="auto"/>
        <w:ind w:firstLine="709"/>
        <w:jc w:val="both"/>
      </w:pPr>
      <w:r>
        <w:rPr>
          <w:b/>
          <w:i w:val="0"/>
          <w:color w:val="C9781E"/>
        </w:rPr>
        <w:t xml:space="preserve">Risco de manutenção. </w:t>
      </w:r>
      <w:r>
        <w:rPr>
          <w:b w:val="0"/>
          <w:i w:val="0"/>
        </w:rPr>
        <w:t>Propostas inexequíveis ou impugnações sobre o piso salarial, e pedidos de repactuação imediatos por convenção posterior ao orçamento.</w:t>
      </w:r>
    </w:p>
    <w:p>
      <w:pPr>
        <w:spacing w:before="0" w:after="120" w:line="360" w:lineRule="auto"/>
        <w:ind w:firstLine="709"/>
        <w:jc w:val="both"/>
      </w:pPr>
      <w:r>
        <w:rPr>
          <w:b/>
          <w:i w:val="0"/>
          <w:color w:val="12324A"/>
        </w:rPr>
        <w:t xml:space="preserve">Providência recomendada. </w:t>
      </w:r>
      <w:r>
        <w:rPr>
          <w:b w:val="0"/>
          <w:i w:val="0"/>
        </w:rPr>
        <w:t>Justificar no processo o enquadramento sindical da categoria e atualizar o orçamento se houver convenção mais recente. Exigir a indicação do enquadramento na proposta e a declaração de que a planilha reflete as convenções vigentes.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Sanções e multas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20.3.4 (tabela, item 19), [página 38]; TR itens 8.1 e 16.2, [páginas 60 e 77]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rol de sanções segue o art. 156 e a multa por inadimplemento total ou parcial varia de 0,5% a 20%, dentro do intervalo de 0,5% a 30%. Pontos de atenção. (i) A tabela do item 20.3.4 fixa 'máximo' de 20% para todas as infrações, inclusive as leves (por exemplo, não comparecer a reunião, mínimo de 1,5%), o que é desproporcional. (ii) A tabela remete ao 'item 6 deste Termo de Referência', que trata de uniformes, e a 'neste Termo de Referência', quando se trata do edital. (iii) O TR (item 16.2) usa letras diferentes das do edital, remetendo às alíneas 'b', 'c' e 'd' em sentidos trocados. (iv) O IMR (itens 8.1 do TR) prevê multas de 5% e 10% do valor mensal além das multas do edital, sem coordenação.</w:t>
      </w:r>
    </w:p>
    <w:p>
      <w:pPr>
        <w:spacing w:before="0" w:after="120" w:line="360" w:lineRule="auto"/>
        <w:ind w:firstLine="709"/>
        <w:jc w:val="both"/>
      </w:pPr>
      <w:r>
        <w:rPr>
          <w:b w:val="0"/>
          <w:i w:val="0"/>
        </w:rPr>
        <w:t>O documento dispõe: “Deixar de comparecer às reuniões agendadas, sem” (Edital item 20.3.4 (tabela, item 19), [página 38]; TR itens 8.1 e 16.2, [páginas 60 e 77]).</w:t>
      </w:r>
    </w:p>
    <w:p>
      <w:pPr>
        <w:spacing w:before="0" w:after="80" w:line="360" w:lineRule="auto"/>
        <w:ind w:firstLine="709"/>
        <w:jc w:val="both"/>
      </w:pPr>
      <w:r>
        <w:rPr>
          <w:b/>
          <w:i w:val="0"/>
          <w:color w:val="12324A"/>
        </w:rPr>
        <w:t xml:space="preserve">Dispositivo aplicável. </w:t>
      </w:r>
      <w:r>
        <w:rPr>
          <w:b w:val="0"/>
          <w:i w:val="0"/>
        </w:rPr>
        <w:t>A matéria é disciplinada pelo art. 156 e pelo art. 156, § 3º, da Lei 14.133/2021, que assim dispõem:</w:t>
      </w:r>
    </w:p>
    <w:p>
      <w:pPr>
        <w:spacing w:before="80" w:after="200" w:line="240" w:lineRule="auto"/>
        <w:ind w:firstLine="0" w:left="2268"/>
        <w:jc w:val="both"/>
      </w:pPr>
      <w:r>
        <w:rPr>
          <w:b w:val="0"/>
          <w:i w:val="0"/>
          <w:sz w:val="20"/>
        </w:rPr>
        <w:t>Serão aplicadas ao responsável pelas infrações administrativas previstas nesta Lei as seguintes sanções: […]</w:t>
      </w:r>
      <w:r>
        <w:rPr>
          <w:b w:val="0"/>
          <w:i w:val="0"/>
          <w:sz w:val="20"/>
        </w:rPr>
        <w:t xml:space="preserve"> (BRASIL, 2021, art. 156)</w:t>
      </w:r>
    </w:p>
    <w:p>
      <w:pPr>
        <w:spacing w:before="80" w:after="200" w:line="240" w:lineRule="auto"/>
        <w:ind w:firstLine="0" w:left="2268"/>
        <w:jc w:val="both"/>
      </w:pPr>
      <w:r>
        <w:rPr>
          <w:b w:val="0"/>
          <w:i w:val="0"/>
          <w:sz w:val="20"/>
        </w:rPr>
        <w:t>A sanção prevista no inciso II do caput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w:t>
      </w:r>
      <w:r>
        <w:rPr>
          <w:b w:val="0"/>
          <w:i w:val="0"/>
          <w:sz w:val="20"/>
        </w:rPr>
        <w:t xml:space="preserve"> (BRASIL, 2021, art. 156, § 3º)</w:t>
      </w:r>
    </w:p>
    <w:p>
      <w:pPr>
        <w:spacing w:before="0" w:after="120" w:line="360" w:lineRule="auto"/>
        <w:ind w:firstLine="709"/>
        <w:jc w:val="both"/>
      </w:pPr>
      <w:r>
        <w:rPr>
          <w:b/>
          <w:i w:val="0"/>
          <w:color w:val="12324A"/>
        </w:rPr>
        <w:t xml:space="preserve">Análise. </w:t>
      </w:r>
      <w:r>
        <w:rPr>
          <w:b w:val="0"/>
          <w:i w:val="0"/>
        </w:rPr>
        <w:t>O art. 156, § 3º, fixa piso e teto, mas a aplicação da multa deve respeitar a proporcionalidade e a gravidade da infração. A tabela com mínimo baixo e máximo uniforme de 20% permite discricionariedade excessiva. Remissões trocadas e dois regimes de multa (IMR e tabela) geram dúvida sobre qual se aplica e riscos de bis in idem.</w:t>
      </w:r>
    </w:p>
    <w:p>
      <w:pPr>
        <w:spacing w:before="0" w:after="120" w:line="360" w:lineRule="auto"/>
        <w:ind w:firstLine="709"/>
        <w:jc w:val="both"/>
      </w:pPr>
      <w:r>
        <w:rPr>
          <w:b/>
          <w:i w:val="0"/>
          <w:color w:val="3D8FA6"/>
        </w:rPr>
        <w:t xml:space="preserve">Risco de manutenção. </w:t>
      </w:r>
      <w:r>
        <w:rPr>
          <w:b w:val="0"/>
          <w:i w:val="0"/>
        </w:rPr>
        <w:t>Questionamento judicial ou administrativo de multas aplicadas e dificuldade de cobrança.</w:t>
      </w:r>
    </w:p>
    <w:p>
      <w:pPr>
        <w:spacing w:before="0" w:after="120" w:line="360" w:lineRule="auto"/>
        <w:ind w:firstLine="709"/>
        <w:jc w:val="both"/>
      </w:pPr>
      <w:r>
        <w:rPr>
          <w:b/>
          <w:i w:val="0"/>
          <w:color w:val="12324A"/>
        </w:rPr>
        <w:t xml:space="preserve">Providência recomendada. </w:t>
      </w:r>
      <w:r>
        <w:rPr>
          <w:b w:val="0"/>
          <w:i w:val="0"/>
        </w:rPr>
        <w:t>Graduar o máximo da multa por nível de gravidade (por exemplo, limitar as infrações leves a 2%-5%). Corrigir as remissões ('item 6 do TR', 'neste Termo de Referência'). Alinhar as alíneas do TR às do edital. Esclarecer como o IMR (glosa e multa) se articula com a tabela, de modo que a mesma falta não gere duas multas.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Contagem de prazos do edital em dias corridos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22.2, [página 41]; minuta Cláusula Vigésima Segunda, b, [página 126]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22.2 diz que os prazos são contados em 'dias consecutivos', salvo disposição em contrário, e que só se iniciam e vencem em dias de expediente. Os prazos de impugnação, esclarecimento e recurso estão em dias úteis. A regra geral do item 22.2 contradiz a forma de contagem do art. 183 para os prazos do edital que não especificam a natureza.</w:t>
      </w:r>
    </w:p>
    <w:p>
      <w:pPr>
        <w:spacing w:before="0" w:after="120" w:line="360" w:lineRule="auto"/>
        <w:ind w:firstLine="709"/>
        <w:jc w:val="both"/>
      </w:pPr>
      <w:r>
        <w:rPr>
          <w:b w:val="0"/>
          <w:i w:val="0"/>
        </w:rPr>
        <w:t>O documento dispõe: “Na contagem dos prazos, é excluído o dia de início e incluído o do vencimento, e” (Edital item 22.2, [página 41]; minuta Cláusula Vigésima Segunda, b, [página 126]).</w:t>
      </w:r>
    </w:p>
    <w:p>
      <w:pPr>
        <w:spacing w:before="0" w:after="80" w:line="360" w:lineRule="auto"/>
        <w:ind w:firstLine="709"/>
        <w:jc w:val="both"/>
      </w:pPr>
      <w:r>
        <w:rPr>
          <w:b/>
          <w:i w:val="0"/>
          <w:color w:val="12324A"/>
        </w:rPr>
        <w:t xml:space="preserve">Dispositivo aplicável. </w:t>
      </w:r>
      <w:r>
        <w:rPr>
          <w:b w:val="0"/>
          <w:i w:val="0"/>
        </w:rPr>
        <w:t>A matéria é disciplinada pelo art. 183, da Lei 14.133/2021, que assim dispõe:</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0" w:after="120" w:line="360" w:lineRule="auto"/>
        <w:ind w:firstLine="709"/>
        <w:jc w:val="both"/>
      </w:pPr>
      <w:r>
        <w:rPr>
          <w:b/>
          <w:i w:val="0"/>
          <w:color w:val="12324A"/>
        </w:rPr>
        <w:t xml:space="preserve">Análise. </w:t>
      </w:r>
      <w:r>
        <w:rPr>
          <w:b w:val="0"/>
          <w:i w:val="0"/>
        </w:rPr>
        <w:t>A regra geral do edital cria dúvida sobre os prazos sem indicação expressa (como o de 5 dias da regularização fiscal e o de 2 horas na proposta). Convém que o edital siga a contagem do art. 183.</w:t>
      </w:r>
    </w:p>
    <w:p>
      <w:pPr>
        <w:spacing w:before="0" w:after="120" w:line="360" w:lineRule="auto"/>
        <w:ind w:firstLine="709"/>
        <w:jc w:val="both"/>
      </w:pPr>
      <w:r>
        <w:rPr>
          <w:b/>
          <w:i w:val="0"/>
          <w:color w:val="3D8FA6"/>
        </w:rPr>
        <w:t xml:space="preserve">Risco de manutenção. </w:t>
      </w:r>
      <w:r>
        <w:rPr>
          <w:b w:val="0"/>
          <w:i w:val="0"/>
        </w:rPr>
        <w:t>Divergência sobre o termo final de prazos, com alegação de cerceamento de defesa.</w:t>
      </w:r>
    </w:p>
    <w:p>
      <w:pPr>
        <w:spacing w:before="0" w:after="120" w:line="360" w:lineRule="auto"/>
        <w:ind w:firstLine="709"/>
        <w:jc w:val="both"/>
      </w:pPr>
      <w:r>
        <w:rPr>
          <w:b/>
          <w:i w:val="0"/>
          <w:color w:val="12324A"/>
        </w:rPr>
        <w:t xml:space="preserve">Providência recomendada. </w:t>
      </w:r>
      <w:r>
        <w:rPr>
          <w:b w:val="0"/>
          <w:i w:val="0"/>
        </w:rPr>
        <w:t>Reescrever o item 22.2 para dispor que os prazos são contados em dias úteis, com exclusão do dia do começo e inclusão do dia do vencimento, e que o dia do começo é o primeiro dia útil seguinte à divulgação.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Vedações de participação com quarentenas locais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8.11, [páginas 6-7]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8.11 veda a participação de empresas com dirigentes, sócios ou técnicos servidores municipais, ou que tenham sido nos últimos 180 dias, e com profissionais que ocuparam cargos de 1º e 2º escalões nos últimos 12 meses. O edital não indica o fundamento legal dessas quarentenas, que não constam dos impedimentos do art. 14.</w:t>
      </w:r>
    </w:p>
    <w:p>
      <w:pPr>
        <w:spacing w:before="0" w:after="120" w:line="360" w:lineRule="auto"/>
        <w:ind w:firstLine="709"/>
        <w:jc w:val="both"/>
      </w:pPr>
      <w:r>
        <w:rPr>
          <w:b w:val="0"/>
          <w:i w:val="0"/>
        </w:rPr>
        <w:t>O documento dispõe: “Não será permitida a participação de licitantes cujos dirigentes, gerentes, sócios ou” (Edital item 8.11, [páginas 6-7]).</w:t>
      </w:r>
    </w:p>
    <w:p>
      <w:pPr>
        <w:spacing w:before="0" w:after="80" w:line="360" w:lineRule="auto"/>
        <w:ind w:firstLine="709"/>
        <w:jc w:val="both"/>
      </w:pPr>
      <w:r>
        <w:rPr>
          <w:b/>
          <w:i w:val="0"/>
          <w:color w:val="12324A"/>
        </w:rPr>
        <w:t xml:space="preserve">Dispositivo aplicável. </w:t>
      </w:r>
      <w:r>
        <w:rPr>
          <w:b w:val="0"/>
          <w:i w:val="0"/>
        </w:rPr>
        <w:t>A matéria é disciplinada pelo art. 14, da Lei 14.133/2021, que assim dispõe:</w:t>
      </w:r>
    </w:p>
    <w:p>
      <w:pPr>
        <w:spacing w:before="80" w:after="200" w:line="240" w:lineRule="auto"/>
        <w:ind w:firstLine="0" w:left="2268"/>
        <w:jc w:val="both"/>
      </w:pPr>
      <w:r>
        <w:rPr>
          <w:b w:val="0"/>
          <w:i w:val="0"/>
          <w:sz w:val="20"/>
        </w:rPr>
        <w:t>Não poderão disputar licitação ou participar da execução de contrato, direta ou indiretamente: […]</w:t>
      </w:r>
      <w:r>
        <w:rPr>
          <w:b w:val="0"/>
          <w:i w:val="0"/>
          <w:sz w:val="20"/>
        </w:rPr>
        <w:t xml:space="preserve"> (BRASIL, 2021, art. 14)</w:t>
      </w:r>
    </w:p>
    <w:p>
      <w:pPr>
        <w:spacing w:before="0" w:after="120" w:line="360" w:lineRule="auto"/>
        <w:ind w:firstLine="709"/>
        <w:jc w:val="both"/>
      </w:pPr>
      <w:r>
        <w:rPr>
          <w:b/>
          <w:i w:val="0"/>
          <w:color w:val="12324A"/>
        </w:rPr>
        <w:t xml:space="preserve">Análise. </w:t>
      </w:r>
      <w:r>
        <w:rPr>
          <w:b w:val="0"/>
          <w:i w:val="0"/>
        </w:rPr>
        <w:t>Impedimentos de participação são hipóteses de restrição à competição e devem ter base em lei ou decreto. Quando houver base local, ela deve ser citada. A ausência de fundamento facilita impugnações e a contestação de inabilitações.</w:t>
      </w:r>
    </w:p>
    <w:p>
      <w:pPr>
        <w:spacing w:before="0" w:after="120" w:line="360" w:lineRule="auto"/>
        <w:ind w:firstLine="709"/>
        <w:jc w:val="both"/>
      </w:pPr>
      <w:r>
        <w:rPr>
          <w:b/>
          <w:i w:val="0"/>
          <w:color w:val="3D8FA6"/>
        </w:rPr>
        <w:t xml:space="preserve">Risco de manutenção. </w:t>
      </w:r>
      <w:r>
        <w:rPr>
          <w:b w:val="0"/>
          <w:i w:val="0"/>
        </w:rPr>
        <w:t>Impugnação do item e anulação de eventual inabilitação com base nele.</w:t>
      </w:r>
    </w:p>
    <w:p>
      <w:pPr>
        <w:spacing w:before="0" w:after="120" w:line="360" w:lineRule="auto"/>
        <w:ind w:firstLine="709"/>
        <w:jc w:val="both"/>
      </w:pPr>
      <w:r>
        <w:rPr>
          <w:b/>
          <w:i w:val="0"/>
          <w:color w:val="12324A"/>
        </w:rPr>
        <w:t xml:space="preserve">Providência recomendada. </w:t>
      </w:r>
      <w:r>
        <w:rPr>
          <w:b w:val="0"/>
          <w:i w:val="0"/>
        </w:rPr>
        <w:t>Indicar no edital o fundamento legal ou decreto municipal das quarentenas. Se não houver base, restringir a vedação às hipóteses do art. 14.</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Conteúdo mínimo do edital: </w:t>
      </w:r>
      <w:r>
        <w:rPr>
          <w:b w:val="0"/>
          <w:i w:val="0"/>
        </w:rPr>
        <w:t>Complete a minuta e unifique no edital as regras que hoje estão espalhadas entre edital, TR e minuta (liquidação, juros de mora, IMR). (art. 25, da Lei 14.133/2021).</w:t>
      </w:r>
    </w:p>
    <w:p>
      <w:pPr>
        <w:spacing w:before="0" w:after="120" w:line="360" w:lineRule="auto"/>
        <w:ind w:left="425" w:hanging="425"/>
        <w:jc w:val="both"/>
      </w:pPr>
      <w:r>
        <w:rPr>
          <w:b/>
          <w:i w:val="0"/>
          <w:color w:val="1F7A8C"/>
        </w:rPr>
        <w:t xml:space="preserve">b) </w:t>
      </w:r>
      <w:r>
        <w:rPr>
          <w:b/>
          <w:i w:val="0"/>
        </w:rPr>
        <w:t xml:space="preserve">Prazo mínimo para apresentação de propostas: </w:t>
      </w:r>
      <w:r>
        <w:rPr>
          <w:b w:val="0"/>
          <w:i w:val="0"/>
        </w:rPr>
        <w:t>Como não há margem, qualquer feriado local ou ponto facultativo entre 13 e 27/10 reduziria o prazo abaixo do mínimo. Confirme o calendário municipal. Se houver retificação do edital que afete as propostas, reabra o prazo integral (art. 55, § 1º). Corrija também o item 22.2 (ver apontamento sobre contagem de prazos). (art. 55, da Lei 14.133/2021; art. 183, da Lei 14.133/2021; art. 183, § 1º, inciso I, da Lei 14.133/2021).</w:t>
      </w:r>
    </w:p>
    <w:p>
      <w:pPr>
        <w:spacing w:before="0" w:after="120" w:line="360" w:lineRule="auto"/>
        <w:ind w:left="425" w:hanging="425"/>
        <w:jc w:val="both"/>
      </w:pPr>
      <w:r>
        <w:rPr>
          <w:b/>
          <w:i w:val="0"/>
          <w:color w:val="1F7A8C"/>
        </w:rPr>
        <w:t xml:space="preserve">c) </w:t>
      </w:r>
      <w:r>
        <w:rPr>
          <w:b/>
          <w:i w:val="0"/>
        </w:rPr>
        <w:t xml:space="preserve">Garantia de proposta e garantia contratual: </w:t>
      </w:r>
      <w:r>
        <w:rPr>
          <w:b w:val="0"/>
          <w:i w:val="0"/>
        </w:rPr>
        <w:t>Descreva o procedimento da garantia de proposta (modalidades, momento e forma de entrega no sistema, prazo e regras de devolução) para evitar divergências. A exigência no momento do envio da proposta, para todos os licitantes, reforça esse cuidado. O edital e a minuta ainda falam de 'garantia' contratual em outros pontos (ver ed-18 e ed-15). (art. 58, § 1º, da Lei 14.133/2021; art. 98, da Lei 14.133/2021).</w:t>
      </w:r>
    </w:p>
    <w:p>
      <w:pPr>
        <w:spacing w:before="0" w:after="120" w:line="360" w:lineRule="auto"/>
        <w:ind w:left="425" w:hanging="425"/>
        <w:jc w:val="both"/>
      </w:pPr>
      <w:r>
        <w:rPr>
          <w:b/>
          <w:i w:val="0"/>
          <w:color w:val="1F7A8C"/>
        </w:rPr>
        <w:t xml:space="preserve">d) </w:t>
      </w:r>
      <w:r>
        <w:rPr>
          <w:b/>
          <w:i w:val="0"/>
        </w:rPr>
        <w:t xml:space="preserve">Participação em consórcio: </w:t>
      </w:r>
      <w:r>
        <w:rPr>
          <w:b w:val="0"/>
          <w:i w:val="0"/>
        </w:rPr>
        <w:t>A motivação é genérica para contrato de R$ 40,9 milhões. Reforce-a com fatos do mercado local, como a existência de número suficiente de empresas aptas a executar sozinhas. Retire a referência a 'líder de consórcio' do item 8.16.1, que contradiz a vedação. (art. 15, da Lei 14.133/2021).</w:t>
      </w:r>
    </w:p>
    <w:p>
      <w:pPr>
        <w:spacing w:before="0" w:after="120" w:line="360" w:lineRule="auto"/>
        <w:ind w:left="425" w:hanging="425"/>
        <w:jc w:val="both"/>
      </w:pPr>
      <w:r>
        <w:rPr>
          <w:b/>
          <w:i w:val="0"/>
          <w:color w:val="1F7A8C"/>
        </w:rPr>
        <w:t xml:space="preserve">e) </w:t>
      </w:r>
      <w:r>
        <w:rPr>
          <w:b/>
          <w:i w:val="0"/>
        </w:rPr>
        <w:t xml:space="preserve">Recursos administrativos: </w:t>
      </w:r>
      <w:r>
        <w:rPr>
          <w:b w:val="0"/>
          <w:i w:val="0"/>
        </w:rPr>
        <w:t>O item 14.6 fixa à autoridade superior prazo 'no mesmo prazo' (3 dias úteis). Confira a compatibilidade com o prazo do art. 165, § 2º, que é maior, e prefira a redação legal. Para as sanções, a minuta (Cláusula Décima Sexta) já segue os arts. 165 e 166. (art. 165, inciso I, da Lei 14.133/2021; art. 165, § 1º, da Lei 14.133/2021).</w:t>
      </w:r>
    </w:p>
    <w:p>
      <w:pPr>
        <w:spacing w:before="0" w:after="120" w:line="360" w:lineRule="auto"/>
        <w:ind w:left="425" w:hanging="425"/>
        <w:jc w:val="both"/>
      </w:pPr>
      <w:r>
        <w:rPr>
          <w:b/>
          <w:i w:val="0"/>
          <w:color w:val="1F7A8C"/>
        </w:rPr>
        <w:t xml:space="preserve">f) </w:t>
      </w:r>
      <w:r>
        <w:rPr>
          <w:b/>
          <w:i w:val="0"/>
        </w:rPr>
        <w:t xml:space="preserve">Vigência e prorrogação de serviços contínuos: </w:t>
      </w:r>
      <w:r>
        <w:rPr>
          <w:b w:val="0"/>
          <w:i w:val="0"/>
        </w:rPr>
        <w:t>Reproduza no próprio edital a condição de vantajosidade atestada pela autoridade competente, que hoje está só no TR. Alinhe a Cláusula Nona da minuta, que fixa a eficácia na publicação no PNCP, ao item 7.1 do edital, que conta a vigência da assinatura. (art. 106, da Lei 14.133/2021; art. 107,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Não há vício evidente no prazo de propostas, no limite da garantia de proposta, no percentual de capital ou PL mínimo, no teto das multas e na previsão de prorrogação. O edital, porém, não deve ser mantido sem saneamento em pelo menos quatro pontos: reajuste/repactuação (data-base e mecanismo), tratamento de ME/EPP, justificativa e cumulatividade das exigências de habilitação, e adequação do objeto, das atribuições dos postos e do enquadramento sindical. Também são necessárias a revisão da minuta, que está com campos em branco e cláusulas em contradição com o edital, e a eliminação das incoerências entre edital, TR e anexos. Se a sessão de 27/10/2026 já ocorreu, as correções dependem do estágio. Se não houve adjudicação ou contratação, convém retificar e republicar o edital, reabrindo o prazo (art. 55, § 1º) quando a alteração afetar as propostas. Se já houve adjudicação ou contrato, devem ser avaliados a convalidação ou a anulação e, no mínimo, os ajustes na minuta e na gestão contratual. Não foram enviados, e portanto não puderam ser verificados: parecer jurídico (art. 53), ETP, pesquisa de preços e comprovante de divulgação dos anexos no PNCP. A decisão de corrigir ou manter cada ponto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Atribuições dos postos incluem tarefas pedagógicas: risco de terceirização de atividade-fim </w:t>
      </w:r>
      <w:r>
        <w:rPr>
          <w:b w:val="0"/>
          <w:i w:val="0"/>
          <w:color w:val="B23A48"/>
        </w:rPr>
        <w:t xml:space="preserve">(gravidade alta, item 3.1): </w:t>
      </w:r>
      <w:r>
        <w:rPr>
          <w:b w:val="0"/>
          <w:i w:val="0"/>
        </w:rPr>
        <w:t>Revisar as atribuições do posto para retirar as tarefas docentes e deixar o objeto restrito ao apoio de cuidado e higiene. Revisar o objeto ('serviços nas áreas pedagógicas'). Justificar no ETP a natureza de atividade-meio, citando a legislação municipal aplicável e a inexistência de cargo equivalente. Se necessário, retificar e republicar.</w:t>
      </w:r>
    </w:p>
    <w:p>
      <w:pPr>
        <w:spacing w:before="0" w:after="80" w:line="360" w:lineRule="auto"/>
        <w:ind w:left="425" w:hanging="425"/>
        <w:jc w:val="both"/>
      </w:pPr>
      <w:r>
        <w:rPr>
          <w:b/>
          <w:i w:val="0"/>
          <w:color w:val="C9781E"/>
        </w:rPr>
        <w:t xml:space="preserve">2. </w:t>
      </w:r>
      <w:r>
        <w:rPr>
          <w:b/>
          <w:i w:val="0"/>
        </w:rPr>
        <w:t xml:space="preserve">Índice de reajuste com data-base no orçamento </w:t>
      </w:r>
      <w:r>
        <w:rPr>
          <w:b w:val="0"/>
          <w:i w:val="0"/>
          <w:color w:val="C9781E"/>
        </w:rPr>
        <w:t xml:space="preserve">(gravidade média, item 3.2): </w:t>
      </w:r>
      <w:r>
        <w:rPr>
          <w:b w:val="0"/>
          <w:i w:val="0"/>
        </w:rPr>
        <w:t>Harmonizar edital, TR e minuta. Para reajuste por índice (insumos), indicar o IPCA com data-base no orçamento estimado (27/07/2026). Para custos de mão de obra, manter a repactuação com data vinculada à convenção. Se algum insumo for repactuado, explicitar que a data segue a regra do art. 135. Preencher na minuta o prazo (12 meses) e o índice (IPCA).</w:t>
      </w:r>
    </w:p>
    <w:p>
      <w:pPr>
        <w:spacing w:before="0" w:after="80" w:line="360" w:lineRule="auto"/>
        <w:ind w:left="425" w:hanging="425"/>
        <w:jc w:val="both"/>
      </w:pPr>
      <w:r>
        <w:rPr>
          <w:b/>
          <w:i w:val="0"/>
          <w:color w:val="C9781E"/>
        </w:rPr>
        <w:t xml:space="preserve">3. </w:t>
      </w:r>
      <w:r>
        <w:rPr>
          <w:b/>
          <w:i w:val="0"/>
        </w:rPr>
        <w:t xml:space="preserve">Critério de reajuste em serviços contínuos </w:t>
      </w:r>
      <w:r>
        <w:rPr>
          <w:b w:val="0"/>
          <w:i w:val="0"/>
          <w:color w:val="C9781E"/>
        </w:rPr>
        <w:t xml:space="preserve">(gravidade média, item 3.3): </w:t>
      </w:r>
      <w:r>
        <w:rPr>
          <w:b w:val="0"/>
          <w:i w:val="0"/>
        </w:rPr>
        <w:t>Reescrever o item 19.2 e a Cláusula Quinta: mão de obra por repactuação (data da convenção), insumos por índice ou repactuação, conforme a opção. Excluir da minuta os parágrafos entre colchetes que não se aplicam e deixar apenas as regras do objeto.</w:t>
      </w:r>
    </w:p>
    <w:p>
      <w:pPr>
        <w:spacing w:before="0" w:after="80" w:line="360" w:lineRule="auto"/>
        <w:ind w:left="425" w:hanging="425"/>
        <w:jc w:val="both"/>
      </w:pPr>
      <w:r>
        <w:rPr>
          <w:b/>
          <w:i w:val="0"/>
          <w:color w:val="C9781E"/>
        </w:rPr>
        <w:t xml:space="preserve">4. </w:t>
      </w:r>
      <w:r>
        <w:rPr>
          <w:b/>
          <w:i w:val="0"/>
        </w:rPr>
        <w:t xml:space="preserve">Qualificação técnica proporcional </w:t>
      </w:r>
      <w:r>
        <w:rPr>
          <w:b w:val="0"/>
          <w:i w:val="0"/>
          <w:color w:val="C9781E"/>
        </w:rPr>
        <w:t xml:space="preserve">(gravidade média, item 3.4): </w:t>
      </w:r>
      <w:r>
        <w:rPr>
          <w:b w:val="0"/>
          <w:i w:val="0"/>
        </w:rPr>
        <w:t>Definir claramente 'serviço similar' (por exemplo, serviços continuados com dedicação exclusiva em mínimo de 218 postos). Reavaliar o requisito de 36 meses, justificando-o expressamente no processo ou suprimindo-o. Justificar tecnicamente o técnico de segurança do trabalho, ou admiti-lo como obrigação contratual. Alinhar o TR ao edital, retirando exigências divergentes (ambiente educacional; emissão após um ano).</w:t>
      </w:r>
    </w:p>
    <w:p>
      <w:pPr>
        <w:spacing w:before="0" w:after="80" w:line="360" w:lineRule="auto"/>
        <w:ind w:left="425" w:hanging="425"/>
        <w:jc w:val="both"/>
      </w:pPr>
      <w:r>
        <w:rPr>
          <w:b/>
          <w:i w:val="0"/>
          <w:color w:val="C9781E"/>
        </w:rPr>
        <w:t xml:space="preserve">5. </w:t>
      </w:r>
      <w:r>
        <w:rPr>
          <w:b/>
          <w:i w:val="0"/>
        </w:rPr>
        <w:t xml:space="preserve">Qualificação econômico-financeira </w:t>
      </w:r>
      <w:r>
        <w:rPr>
          <w:b w:val="0"/>
          <w:i w:val="0"/>
          <w:color w:val="C9781E"/>
        </w:rPr>
        <w:t xml:space="preserve">(gravidade média, item 3.5): </w:t>
      </w:r>
      <w:r>
        <w:rPr>
          <w:b w:val="0"/>
          <w:i w:val="0"/>
        </w:rPr>
        <w:t>Justificar no processo cada índice e o CCL, ou excluir os redundantes. Avaliar se a soma de PL de 10%, CCL de 16,66% e declaração de compromissos é necessária. Uniformizar edital e TR (ILC). Corrigir o rótulo do ISG e a numeração dos subitens.</w:t>
      </w:r>
    </w:p>
    <w:p>
      <w:pPr>
        <w:spacing w:before="0" w:after="80" w:line="360" w:lineRule="auto"/>
        <w:ind w:left="425" w:hanging="425"/>
        <w:jc w:val="both"/>
      </w:pPr>
      <w:r>
        <w:rPr>
          <w:b/>
          <w:i w:val="0"/>
          <w:color w:val="C9781E"/>
        </w:rPr>
        <w:t xml:space="preserve">6. </w:t>
      </w:r>
      <w:r>
        <w:rPr>
          <w:b/>
          <w:i w:val="0"/>
        </w:rPr>
        <w:t xml:space="preserve">Tratamento diferenciado a ME e EPP </w:t>
      </w:r>
      <w:r>
        <w:rPr>
          <w:b w:val="0"/>
          <w:i w:val="0"/>
          <w:color w:val="C9781E"/>
        </w:rPr>
        <w:t xml:space="preserve">(gravidade média, item 3.6): </w:t>
      </w:r>
      <w:r>
        <w:rPr>
          <w:b w:val="0"/>
          <w:i w:val="0"/>
        </w:rPr>
        <w:t>Definir um único regime. Considerando o valor, o caminho mais coerente é declarar expressamente a inaplicabilidade dos arts. 42 a 49 da LC 123 (art. 4º, § 1º), fundamentando-a no valor estimado do item. Nesse caso, ajustar os itens 12.5, C.6 e 10.9 e corrigir a base legal citada no TR (hoje art. 49, III).</w:t>
      </w:r>
    </w:p>
    <w:p>
      <w:pPr>
        <w:spacing w:before="0" w:after="80" w:line="360" w:lineRule="auto"/>
        <w:ind w:left="425" w:hanging="425"/>
        <w:jc w:val="both"/>
      </w:pPr>
      <w:r>
        <w:rPr>
          <w:b/>
          <w:i w:val="0"/>
          <w:color w:val="C9781E"/>
        </w:rPr>
        <w:t xml:space="preserve">7. </w:t>
      </w:r>
      <w:r>
        <w:rPr>
          <w:b/>
          <w:i w:val="0"/>
        </w:rPr>
        <w:t xml:space="preserve">Impugnação e esclarecimentos </w:t>
      </w:r>
      <w:r>
        <w:rPr>
          <w:b w:val="0"/>
          <w:i w:val="0"/>
          <w:color w:val="C9781E"/>
        </w:rPr>
        <w:t xml:space="preserve">(gravidade média, item 3.7): </w:t>
      </w:r>
      <w:r>
        <w:rPr>
          <w:b w:val="0"/>
          <w:i w:val="0"/>
        </w:rPr>
        <w:t>Reescrever o item 1.8.1 espelhando o parágrafo único do art. 164 (limite do último dia útil anterior à abertura e divulgação no PNCP/Compras.gov). Avaliar a retirada do efeito suspensivo automático (1.8.2). Se mantido, restringir às impugnações com plausibilidade, por decisão do pregoeiro.</w:t>
      </w:r>
    </w:p>
    <w:p>
      <w:pPr>
        <w:spacing w:before="0" w:after="80" w:line="360" w:lineRule="auto"/>
        <w:ind w:left="425" w:hanging="425"/>
        <w:jc w:val="both"/>
      </w:pPr>
      <w:r>
        <w:rPr>
          <w:b/>
          <w:i w:val="0"/>
          <w:color w:val="C9781E"/>
        </w:rPr>
        <w:t xml:space="preserve">8. </w:t>
      </w:r>
      <w:r>
        <w:rPr>
          <w:b/>
          <w:i w:val="0"/>
        </w:rPr>
        <w:t xml:space="preserve">Minuta de contrato como anexo e cláusulas necessárias </w:t>
      </w:r>
      <w:r>
        <w:rPr>
          <w:b w:val="0"/>
          <w:i w:val="0"/>
          <w:color w:val="C9781E"/>
        </w:rPr>
        <w:t xml:space="preserve">(gravidade média, item 3.8): </w:t>
      </w:r>
      <w:r>
        <w:rPr>
          <w:b w:val="0"/>
          <w:i w:val="0"/>
        </w:rPr>
        <w:t>Preencher a minuta com os dados da contratação (12 meses; IPCA; repactuação; valor mensal e global; Anexo III). Excluir os trechos entre colchetes não aplicáveis. Excluir as referências à garantia contratual. Corrigir as remissões internas e a numeração. Incluir o regime de execução e o prazo de início.</w:t>
      </w:r>
    </w:p>
    <w:p>
      <w:pPr>
        <w:spacing w:before="0" w:after="80" w:line="360" w:lineRule="auto"/>
        <w:ind w:left="425" w:hanging="425"/>
        <w:jc w:val="both"/>
      </w:pPr>
      <w:r>
        <w:rPr>
          <w:b/>
          <w:i w:val="0"/>
          <w:color w:val="C9781E"/>
        </w:rPr>
        <w:t xml:space="preserve">9. </w:t>
      </w:r>
      <w:r>
        <w:rPr>
          <w:b/>
          <w:i w:val="0"/>
        </w:rPr>
        <w:t xml:space="preserve">Coerência interna do edital e dos anexos </w:t>
      </w:r>
      <w:r>
        <w:rPr>
          <w:b w:val="0"/>
          <w:i w:val="0"/>
          <w:color w:val="C9781E"/>
        </w:rPr>
        <w:t xml:space="preserve">(gravidade média, item 3.9): </w:t>
      </w:r>
      <w:r>
        <w:rPr>
          <w:b w:val="0"/>
          <w:i w:val="0"/>
        </w:rPr>
        <w:t>Revisar edital, TR, minuta e anexos em conjunto, com tabela única de datas, critério de julgamento, forma de adjudicação, juros e prazo de pagamento, habilitação e garantias. Remover o conteúdo de outros objetos (cooperativas, marca de produtos, porteiros, equipamentos, garantia contratual). Corrigir o número da contratação, os anos e as remissões. Se houver retificação relevante, republicar o edital e reabrir o prazo.</w:t>
      </w:r>
    </w:p>
    <w:p>
      <w:pPr>
        <w:spacing w:before="0" w:after="80" w:line="360" w:lineRule="auto"/>
        <w:ind w:left="425" w:hanging="425"/>
        <w:jc w:val="both"/>
      </w:pPr>
      <w:r>
        <w:rPr>
          <w:b/>
          <w:i w:val="0"/>
          <w:color w:val="C9781E"/>
        </w:rPr>
        <w:t xml:space="preserve">10. </w:t>
      </w:r>
      <w:r>
        <w:rPr>
          <w:b/>
          <w:i w:val="0"/>
        </w:rPr>
        <w:t xml:space="preserve">Convenção coletiva usada no orçamento (asseio e conservação) e data-base da planilha </w:t>
      </w:r>
      <w:r>
        <w:rPr>
          <w:b w:val="0"/>
          <w:i w:val="0"/>
          <w:color w:val="C9781E"/>
        </w:rPr>
        <w:t xml:space="preserve">(gravidade média, item 3.10): </w:t>
      </w:r>
      <w:r>
        <w:rPr>
          <w:b w:val="0"/>
          <w:i w:val="0"/>
        </w:rPr>
        <w:t>Justificar no processo o enquadramento sindical da categoria e atualizar o orçamento se houver convenção mais recente. Exigir a indicação do enquadramento na proposta e a declaração de que a planilha reflete as convenções vigentes.</w:t>
      </w:r>
    </w:p>
    <w:p>
      <w:pPr>
        <w:spacing w:before="0" w:after="80" w:line="360" w:lineRule="auto"/>
        <w:ind w:left="425" w:hanging="425"/>
        <w:jc w:val="both"/>
      </w:pPr>
      <w:r>
        <w:rPr>
          <w:b/>
          <w:i w:val="0"/>
          <w:color w:val="3D8FA6"/>
        </w:rPr>
        <w:t xml:space="preserve">11. </w:t>
      </w:r>
      <w:r>
        <w:rPr>
          <w:b/>
          <w:i w:val="0"/>
        </w:rPr>
        <w:t xml:space="preserve">Sanções e multas </w:t>
      </w:r>
      <w:r>
        <w:rPr>
          <w:b w:val="0"/>
          <w:i w:val="0"/>
          <w:color w:val="3D8FA6"/>
        </w:rPr>
        <w:t xml:space="preserve">(gravidade baixa, item 3.11): </w:t>
      </w:r>
      <w:r>
        <w:rPr>
          <w:b w:val="0"/>
          <w:i w:val="0"/>
        </w:rPr>
        <w:t>Graduar o máximo da multa por nível de gravidade (por exemplo, limitar as infrações leves a 2%-5%). Corrigir as remissões ('item 6 do TR', 'neste Termo de Referência'). Alinhar as alíneas do TR às do edital. Esclarecer como o IMR (glosa e multa) se articula com a tabela, de modo que a mesma falta não gere duas multas.</w:t>
      </w:r>
    </w:p>
    <w:p>
      <w:pPr>
        <w:spacing w:before="0" w:after="80" w:line="360" w:lineRule="auto"/>
        <w:ind w:left="425" w:hanging="425"/>
        <w:jc w:val="both"/>
      </w:pPr>
      <w:r>
        <w:rPr>
          <w:b/>
          <w:i w:val="0"/>
          <w:color w:val="3D8FA6"/>
        </w:rPr>
        <w:t xml:space="preserve">12. </w:t>
      </w:r>
      <w:r>
        <w:rPr>
          <w:b/>
          <w:i w:val="0"/>
        </w:rPr>
        <w:t xml:space="preserve">Contagem de prazos do edital em dias corridos </w:t>
      </w:r>
      <w:r>
        <w:rPr>
          <w:b w:val="0"/>
          <w:i w:val="0"/>
          <w:color w:val="3D8FA6"/>
        </w:rPr>
        <w:t xml:space="preserve">(gravidade baixa, item 3.12): </w:t>
      </w:r>
      <w:r>
        <w:rPr>
          <w:b w:val="0"/>
          <w:i w:val="0"/>
        </w:rPr>
        <w:t>Reescrever o item 22.2 para dispor que os prazos são contados em dias úteis, com exclusão do dia do começo e inclusão do dia do vencimento, e que o dia do começo é o primeiro dia útil seguinte à divulgação.</w:t>
      </w:r>
    </w:p>
    <w:p>
      <w:pPr>
        <w:spacing w:before="0" w:after="80" w:line="360" w:lineRule="auto"/>
        <w:ind w:left="425" w:hanging="425"/>
        <w:jc w:val="both"/>
      </w:pPr>
      <w:r>
        <w:rPr>
          <w:b/>
          <w:i w:val="0"/>
          <w:color w:val="3D8FA6"/>
        </w:rPr>
        <w:t xml:space="preserve">13. </w:t>
      </w:r>
      <w:r>
        <w:rPr>
          <w:b/>
          <w:i w:val="0"/>
        </w:rPr>
        <w:t xml:space="preserve">Vedações de participação com quarentenas locais </w:t>
      </w:r>
      <w:r>
        <w:rPr>
          <w:b w:val="0"/>
          <w:i w:val="0"/>
          <w:color w:val="3D8FA6"/>
        </w:rPr>
        <w:t xml:space="preserve">(gravidade baixa, item 3.13): </w:t>
      </w:r>
      <w:r>
        <w:rPr>
          <w:b w:val="0"/>
          <w:i w:val="0"/>
        </w:rPr>
        <w:t>Indicar no edital o fundamento legal ou decreto municipal das quarentenas. Se não houver base, restringir a vedação às hipóteses do art. 14.</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Acórdão 2215/2026-Plenário. Relator: Ministro(a) Antonio Anastasia. Julgado em 19 ago. 2026. TCU – Jurisprudência Selecionada (BJ nº 599 de 07/09/2026). Disponível em: https://pesquisa.apps.tcu.gov.br/documento/jurisprudencia-selecionada/*/KEY%253AJURISPRUDENCIA-SELECIONADA-207661/score%2520desc/0. Acesso em: 29 out. 2026.</w:t>
      </w:r>
    </w:p>
    <w:p>
      <w:pPr>
        <w:spacing w:before="0" w:after="240" w:line="240" w:lineRule="auto"/>
        <w:ind w:firstLine="0"/>
        <w:jc w:val="left"/>
      </w:pPr>
      <w:r>
        <w:rPr>
          <w:b w:val="0"/>
          <w:i w:val="0"/>
          <w:sz w:val="22"/>
        </w:rPr>
        <w:t>BRASIL. Tribunal de Contas da União (Plenário). Acórdão 2724/2025-Plenário. Relator: Ministro(a) Benjamin Zymler. Julgado em 18 nov. 2025. TCU – Jurisprudência Selecionada (Informativo de Licitações e Contratos nº 519 de 03/02/2026 BJ nº 567 de 15/12/2025). Disponível em: https://pesquisa.apps.tcu.gov.br/documento/jurisprudencia-selecionada/*/KEY%253AJURISPRUDENCIA-SELECIONADA-193580/score%2520desc/0. Acesso em: 29 out. 2026.</w:t>
      </w:r>
    </w:p>
    <w:p>
      <w:pPr>
        <w:spacing w:before="0" w:after="240" w:line="240" w:lineRule="auto"/>
        <w:ind w:firstLine="0"/>
        <w:jc w:val="left"/>
      </w:pPr>
      <w:r>
        <w:rPr>
          <w:b w:val="0"/>
          <w:i w:val="0"/>
          <w:sz w:val="22"/>
        </w:rPr>
        <w:t>BRASIL. Tribunal de Contas da União (Plenário). Súmula TCU 275. Relator: Ministro(a) Valmir Campelo. Julgado em 1 jan. 2012. TCU – Súmulas. Disponível em: https://pesquisa.apps.tcu.gov.br/documento/sumula/*/KEY%253ASUMULA-EJURIS-22101/score%2520desc/0.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EDUCAÇÃO. Edital e minutas (ata e contrato) — Pregão Eletrônico nº 54/2026 – Processo Administrativo nº 18321/2025 (PNCP 29131075000193-1-000445/2026). Disponível em: https://pncp.gov.br/app/editais/29131075000193/2026/445. Acesso em: 29 out. 2026.</w:t>
      </w:r>
    </w:p>
    <w:p>
      <w:pPr>
        <w:spacing w:before="0" w:after="240" w:line="240" w:lineRule="auto"/>
        <w:ind w:firstLine="0"/>
        <w:jc w:val="left"/>
      </w:pPr>
      <w:r>
        <w:rPr>
          <w:b w:val="0"/>
          <w:i w:val="0"/>
          <w:sz w:val="22"/>
        </w:rPr>
        <w:t>RIO DE JANEIRO (Estado). Tribunal de Contas do Estado do Rio de Janeiro (Plenário). Acórdão 19519/2026 – Processo 100.467-3/2026. Relator: Conselheiro José Gomes Graciosa. Julgado em 10 jun. 2026. TCE-RJ – Jurisprudência Selecionada. Disponível em: https://www.tcerj.tc.br/cadastro-publicacoes/public/jurisprudencia-selecionada. Acesso em: 29 out. 2026.</w:t>
      </w:r>
    </w:p>
    <w:p>
      <w:pPr>
        <w:spacing w:before="0" w:after="240" w:line="240" w:lineRule="auto"/>
        <w:ind w:firstLine="0"/>
        <w:jc w:val="left"/>
      </w:pPr>
      <w:r>
        <w:rPr>
          <w:b w:val="0"/>
          <w:i w:val="0"/>
          <w:sz w:val="22"/>
        </w:rPr>
        <w:t>RIO DE JANEIRO (Município). Tribunal de Contas do Município do Rio de Janeiro (Plenário). Voto 390/2025 · Proc. 040/104391/2025 · Enunciado 527. Relator: Conselheiro David Carlos Pereira Neto. Julgado em 17 dez. 2025. TCM-RJ – TCMJuris (decisões selecionadas). Disponível em: https://etcm.tcmrio.tc.br/Processo/Ficha?ctid=2407954.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Atribuições dos postos incluem tarefas pedagógicas: risco de terceirização de atividade-fim</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Convenção coletiva usada no orçamento (asseio e conservação) e data-base da planilha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Contagem de prazos do edital em dias corridos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Vedações de participação com quarentenas locais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h) </w:t>
      </w:r>
      <w:r>
        <w:rPr>
          <w:b w:val="0"/>
          <w:i w:val="0"/>
        </w:rPr>
        <w:t>O código de verificação 1D641C2A43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1D641C2A43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1D64/2026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tcm.tcmrio.tc.br/Processo/Ficha?ctid=2407954" TargetMode="External"/><Relationship Id="rId13" Type="http://schemas.openxmlformats.org/officeDocument/2006/relationships/hyperlink" Target="https://pesquisa.apps.tcu.gov.br/documento/jurisprudencia-selecionada/*/KEY%253AJURISPRUDENCIA-SELECIONADA-205696/score%2520desc/0" TargetMode="External"/><Relationship Id="rId14" Type="http://schemas.openxmlformats.org/officeDocument/2006/relationships/hyperlink" Target="https://pesquisa.apps.tcu.gov.br/documento/jurisprudencia-selecionada/*/KEY%253AJURISPRUDENCIA-SELECIONADA-207661/score%2520desc/0" TargetMode="External"/><Relationship Id="rId15" Type="http://schemas.openxmlformats.org/officeDocument/2006/relationships/hyperlink" Target="https://pesquisa.apps.tcu.gov.br/documento/sumula/*/KEY%253ASUMULA-EJURIS-1689/score%2520desc/0" TargetMode="External"/><Relationship Id="rId16" Type="http://schemas.openxmlformats.org/officeDocument/2006/relationships/hyperlink" Target="https://pesquisa.apps.tcu.gov.br/documento/sumula/*/KEY%253ASUMULA-EJURIS-22101/score%2520desc/0" TargetMode="External"/><Relationship Id="rId17" Type="http://schemas.openxmlformats.org/officeDocument/2006/relationships/hyperlink" Target="https://pesquisa.apps.tcu.gov.br/documento/jurisprudencia-selecionada/*/KEY%253AJURISPRUDENCIA-SELECIONADA-193580/score%2520desc/0" TargetMode="External"/><Relationship Id="rId18" Type="http://schemas.openxmlformats.org/officeDocument/2006/relationships/hyperlink" Target="https://www.tcerj.tc.br/cadastro-publicacoes/public/jurisprudencia-selecio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