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F399/2026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Contratação de empresa especializada em Gestão de Mão de Obra para atendimento da Educação Infantil, com 435 postos de Auxiliar de Desenvolvimento Infantil, em regime de dedicação exclusiva, pelo valor estimado de R$ 40.955.284,80 (12 meses)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Educação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54/2026 – Processo Administrativo nº 18321/2025 (PNCP 29131075000193-1-000445/2026)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(menor preço global, modo de disputa aberto,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30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Enquadramento como dedicação exclusiva de mão de obra</w:t>
      </w:r>
      <w:r>
        <w:rPr>
          <w:b w:val="0"/>
          <w:i w:val="0"/>
          <w:sz w:val="21"/>
        </w:rPr>
        <w:tab/>
        <w:t>7</w:t>
      </w:r>
    </w:p>
    <w:p>
      <w:pPr>
        <w:tabs>
          <w:tab w:pos="9071" w:val="right" w:leader="dot"/>
        </w:tabs>
        <w:spacing w:before="0" w:after="0" w:line="360" w:lineRule="auto"/>
        <w:ind w:firstLine="0" w:left="340"/>
        <w:jc w:val="left"/>
      </w:pPr>
      <w:r>
        <w:rPr>
          <w:b w:val="0"/>
          <w:i w:val="0"/>
          <w:sz w:val="21"/>
        </w:rPr>
        <w:t>3.2 Convenção coletiva da categoria correta</w:t>
      </w:r>
      <w:r>
        <w:rPr>
          <w:b w:val="0"/>
          <w:i w:val="0"/>
          <w:sz w:val="21"/>
        </w:rPr>
        <w:tab/>
        <w:t>8</w:t>
      </w:r>
    </w:p>
    <w:p>
      <w:pPr>
        <w:tabs>
          <w:tab w:pos="9071" w:val="right" w:leader="dot"/>
        </w:tabs>
        <w:spacing w:before="0" w:after="0" w:line="360" w:lineRule="auto"/>
        <w:ind w:firstLine="0" w:left="340"/>
        <w:jc w:val="left"/>
      </w:pPr>
      <w:r>
        <w:rPr>
          <w:b w:val="0"/>
          <w:i w:val="0"/>
          <w:sz w:val="21"/>
        </w:rPr>
        <w:t>3.3 Critério de reajuste em serviços contínuos</w:t>
      </w:r>
      <w:r>
        <w:rPr>
          <w:b w:val="0"/>
          <w:i w:val="0"/>
          <w:sz w:val="21"/>
        </w:rPr>
        <w:tab/>
        <w:t>10</w:t>
      </w:r>
    </w:p>
    <w:p>
      <w:pPr>
        <w:tabs>
          <w:tab w:pos="9071" w:val="right" w:leader="dot"/>
        </w:tabs>
        <w:spacing w:before="0" w:after="0" w:line="360" w:lineRule="auto"/>
        <w:ind w:firstLine="0" w:left="340"/>
        <w:jc w:val="left"/>
      </w:pPr>
      <w:r>
        <w:rPr>
          <w:b w:val="0"/>
          <w:i w:val="0"/>
          <w:sz w:val="21"/>
        </w:rPr>
        <w:t>3.4 Qualificação técnica proporcional</w:t>
      </w:r>
      <w:r>
        <w:rPr>
          <w:b w:val="0"/>
          <w:i w:val="0"/>
          <w:sz w:val="21"/>
        </w:rPr>
        <w:tab/>
        <w:t>12</w:t>
      </w:r>
    </w:p>
    <w:p>
      <w:pPr>
        <w:tabs>
          <w:tab w:pos="9071" w:val="right" w:leader="dot"/>
        </w:tabs>
        <w:spacing w:before="0" w:after="0" w:line="360" w:lineRule="auto"/>
        <w:ind w:firstLine="0" w:left="340"/>
        <w:jc w:val="left"/>
      </w:pPr>
      <w:r>
        <w:rPr>
          <w:b w:val="0"/>
          <w:i w:val="0"/>
          <w:sz w:val="21"/>
        </w:rPr>
        <w:t>3.5 Garantias do cumprimento das obrigações trabalhistas</w:t>
      </w:r>
      <w:r>
        <w:rPr>
          <w:b w:val="0"/>
          <w:i w:val="0"/>
          <w:sz w:val="21"/>
        </w:rPr>
        <w:tab/>
        <w:t>14</w:t>
      </w:r>
    </w:p>
    <w:p>
      <w:pPr>
        <w:tabs>
          <w:tab w:pos="9071" w:val="right" w:leader="dot"/>
        </w:tabs>
        <w:spacing w:before="0" w:after="0" w:line="360" w:lineRule="auto"/>
        <w:ind w:firstLine="0" w:left="340"/>
        <w:jc w:val="left"/>
      </w:pPr>
      <w:r>
        <w:rPr>
          <w:b w:val="0"/>
          <w:i w:val="0"/>
          <w:sz w:val="21"/>
        </w:rPr>
        <w:t>3.6 Conferência aritmética da planilha</w:t>
      </w:r>
      <w:r>
        <w:rPr>
          <w:b w:val="0"/>
          <w:i w:val="0"/>
          <w:sz w:val="21"/>
        </w:rPr>
        <w:tab/>
        <w:t>16</w:t>
      </w:r>
    </w:p>
    <w:p>
      <w:pPr>
        <w:tabs>
          <w:tab w:pos="9071" w:val="right" w:leader="dot"/>
        </w:tabs>
        <w:spacing w:before="0" w:after="0" w:line="360" w:lineRule="auto"/>
        <w:ind w:firstLine="0" w:left="340"/>
        <w:jc w:val="left"/>
      </w:pPr>
      <w:r>
        <w:rPr>
          <w:b w:val="0"/>
          <w:i w:val="0"/>
          <w:sz w:val="21"/>
        </w:rPr>
        <w:t>3.7 Índice de reajuste com data-base no orçamento</w:t>
      </w:r>
      <w:r>
        <w:rPr>
          <w:b w:val="0"/>
          <w:i w:val="0"/>
          <w:sz w:val="21"/>
        </w:rPr>
        <w:tab/>
        <w:t>17</w:t>
      </w:r>
    </w:p>
    <w:p>
      <w:pPr>
        <w:tabs>
          <w:tab w:pos="9071" w:val="right" w:leader="dot"/>
        </w:tabs>
        <w:spacing w:before="0" w:after="0" w:line="360" w:lineRule="auto"/>
        <w:ind w:firstLine="0" w:left="340"/>
        <w:jc w:val="left"/>
      </w:pPr>
      <w:r>
        <w:rPr>
          <w:b w:val="0"/>
          <w:i w:val="0"/>
          <w:sz w:val="21"/>
        </w:rPr>
        <w:t>3.8 Qualificação econômico-financeira</w:t>
      </w:r>
      <w:r>
        <w:rPr>
          <w:b w:val="0"/>
          <w:i w:val="0"/>
          <w:sz w:val="21"/>
        </w:rPr>
        <w:tab/>
        <w:t>19</w:t>
      </w:r>
    </w:p>
    <w:p>
      <w:pPr>
        <w:tabs>
          <w:tab w:pos="9071" w:val="right" w:leader="dot"/>
        </w:tabs>
        <w:spacing w:before="0" w:after="0" w:line="360" w:lineRule="auto"/>
        <w:ind w:firstLine="0" w:left="340"/>
        <w:jc w:val="left"/>
      </w:pPr>
      <w:r>
        <w:rPr>
          <w:b w:val="0"/>
          <w:i w:val="0"/>
          <w:sz w:val="21"/>
        </w:rPr>
        <w:t>3.9 Tratamento diferenciado a ME e EPP</w:t>
      </w:r>
      <w:r>
        <w:rPr>
          <w:b w:val="0"/>
          <w:i w:val="0"/>
          <w:sz w:val="21"/>
        </w:rPr>
        <w:tab/>
        <w:t>21</w:t>
      </w:r>
    </w:p>
    <w:p>
      <w:pPr>
        <w:tabs>
          <w:tab w:pos="9071" w:val="right" w:leader="dot"/>
        </w:tabs>
        <w:spacing w:before="0" w:after="0" w:line="360" w:lineRule="auto"/>
        <w:ind w:firstLine="0" w:left="340"/>
        <w:jc w:val="left"/>
      </w:pPr>
      <w:r>
        <w:rPr>
          <w:b w:val="0"/>
          <w:i w:val="0"/>
          <w:sz w:val="21"/>
        </w:rPr>
        <w:t>3.10 Impugnação e esclarecimentos</w:t>
      </w:r>
      <w:r>
        <w:rPr>
          <w:b w:val="0"/>
          <w:i w:val="0"/>
          <w:sz w:val="21"/>
        </w:rPr>
        <w:tab/>
        <w:t>22</w:t>
      </w:r>
    </w:p>
    <w:p>
      <w:pPr>
        <w:tabs>
          <w:tab w:pos="9071" w:val="right" w:leader="dot"/>
        </w:tabs>
        <w:spacing w:before="0" w:after="0" w:line="360" w:lineRule="auto"/>
        <w:ind w:firstLine="0" w:left="340"/>
        <w:jc w:val="left"/>
      </w:pPr>
      <w:r>
        <w:rPr>
          <w:b w:val="0"/>
          <w:i w:val="0"/>
          <w:sz w:val="21"/>
        </w:rPr>
        <w:t>3.11 Minuta de contrato como anexo e cláusulas necessárias</w:t>
      </w:r>
      <w:r>
        <w:rPr>
          <w:b w:val="0"/>
          <w:i w:val="0"/>
          <w:sz w:val="21"/>
        </w:rPr>
        <w:tab/>
        <w:t>23</w:t>
      </w:r>
    </w:p>
    <w:p>
      <w:pPr>
        <w:tabs>
          <w:tab w:pos="9071" w:val="right" w:leader="dot"/>
        </w:tabs>
        <w:spacing w:before="0" w:after="0" w:line="360" w:lineRule="auto"/>
        <w:ind w:firstLine="0" w:left="340"/>
        <w:jc w:val="left"/>
      </w:pPr>
      <w:r>
        <w:rPr>
          <w:b w:val="0"/>
          <w:i w:val="0"/>
          <w:sz w:val="21"/>
        </w:rPr>
        <w:t>3.12 Coerência interna do edital e dos anexos</w:t>
      </w:r>
      <w:r>
        <w:rPr>
          <w:b w:val="0"/>
          <w:i w:val="0"/>
          <w:sz w:val="21"/>
        </w:rPr>
        <w:tab/>
        <w:t>24</w:t>
      </w:r>
    </w:p>
    <w:p>
      <w:pPr>
        <w:tabs>
          <w:tab w:pos="9071" w:val="right" w:leader="dot"/>
        </w:tabs>
        <w:spacing w:before="0" w:after="0" w:line="360" w:lineRule="auto"/>
        <w:ind w:firstLine="0" w:left="340"/>
        <w:jc w:val="left"/>
      </w:pPr>
      <w:r>
        <w:rPr>
          <w:b w:val="0"/>
          <w:i w:val="0"/>
          <w:sz w:val="21"/>
        </w:rPr>
        <w:t>3.13 Composição do orçamento estimado não divulgada; pesquisa de preços sem demonstração no documento</w:t>
      </w:r>
      <w:r>
        <w:rPr>
          <w:b w:val="0"/>
          <w:i w:val="0"/>
          <w:sz w:val="21"/>
        </w:rPr>
        <w:tab/>
        <w:t>26</w:t>
      </w:r>
    </w:p>
    <w:p>
      <w:pPr>
        <w:tabs>
          <w:tab w:pos="9071" w:val="right" w:leader="dot"/>
        </w:tabs>
        <w:spacing w:before="0" w:after="0" w:line="360" w:lineRule="auto"/>
        <w:ind w:firstLine="0" w:left="340"/>
        <w:jc w:val="left"/>
      </w:pPr>
      <w:r>
        <w:rPr>
          <w:b w:val="0"/>
          <w:i w:val="0"/>
          <w:sz w:val="21"/>
        </w:rPr>
        <w:t>3.14 Garantia de proposta e garantia contratual</w:t>
      </w:r>
      <w:r>
        <w:rPr>
          <w:b w:val="0"/>
          <w:i w:val="0"/>
          <w:sz w:val="21"/>
        </w:rPr>
        <w:tab/>
        <w:t>27</w:t>
      </w:r>
    </w:p>
    <w:p>
      <w:pPr>
        <w:tabs>
          <w:tab w:pos="9071" w:val="right" w:leader="dot"/>
        </w:tabs>
        <w:spacing w:before="0" w:after="0" w:line="360" w:lineRule="auto"/>
        <w:ind w:firstLine="0" w:left="340"/>
        <w:jc w:val="left"/>
      </w:pPr>
      <w:r>
        <w:rPr>
          <w:b w:val="0"/>
          <w:i w:val="0"/>
          <w:sz w:val="21"/>
        </w:rPr>
        <w:t>3.15 Vigência e prorrogação de serviços contínuos</w:t>
      </w:r>
      <w:r>
        <w:rPr>
          <w:b w:val="0"/>
          <w:i w:val="0"/>
          <w:sz w:val="21"/>
        </w:rPr>
        <w:tab/>
        <w:t>28</w:t>
      </w:r>
    </w:p>
    <w:p>
      <w:pPr>
        <w:tabs>
          <w:tab w:pos="9071" w:val="right" w:leader="dot"/>
        </w:tabs>
        <w:spacing w:before="0" w:after="0" w:line="360" w:lineRule="auto"/>
        <w:ind w:firstLine="0" w:left="340"/>
        <w:jc w:val="left"/>
      </w:pPr>
      <w:r>
        <w:rPr>
          <w:b w:val="0"/>
          <w:i w:val="0"/>
          <w:sz w:val="21"/>
        </w:rPr>
        <w:t>3.16 Exigência de via física original ou autenticada e de firma reconhecida em pregão eletrônico</w:t>
      </w:r>
      <w:r>
        <w:rPr>
          <w:b w:val="0"/>
          <w:i w:val="0"/>
          <w:sz w:val="21"/>
        </w:rPr>
        <w:tab/>
        <w:t>29</w:t>
      </w:r>
    </w:p>
    <w:p>
      <w:pPr>
        <w:tabs>
          <w:tab w:pos="9071" w:val="right" w:leader="dot"/>
        </w:tabs>
        <w:spacing w:before="0" w:after="0" w:line="360" w:lineRule="auto"/>
        <w:ind w:firstLine="0" w:left="340"/>
        <w:jc w:val="left"/>
      </w:pPr>
      <w:r>
        <w:rPr>
          <w:b w:val="0"/>
          <w:i w:val="0"/>
          <w:sz w:val="21"/>
        </w:rPr>
        <w:t>3.17 Divergência de numeração entre o edital e o PNCP</w:t>
      </w:r>
      <w:r>
        <w:rPr>
          <w:b w:val="0"/>
          <w:i w:val="0"/>
          <w:sz w:val="21"/>
        </w:rPr>
        <w:tab/>
        <w:t>30</w:t>
      </w:r>
    </w:p>
    <w:p>
      <w:pPr>
        <w:tabs>
          <w:tab w:pos="9071" w:val="right" w:leader="dot"/>
        </w:tabs>
        <w:spacing w:before="0" w:after="0" w:line="360" w:lineRule="auto"/>
        <w:ind w:firstLine="0" w:left="0"/>
        <w:jc w:val="left"/>
      </w:pPr>
      <w:r>
        <w:rPr>
          <w:b/>
          <w:i w:val="0"/>
          <w:sz w:val="22"/>
        </w:rPr>
        <w:t>4 ANÁLISE DE PREÇOS</w:t>
      </w:r>
      <w:r>
        <w:rPr>
          <w:b/>
          <w:i w:val="0"/>
          <w:sz w:val="22"/>
        </w:rPr>
        <w:tab/>
        <w:t>31</w:t>
      </w:r>
    </w:p>
    <w:p>
      <w:pPr>
        <w:tabs>
          <w:tab w:pos="9071" w:val="right" w:leader="dot"/>
        </w:tabs>
        <w:spacing w:before="0" w:after="0" w:line="360" w:lineRule="auto"/>
        <w:ind w:firstLine="0" w:left="0"/>
        <w:jc w:val="left"/>
      </w:pPr>
      <w:r>
        <w:rPr>
          <w:b/>
          <w:i w:val="0"/>
          <w:sz w:val="22"/>
        </w:rPr>
        <w:t>5 RECOMENDAÇÕES DE MELHORIA</w:t>
      </w:r>
      <w:r>
        <w:rPr>
          <w:b/>
          <w:i w:val="0"/>
          <w:sz w:val="22"/>
        </w:rPr>
        <w:tab/>
        <w:t>32</w:t>
      </w:r>
    </w:p>
    <w:p>
      <w:pPr>
        <w:tabs>
          <w:tab w:pos="9071" w:val="right" w:leader="dot"/>
        </w:tabs>
        <w:spacing w:before="0" w:after="0" w:line="360" w:lineRule="auto"/>
        <w:ind w:firstLine="0" w:left="0"/>
        <w:jc w:val="left"/>
      </w:pPr>
      <w:r>
        <w:rPr>
          <w:b/>
          <w:i w:val="0"/>
          <w:sz w:val="22"/>
        </w:rPr>
        <w:t>6 CONCLUSÃO</w:t>
      </w:r>
      <w:r>
        <w:rPr>
          <w:b/>
          <w:i w:val="0"/>
          <w:sz w:val="22"/>
        </w:rPr>
        <w:tab/>
        <w:t>33</w:t>
      </w:r>
    </w:p>
    <w:p>
      <w:pPr>
        <w:tabs>
          <w:tab w:pos="9071" w:val="right" w:leader="dot"/>
        </w:tabs>
        <w:spacing w:before="0" w:after="0" w:line="360" w:lineRule="auto"/>
        <w:ind w:firstLine="0" w:left="0"/>
        <w:jc w:val="left"/>
      </w:pPr>
      <w:r>
        <w:rPr>
          <w:b/>
          <w:i w:val="0"/>
          <w:sz w:val="22"/>
        </w:rPr>
        <w:t>REFERÊNCIAS</w:t>
      </w:r>
      <w:r>
        <w:rPr>
          <w:b/>
          <w:i w:val="0"/>
          <w:sz w:val="22"/>
        </w:rPr>
        <w:tab/>
        <w:t>38</w:t>
      </w:r>
    </w:p>
    <w:p>
      <w:pPr>
        <w:tabs>
          <w:tab w:pos="9071" w:val="right" w:leader="dot"/>
        </w:tabs>
        <w:spacing w:before="0" w:after="0" w:line="360" w:lineRule="auto"/>
        <w:ind w:firstLine="0" w:left="0"/>
        <w:jc w:val="left"/>
      </w:pPr>
      <w:r>
        <w:rPr>
          <w:b/>
          <w:i w:val="0"/>
          <w:sz w:val="22"/>
        </w:rPr>
        <w:t>APÊNDICE A – LISTA DE VERIFICAÇÃO</w:t>
      </w:r>
      <w:r>
        <w:rPr>
          <w:b/>
          <w:i w:val="0"/>
          <w:sz w:val="22"/>
        </w:rPr>
        <w:tab/>
        <w:t>41</w:t>
      </w:r>
    </w:p>
    <w:p>
      <w:pPr>
        <w:tabs>
          <w:tab w:pos="9071" w:val="right" w:leader="dot"/>
        </w:tabs>
        <w:spacing w:before="0" w:after="0" w:line="360" w:lineRule="auto"/>
        <w:ind w:firstLine="0" w:left="0"/>
        <w:jc w:val="left"/>
      </w:pPr>
      <w:r>
        <w:rPr>
          <w:b/>
          <w:i w:val="0"/>
          <w:sz w:val="22"/>
        </w:rPr>
        <w:t>APÊNDICE B – METODOLOGIA E LIMITES</w:t>
      </w:r>
      <w:r>
        <w:rPr>
          <w:b/>
          <w:i w:val="0"/>
          <w:sz w:val="22"/>
        </w:rPr>
        <w:tab/>
        <w:t>42</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4</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9</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4</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6</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Enquadramento como dedicação exclusiva de mão de obra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 inciso XVI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Convenção coletiva da categoria correta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135,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Garantias do cumprimento das obrigações trabalhistas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121, § 2º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Conferência aritmética da planilha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IV</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Composição do orçamento estimado não divulgada; pesquisa de preços sem demonstração no documento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23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Garantia de proposta e garantia contratual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58,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Vigência e prorrogação de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106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e de firma reconhecida em pregão eletrônico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Divergência de numeração entre o edital e o PNCP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54</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F399/2026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Educação</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Contratação de empresa especializada em Gestão de Mão de Obra para atendimento da Educação Infantil, com 435 postos de Auxiliar de Desenvolvimento Infantil, em regime de dedicação exclusiva, pelo valor estimado de R$ 40.955.284,80 (12 meses)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54/2026 – Processo Administrativo nº 18321/2025 (PNCP 29131075000193-1-000445/2026)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TERCEIRIZAÇÃO. DEDICAÇÃO EXCLUSIVA DE MÃO DE OBRA. AUXILIAR DE DESENVOLVIMENTO INFANTIL. CONVENÇÃO COLETIVA DE CATEGORIA DIVERSA. REPACTUAÇÃO. HABILITAÇÃO TÉCNICA E ECONÔMICA. INCOERÊNCIA ENTRE EDITAL E ANEXOS. MARICÁ </w:t>
      </w:r>
      <w:r>
        <w:rPr>
          <w:b w:val="0"/>
          <w:i w:val="0"/>
          <w:sz w:val="20"/>
        </w:rPr>
        <w:t>O orçamento estimado do pregão foi montado com a convenção coletiva de asseio e conservação (SEAC-RJ/SINTACLUNS) para postos de Auxiliar de Desenvolvimento Infantil, categoria diversa da profissional a contratar. Isso compromete toda a composição do custo do posto. Há também contradições relevantes quanto a reajuste/repactuação, ME/EPP, garantias, mora de pagamento e resquícios de modelos de outros objetos. As exigências de qualificação técnica e econômico-financeira merecem ajuste. O prazo de propostas (10º dia útil) e a declaração do art. 63, § 1º, estão adequados.</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54/2026 – Processo Administrativo nº 18321/2025 (PNCP 29131075000193-1-000445/2026), do Prefeitura Municipal de Maricá – Secretaria de Educação, cujo objeto é: Contratação de empresa especializada em Gestão de Mão de Obra para atendimento da Educação Infantil, com 435 postos de Auxiliar de Desenvolvimento Infantil, em regime de dedicação exclusiva, pelo valor estimado de R$ 40.955.284,80 (12 meses).</w:t>
      </w:r>
    </w:p>
    <w:p>
      <w:pPr>
        <w:spacing w:before="0" w:after="120" w:line="360" w:lineRule="auto"/>
        <w:ind w:firstLine="709"/>
        <w:jc w:val="both"/>
      </w:pPr>
      <w:r>
        <w:rPr>
          <w:b w:val="0"/>
          <w:i w:val="0"/>
        </w:rPr>
        <w:t>Foram examinados os seguintes documentos: Edital e minutas (ata e contrato) (https://pncp.gov.br/app/editais/29131075000193/2026/445, 127 páginas). O exame teve por parâmetro a Lei 14.133/2021, aplicando-se o roteiro de verificação Licitacon (versão 2026-10-29b), com 31 itens pertinentes ao caso.</w:t>
      </w:r>
    </w:p>
    <w:p>
      <w:pPr>
        <w:spacing w:before="0" w:after="120" w:line="360" w:lineRule="auto"/>
        <w:ind w:firstLine="709"/>
        <w:jc w:val="both"/>
      </w:pPr>
      <w:r>
        <w:rPr>
          <w:b w:val="0"/>
          <w:i w:val="0"/>
        </w:rPr>
        <w:t>O edital do Pregão Eletrônico nº 54/2026 (Maricá/Secretaria de Educação) contrata 435 postos de Auxiliar de Desenvolvimento Infantil em regime de dedicação exclusiva, por R$ 40.955.284,80 para 12 meses, com divulgação no PNCP em 09/10/2026 e propostas até 27/10/2026. O prazo de propostas atende ao mínimo de 10 dias úteis para serviços comuns (contagem do sistema: encerramento no 10º dia útil). A aritmética do total confere (435 × R$ 7.845,84 × 12). Foram encontradas falhas relevantes. A principal é o uso, no orçamento, da convenção coletiva de asseio e conservação para uma função da educação infantil. Outros pontos: a possível terceirização de atividades próximas às finalísticas; a duplicidade de critérios de reajuste (IPCA sobre todo o preço e repactuação); a qualificação técnica com exigências de 36 meses, de "serviços similares" e, no TR, de experiência em ambiente educacional; e o conjunto das exigências econômico-financeiras sem justificativa específica para cada uma. Há também contradições entre edital, TR e minuta (ME/EPP, garantia, juros de mora, cooperativas, elemento de despesa, referências a bens e marcas) e uma minuta de contrato ainda com lacunas e instruções de modelo. O ETP, a composição analítica do orçamento, o parecer jurídico e a prova de divulgação dos anexos não constam do documento analisado.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Enquadramento como dedicação exclusiva de mão de obra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Planilha de custos e formação de preços (dedicação exclusiva de mão de obra), TR, itens 1.1, 3.1 e 12.7.1 (págs. 52, 55-56 e 72); Edital, item 19.2.1 (pág. 35)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trata a contratação como dedicação exclusiva (435 postos, jornada de 44h, IMR, fiscalização de ponto) e como serviço contínuo. O edital, porém, só prevê a repactuação de forma condicional ("quando houver regime de dedicação exclusiva") e não declara expressamente o enquadramento. Além disso, as atribuições do posto incluem tarefas pedagógicas e de ensino (ler textos, avaliar e corrigir atividades dos alunos, desenvolver capacidades intelectuais), embora o TR sustente que o posto seria "atividade meio" e que o serviço é "comum". Isso gera risco de superposição de funções com servidores da educação.</w:t>
      </w:r>
    </w:p>
    <w:p>
      <w:pPr>
        <w:spacing w:before="0" w:after="120" w:line="360" w:lineRule="auto"/>
        <w:ind w:firstLine="709"/>
        <w:jc w:val="both"/>
      </w:pPr>
      <w:r>
        <w:rPr>
          <w:b w:val="0"/>
          <w:i w:val="0"/>
        </w:rPr>
        <w:t>O documento dispõe: “avaliar atividades dos alunos; corrigir atividades; observar a linguagem; observar a” (TR, itens 1.1, 3.1 e 12.7.1 (págs. 52, 55-56 e 72); Edital, item 19.2.1 (pág. 35)).</w:t>
      </w:r>
    </w:p>
    <w:p>
      <w:pPr>
        <w:spacing w:before="0" w:after="80" w:line="360" w:lineRule="auto"/>
        <w:ind w:firstLine="709"/>
        <w:jc w:val="both"/>
      </w:pPr>
      <w:r>
        <w:rPr>
          <w:b/>
          <w:i w:val="0"/>
          <w:color w:val="12324A"/>
        </w:rPr>
        <w:t xml:space="preserve">Dispositivo aplicável. </w:t>
      </w:r>
      <w:r>
        <w:rPr>
          <w:b w:val="0"/>
          <w:i w:val="0"/>
        </w:rPr>
        <w:t>A matéria é disciplinada pelo art. 6, inciso XVI, da Lei 14.133/2021, que assim dispõe:</w:t>
      </w:r>
    </w:p>
    <w:p>
      <w:pPr>
        <w:spacing w:before="80" w:after="200" w:line="240" w:lineRule="auto"/>
        <w:ind w:firstLine="0" w:left="2268"/>
        <w:jc w:val="both"/>
      </w:pPr>
      <w:r>
        <w:rPr>
          <w:b w:val="0"/>
          <w:i w:val="0"/>
          <w:sz w:val="20"/>
        </w:rPr>
        <w:t>Para os fins desta Lei, consideram-se: […] serviços contínuos com regime de dedicação exclusiva de mão de obra: aqueles cujo modelo de execução contratual exige, entre outros requisitos, que: […]</w:t>
      </w:r>
      <w:r>
        <w:rPr>
          <w:b w:val="0"/>
          <w:i w:val="0"/>
          <w:sz w:val="20"/>
        </w:rPr>
        <w:t xml:space="preserve"> (BRASIL, 2021, art. 6, inciso XVI)</w:t>
      </w:r>
    </w:p>
    <w:p>
      <w:pPr>
        <w:spacing w:before="0" w:after="120" w:line="360" w:lineRule="auto"/>
        <w:ind w:firstLine="709"/>
        <w:jc w:val="both"/>
      </w:pPr>
      <w:r>
        <w:rPr>
          <w:b/>
          <w:i w:val="0"/>
          <w:color w:val="12324A"/>
        </w:rPr>
        <w:t xml:space="preserve">Análise. </w:t>
      </w:r>
      <w:r>
        <w:rPr>
          <w:b w:val="0"/>
          <w:i w:val="0"/>
        </w:rPr>
        <w:t>O art. 6º, XVI, exige que o modelo de execução contenha empregados à disposição, sem compartilhamento e com controle de jornada. O enquadramento condiciona o critério de reajuste (repactuação) e as obrigações trabalhistas. A descrição das atribuições aproxima o posto de atividade finalística, o que contraria a lógica da terceirização de atividades-meio e a regra do concurso público (precedente TCU 987/2026).</w:t>
      </w:r>
    </w:p>
    <w:p>
      <w:pPr>
        <w:spacing w:before="0" w:after="120" w:line="360" w:lineRule="auto"/>
        <w:ind w:firstLine="709"/>
        <w:jc w:val="both"/>
      </w:pPr>
      <w:r>
        <w:rPr>
          <w:b/>
          <w:i w:val="0"/>
          <w:color w:val="B23A48"/>
        </w:rPr>
        <w:t xml:space="preserve">Risco de manutenção. </w:t>
      </w:r>
      <w:r>
        <w:rPr>
          <w:b w:val="0"/>
          <w:i w:val="0"/>
        </w:rPr>
        <w:t>Questionamento da legalidade da terceirização de 435 postos de educação infantil, com passivo trabalhista e responsabilização subsidiária da Administração. Há ainda risco de reajuste errado se o enquadramento permanecer ambíguo.</w:t>
      </w:r>
    </w:p>
    <w:p>
      <w:pPr>
        <w:spacing w:before="0" w:after="120" w:line="360" w:lineRule="auto"/>
        <w:ind w:firstLine="709"/>
        <w:jc w:val="both"/>
      </w:pPr>
      <w:r>
        <w:rPr>
          <w:b/>
          <w:i w:val="0"/>
          <w:color w:val="12324A"/>
        </w:rPr>
        <w:t xml:space="preserve">Providência recomendada. </w:t>
      </w:r>
      <w:r>
        <w:rPr>
          <w:b w:val="0"/>
          <w:i w:val="0"/>
        </w:rPr>
        <w:t>Declarar expressamente no edital, no TR e na minuta o enquadramento como serviço contínuo com dedicação exclusiva de mão de obra. Revisar as atribuições do posto, eliminando as tarefas docentes ou pedagógicas, ou justificar tecnicamente, no ETP, por que o auxiliar não se sobrepõe às atribuições dos cargos efetivos da rede. Corrigir as incoerências do TR (menção a "porteiros", "gestão de pessoal para áreas administrativa e operacional").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objeto caracteriza-se como serviço contínuo com regime de dedicação exclusiva de mão de obra (art. 6º, XVI, da Lei 14.133/2021), sujeito à repactuação (art. 135) e às medidas de garantia do art. 121, § 3º.</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 Convenção coletiva da categoria correta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Planilha de custos e formação de preços (dedicação exclusiva de mão de obra), TR, item 1.1 (pág. 52) e item 14 (pág. 76); Anexo II – Proposta Detalhe (págs. 45-46)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orçamento estimado tem como base a CCT 2025-2026 firmada pelo SEAC/RJ e pelo SINTACLUNS (asseio, conservação e limpeza), registro MTE RJ 001105/2025, para o posto de Auxiliar de Desenvolvimento Infantil (CBO 3311-10, TR p. 52). A função é de apoio à educação infantil (cuidado, alimentação, higiene, atividades lúdicas e pedagógicas), sem relação com asseio e conservação. Há ainda indícios de descompasso de vigência: o TR fala em CCT 2025-2026 e o Anexo A indica convenção "2026", com orçamento datado de 27/07/2026.</w:t>
      </w:r>
    </w:p>
    <w:p>
      <w:pPr>
        <w:spacing w:before="0" w:after="120" w:line="360" w:lineRule="auto"/>
        <w:ind w:firstLine="709"/>
        <w:jc w:val="both"/>
      </w:pPr>
      <w:r>
        <w:rPr>
          <w:b w:val="0"/>
          <w:i w:val="0"/>
        </w:rPr>
        <w:t>O documento dispõe: “formalizada pelo Sindicato das Empresas de Asseio e Conservação do Estado do Rio de Janeiro” (TR, item 1.1 (pág. 52) e item 14 (pág. 76); Anexo II – Proposta Detalhe (págs. 45-46)).</w:t>
      </w:r>
    </w:p>
    <w:p>
      <w:pPr>
        <w:spacing w:before="0" w:after="80" w:line="360" w:lineRule="auto"/>
        <w:ind w:firstLine="709"/>
        <w:jc w:val="both"/>
      </w:pPr>
      <w:r>
        <w:rPr>
          <w:b/>
          <w:i w:val="0"/>
          <w:color w:val="12324A"/>
        </w:rPr>
        <w:t xml:space="preserve">Dispositivo aplicável. </w:t>
      </w:r>
      <w:r>
        <w:rPr>
          <w:b w:val="0"/>
          <w:i w:val="0"/>
        </w:rPr>
        <w:t>A matéria é disciplinada pelo art. 135, inciso II, pelo art. 135, § 5º, pelo art. 23 e pelo art. 63, § 1º, da Lei 14.133/2021, que assim dispõem:</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 ao acordo, à convenção coletiva ou ao dissídio coletivo ao qual a proposta esteja vinculada, para os custos de mão de obra.</w:t>
      </w:r>
      <w:r>
        <w:rPr>
          <w:b w:val="0"/>
          <w:i w:val="0"/>
          <w:sz w:val="20"/>
        </w:rPr>
        <w:t xml:space="preserve"> (BRASIL, 2021, art. 135, inciso II)</w:t>
      </w:r>
    </w:p>
    <w:p>
      <w:pPr>
        <w:spacing w:before="80" w:after="200" w:line="240" w:lineRule="auto"/>
        <w:ind w:firstLine="0" w:left="2268"/>
        <w:jc w:val="both"/>
      </w:pPr>
      <w:r>
        <w:rPr>
          <w:b w:val="0"/>
          <w:i w:val="0"/>
          <w:sz w:val="20"/>
        </w:rPr>
        <w:t>Quando a contratação envolver mais de uma categoria profissional, a repactuação a que se refere o inciso II do caput deste artigo poderá ser dividida em tantos quantos forem os acordos, convenções ou dissídios coletivos de trabalho das categorias envolvidas na contratação.</w:t>
      </w:r>
      <w:r>
        <w:rPr>
          <w:b w:val="0"/>
          <w:i w:val="0"/>
          <w:sz w:val="20"/>
        </w:rPr>
        <w:t xml:space="preserve"> (BRASIL, 2021, art. 135, § 5º)</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r>
        <w:rPr>
          <w:b w:val="0"/>
          <w:i w:val="0"/>
          <w:sz w:val="20"/>
        </w:rPr>
        <w:t xml:space="preserve"> (BRASIL, 2021, art. 63, § 1º)</w:t>
      </w:r>
    </w:p>
    <w:p>
      <w:pPr>
        <w:spacing w:before="0" w:after="120" w:line="360" w:lineRule="auto"/>
        <w:ind w:firstLine="709"/>
        <w:jc w:val="both"/>
      </w:pPr>
      <w:r>
        <w:rPr>
          <w:b/>
          <w:i w:val="0"/>
          <w:color w:val="12324A"/>
        </w:rPr>
        <w:t xml:space="preserve">Análise. </w:t>
      </w:r>
      <w:r>
        <w:rPr>
          <w:b w:val="0"/>
          <w:i w:val="0"/>
        </w:rPr>
        <w:t>A convenção de categoria diversa da profissional a contratar altera piso, benefícios, adicionais e encargos, ou seja, toda a composição do custo do posto (art. 23 e art. 135, II). A repactuação futura vincula-se à convenção da proposta. A Administração não pode impor a CCT aos licitantes (TCU 1207/2024), mas deve orçar com base na categoria que corresponde às atribuições do posto.</w:t>
      </w:r>
    </w:p>
    <w:p>
      <w:pPr>
        <w:spacing w:before="0" w:after="120" w:line="360" w:lineRule="auto"/>
        <w:ind w:firstLine="709"/>
        <w:jc w:val="both"/>
      </w:pPr>
      <w:r>
        <w:rPr>
          <w:b/>
          <w:i w:val="0"/>
          <w:color w:val="B23A48"/>
        </w:rPr>
        <w:t xml:space="preserve">Risco de manutenção. </w:t>
      </w:r>
      <w:r>
        <w:rPr>
          <w:b w:val="0"/>
          <w:i w:val="0"/>
        </w:rPr>
        <w:t>Sobrepreço ou subpreço sistemático nos 435 postos (R$ 40,9 milhões), com propostas inexequíveis ou excessivas, repactuações com base em convenção inadequada e passivo trabalhista subsidiário.</w:t>
      </w:r>
    </w:p>
    <w:p>
      <w:pPr>
        <w:spacing w:before="0" w:after="120" w:line="360" w:lineRule="auto"/>
        <w:ind w:firstLine="709"/>
        <w:jc w:val="both"/>
      </w:pPr>
      <w:r>
        <w:rPr>
          <w:b/>
          <w:i w:val="0"/>
          <w:color w:val="12324A"/>
        </w:rPr>
        <w:t xml:space="preserve">Providência recomendada. </w:t>
      </w:r>
      <w:r>
        <w:rPr>
          <w:b w:val="0"/>
          <w:i w:val="0"/>
        </w:rPr>
        <w:t>Identificar o enquadramento sindical correto pela CBO e pelas atribuições (confirmar no Mediador/MTE o sindicato da categoria na base territorial) e refazer o orçamento com piso, benefícios e encargos da convenção vigente na data do orçamento. Registrar no processo a justificativa do enquadramento. Manter a exigência de declaração de enquadramento sindical e de indicação da CCT na proposta, sem impor convenção específica aos licitantes. Se o certame estiver em curso, retificar e reabrir o prazo (art. 55, § 1º); se já tiver sido adjudicado, avaliar as consequências para o valor contratado.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 orçamento estimado foi elaborado com base na convenção coletiva da categoria [identificar], com data-base [mês/ano], vigente na data do orçamento. O licitante deverá declarar seu enquadramento sindical e a convenção aplicável aos empregados que executarão o serviço, sob pena de desclassificação.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Nos editais de licitação para contratação de serviços terceirizados com dedicação exclusiva de mão de obra, não é permitido determinar a convenção ou o acordo coletivo de trabalho a ser utilizado pelas empresas licitantes como base para a confecção das respectivas propostas, em decorrência da previsão estabelecida no art. 511, §§ 2º e 3º, da CLT. Não obstante, em tais licitações, é lícito ao edital prever que somente serão aceitas propostas que adotarem na planilha de custos e formação de preços valor igual ou superior ao orçado pela Administração para a soma dos itens de salário e auxílio-alimentação, admitidos também, a critério da Administração, outros benefícios de natureza social considerados essenciais à dignidade do trabalho, devidamente justificados, os quais devem ser estimados com base na convenção coletiva de trabalho paradigma, que é aquela que melhor se adequa à categoria profissional que executará os serviços terceirizados, considerando a base territorial de execução do objeto.</w:t>
      </w:r>
      <w:r>
        <w:rPr>
          <w:b w:val="0"/>
          <w:i w:val="0"/>
          <w:sz w:val="20"/>
        </w:rPr>
        <w:t xml:space="preserve"> (TCU, Acórdão 1207/2024-Plenário, enunciado 1)</w:t>
      </w:r>
      <w:r>
        <w:rPr>
          <w:b w:val="0"/>
          <w:i w:val="0"/>
          <w:sz w:val="20"/>
        </w:rPr>
        <w:t xml:space="preserve"> </w:t>
      </w:r>
      <w:hyperlink r:id="rId12">
        <w:r>
          <w:rPr>
            <w:color w:val="1F7A8C"/>
            <w:u w:val="single"/>
            <w:sz w:val="18"/>
          </w:rPr>
          <w:t xml:space="preserve">[fonte oficial]</w:t>
        </w:r>
      </w:hyperlink>
    </w:p>
    <w:p>
      <w:pPr>
        <w:spacing w:before="80" w:after="200" w:line="240" w:lineRule="auto"/>
        <w:ind w:firstLine="0" w:left="2268"/>
        <w:jc w:val="both"/>
      </w:pPr>
      <w:r>
        <w:rPr>
          <w:b w:val="0"/>
          <w:i w:val="0"/>
          <w:sz w:val="20"/>
        </w:rPr>
        <w:t>Na contratação de serviços terceirizados com dedicação exclusiva de mão de obra, de modo a resguardar o interesse da Administração Pública, bem como buscar garantir a proteção do trabalhador terceirizado, o edital de licitação deve contemplar dispositivos que estabeleçam: a) exigência para que o licitante entregue junto com sua proposta de preços uma declaração informando o enquadramento sindical da empresa, a atividade econômica preponderante e a justificativa para adoção do instrumento coletivo do trabalho em que se baseia sua proposta; b) exigência para que o licitante apresente cópia da carta ou registro sindical do sindicato a qual ele declara ser enquadrado, em razão do regramento do enquadramento sindical previsto na CLT ou por força de decisão judicial; c) responsabilidade da empresa licitante nas situações de ocorrência de erro no enquadramento sindical, ou fraude pela utilização de instrumento coletivo incompatível com o enquadramento sindical declarado ou no qual a empresa não tenha sido representada por órgão de classe de sua categoria, que daí tenha resultado vantagem indevida na fase de julgamento das propostas, sujeitando a contratada às sanções previstas no art. 156, incisos III e IV, da Lei 14.133/2021; d) responsabilidade exclusiva da empresa contratada pelo cometimento de erro ou fraude no enquadramento sindical e pelo eventual ônus financeiro decorrente, por repactuação ou por força de decisão judicial, em razão da necessidade de se proceder ao pagamento de diferenças salariais e de outras vantagens, ou ainda por intercorrências na execução dos serviços contratados, resultante da adoção de instrumento coletivo do trabalho inadequado; e) aderência à convenção coletiva do trabalho à qual a proposta da empresa esteja vinculada para fins de atendimento à eventual necessidade de repactuação dos valores decorrentes da mão de obra, consignados na planilha de custos e formação de preços do contrato, em observância ao disposto no art. 135, inciso II, da Lei 14.133/2021. Constitui motivo para extinção do contrato, nos termos do art. 137, inciso I, da Lei 14.133/2021, com a consequente realização de novo processo licitatório, a situação em que se impõe à contratada a alteração da convenção coletiva de trabalho em que se baseia a planilha de custos e formação de preços, em razão de erro ou fraude no enquadramento sindical de que resulta a necessidade de repactuação ou imposição de ônus financeiro para a Administração Pública, em cumprimento de decisão judicial.</w:t>
      </w:r>
      <w:r>
        <w:rPr>
          <w:b w:val="0"/>
          <w:i w:val="0"/>
          <w:sz w:val="20"/>
        </w:rPr>
        <w:t xml:space="preserve"> (TCU, Acórdão 1207/2024-Plenário, enunciado 2)</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Edital, itens 19.2, 19.2.1 e 19.2.2 (págs. 34-35); Minuta, Cláusula Quinta (pág. 113)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Como se trata de serviço contínuo com dedicação exclusiva, o critério aplicável à mão de obra é a repactuação. O edital prevê a repactuação (19.2.1), mas antes dispõe que "os preços" (Po = preço unitário contratual, ou seja, todo o preço do posto) serão reajustados pelo IPCA (19.2). A cláusula da minuta reproduz a duplicidade e mantém instruções de modelo não resolvidas ("[Sendo o serviço por escopo...]", "[No caso de regime de dedicação exclusiva..., incluir...]"). O TR (item 18) distingue corretamente a repactuação (mão de obra) do reajuste por IPCA (insumos).</w:t>
      </w:r>
    </w:p>
    <w:p>
      <w:pPr>
        <w:spacing w:before="0" w:after="120" w:line="360" w:lineRule="auto"/>
        <w:ind w:firstLine="709"/>
        <w:jc w:val="both"/>
      </w:pPr>
      <w:r>
        <w:rPr>
          <w:b w:val="0"/>
          <w:i w:val="0"/>
        </w:rPr>
        <w:t>O documento dispõe: “Os preços serão reajustados de acordo com a variação do IPCA calculado por meio da” (Edital, itens 19.2, 19.2.1 e 19.2.2 (págs. 34-35); Minuta, Cláusula Quinta (pág. 113)).</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Os arts. 25, § 8º, II, 92, § 4º, II, e 135 impõem repactuação mediante demonstração analítica para dedicação exclusiva. Reajustar por IPCA o preço integral, inclusive a mão de obra, desvincula o pagamento dos custos reais e pode gerar reajuste em duplicidade (índice mais repactuação).</w:t>
      </w:r>
    </w:p>
    <w:p>
      <w:pPr>
        <w:spacing w:before="0" w:after="120" w:line="360" w:lineRule="auto"/>
        <w:ind w:firstLine="709"/>
        <w:jc w:val="both"/>
      </w:pPr>
      <w:r>
        <w:rPr>
          <w:b/>
          <w:i w:val="0"/>
          <w:color w:val="B23A48"/>
        </w:rPr>
        <w:t xml:space="preserve">Risco de manutenção. </w:t>
      </w:r>
      <w:r>
        <w:rPr>
          <w:b w:val="0"/>
          <w:i w:val="0"/>
        </w:rPr>
        <w:t>Pagamento em duplicidade pelo mesmo custo de mão de obra (superfaturamento) ou disputa contratual sobre qual critério prevalece.</w:t>
      </w:r>
    </w:p>
    <w:p>
      <w:pPr>
        <w:spacing w:before="0" w:after="120" w:line="360" w:lineRule="auto"/>
        <w:ind w:firstLine="709"/>
        <w:jc w:val="both"/>
      </w:pPr>
      <w:r>
        <w:rPr>
          <w:b/>
          <w:i w:val="0"/>
          <w:color w:val="12324A"/>
        </w:rPr>
        <w:t xml:space="preserve">Providência recomendada. </w:t>
      </w:r>
      <w:r>
        <w:rPr>
          <w:b w:val="0"/>
          <w:i w:val="0"/>
        </w:rPr>
        <w:t>Reescrever o item 19 e a Cláusula Quinta: repactuação para os custos de mão de obra (data-base da convenção) e para os demais custos conforme o art. 135, I, com interregno mínimo de um ano. Reajuste por IPCA, se mantido, somente para insumos (uniformes, materiais) expressamente identificados. Remover as instruções de modelo.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custos de mão de obra serão repactuados mediante demonstração analítica da variação dos custos, com data vinculada à convenção coletiva a que a proposta esteja vinculada. Os demais custos serão repactuados com data vinculada à proposta. Os insumos de uniformes e materiais poderão ser reajustados pelo IPCA, com data-base na data do orçamento estimado, sendo vedada a incidência cumulativa de índice e repactuação sobre o mesmo custo.</w:t>
            </w:r>
          </w:p>
        </w:tc>
      </w:tr>
    </w:tbl>
    <w:p>
      <w:pPr>
        <w:spacing w:before="0" w:after="80" w:line="240" w:lineRule="auto"/>
        <w:ind w:firstLine="0"/>
        <w:jc w:val="both"/>
      </w:pP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c) comunicar a empresa para que emita a Nota Fiscal ou Fatura com o valor exato dimensionado pela fiscalização com base no Instrumento de Medição de Resultado (IMR), observado o Anexo VIII-A ou instrumento substituto, se for o caso. Subseção IV Da Vigência e da Prorrogação Art. 51. As regras para a vigência e prorrogação dos contratos regidos por esta Instrução Normativa estão dispostas no Anexo IX. Subseção V Da Alteração dos Contratos Art. 52. As regras para a alteração dos contratos regidos por esta Instrução Normativa estão dispostas no Anexo X. Subseção VI Da Repactuação e do Reajuste de Preços dos Contratos Art. 53. O ato convocatório e…</w:t>
      </w:r>
      <w:r>
        <w:rPr>
          <w:b w:val="0"/>
          <w:i w:val="0"/>
          <w:sz w:val="20"/>
        </w:rPr>
        <w:t xml:space="preserve"> (Instrução Normativa SEGES/MP nº 5, de 26 de maio de 2017 (atualizada), Art. 52. As regras para a alteração dos contratos regidos por esta Instrução Normativa estão dispostas no Anexo X.)</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Edital, itens E.2, E.2.2, E.7 a E.10 (págs. 26-28); TR, itens 12.8, 12.9 e 24 (págs. 73-75, 88)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exigência de comprovar gestão de 50% dos postos (≈218 de 435) respeita o limite do art. 67, § 2º, e há motivação (E.2.2). Os pontos de atenção são quatro. (1) O E.10 exige atestados de "serviços similares" por 36 meses sem definir objetivamente a similaridade, e a justificativa do TR (12.9) menciona atestados "emitidos após a conclusão ou um ano de execução", exigência que não está no edital. (2) O TR (item 24) exige "experiência prévia na prestação de serviços em ambientes educacionais ou instituições similares", o que restringiria os emissores e contradiz o E.2, que aceita atestado de dedicação exclusiva em geral. (3) Exigem-se Técnico de Segurança do Trabalho, relatório NR-01 e comprovação de SESMT, sem demonstração, para um serviço de risco 2, de que sejam necessários. (4) O E.2.1 limita os atestados à atividade econômica "principal ou secundária" do contrato social e o E.2 exige papel timbrado e carimbo. O edital invoca o § 5º do art. 67 para o prazo de 36 meses, dispositivo cujo texto não consta da base fornecida; recomenda-se conferir a conformidade da exigência com o § 2º (vedação de limitações de tempo) e com o prazo ali admitido para serviços contínuos.</w:t>
      </w:r>
    </w:p>
    <w:p>
      <w:pPr>
        <w:spacing w:before="0" w:after="120" w:line="360" w:lineRule="auto"/>
        <w:ind w:firstLine="709"/>
        <w:jc w:val="both"/>
      </w:pPr>
      <w:r>
        <w:rPr>
          <w:b w:val="0"/>
          <w:i w:val="0"/>
        </w:rPr>
        <w:t>O documento dispõe: “demonstre(m) a execução de serviços similares, em períodos sucessivos ou não, pelo prazo” (Edital, itens E.2, E.2.2, E.7 a E.10 (págs. 26-28); TR, itens 12.8, 12.9 e 24 (págs. 73-75, 88)).</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e 2º, restringe atestados às parcelas de maior relevância e a quantitativos de até 50%, vedadas limitações de tempo e de locais. Exigências de similaridade sem critério claro, de emissores de determinado segmento e de requisitos sem pertinência direta com o objeto restringem a competitividade e dão margem a subjetividade na habilitação. Em dedicação exclusiva, a experiência relevante é a de gestão de mão de obra.</w:t>
      </w:r>
    </w:p>
    <w:p>
      <w:pPr>
        <w:spacing w:before="0" w:after="120" w:line="360" w:lineRule="auto"/>
        <w:ind w:firstLine="709"/>
        <w:jc w:val="both"/>
      </w:pPr>
      <w:r>
        <w:rPr>
          <w:b/>
          <w:i w:val="0"/>
          <w:color w:val="B23A48"/>
        </w:rPr>
        <w:t xml:space="preserve">Risco de manutenção. </w:t>
      </w:r>
      <w:r>
        <w:rPr>
          <w:b w:val="0"/>
          <w:i w:val="0"/>
        </w:rPr>
        <w:t>Restrição da competição em contratação de R$ 40,9 milhões, impugnação e inabilitação subjetiva.</w:t>
      </w:r>
    </w:p>
    <w:p>
      <w:pPr>
        <w:spacing w:before="0" w:after="120" w:line="360" w:lineRule="auto"/>
        <w:ind w:firstLine="709"/>
        <w:jc w:val="both"/>
      </w:pPr>
      <w:r>
        <w:rPr>
          <w:b/>
          <w:i w:val="0"/>
          <w:color w:val="12324A"/>
        </w:rPr>
        <w:t xml:space="preserve">Providência recomendada. </w:t>
      </w:r>
      <w:r>
        <w:rPr>
          <w:b w:val="0"/>
          <w:i w:val="0"/>
        </w:rPr>
        <w:t>Definir com objetividade o que é "similar" (por exemplo, serviços contínuos com dedicação exclusiva e número mínimo de postos). Excluir do TR a exigência de experiência em ambiente educacional, ou justificá-la e harmonizá-la com o edital. Justificar tecnicamente, ou suprimir, as exigências de Técnico de Segurança, NR-01 e SESMT, limitando-as à fase de execução quando cabível. Confirmar que o prazo de 36 meses se ampara no § 5º do art. 67 e no ETP, admitindo a soma de atestados. Excluir a exigência de papel timbrado e carimbo e o limite pela atividade do contrato social, se não justificados.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Serão aceitos atestados que comprovem a execução de serviços contínuos com dedicação exclusiva de mão de obra, em quantitativo mínimo de 50% dos postos licitados, admitida a soma de atestados e sem limitação quanto ao segmento do emissor.</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4">
        <w:r>
          <w:rPr>
            <w:color w:val="1F7A8C"/>
            <w:u w:val="single"/>
            <w:sz w:val="18"/>
          </w:rPr>
          <w:t xml:space="preserve">[fonte oficial]</w:t>
        </w:r>
      </w:hyperlink>
    </w:p>
    <w:p>
      <w:pPr>
        <w:spacing w:before="80" w:after="200" w:line="240" w:lineRule="auto"/>
        <w:ind w:firstLine="0" w:left="2268"/>
        <w:jc w:val="both"/>
      </w:pPr>
      <w:r>
        <w:rPr>
          <w:b w:val="0"/>
          <w:i w:val="0"/>
          <w:sz w:val="20"/>
        </w:rPr>
        <w:t>É irregular restringir, quando não tecnicamente justificado, os possíveis emissores de atestados de capacidade técnica a determinados segmentos econômicos, por afronta aos princípios da impessoalidade e da competitividade, pois a qualificação operacional da licitante deve ser aferida por parâmetros objetivos relacionados à sua experiência pregressa e à complexidade do objeto da licitação, e não pela natureza jurídica ou pelo ramo de atuação do emissor do atestado.</w:t>
      </w:r>
      <w:r>
        <w:rPr>
          <w:b w:val="0"/>
          <w:i w:val="0"/>
          <w:sz w:val="20"/>
        </w:rPr>
        <w:t xml:space="preserve"> (TCU, Acórdão 2215/2026-Plenário)</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3.5 Garantias do cumprimento das obrigações trabalhistas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Minuta de Contrato, Cláusula Décima, incisos X a XII (págs. 116-117); Edital, item 16.1 (pág. 30); TR, item 11.7 (pág. 66)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prevê o condicionamento do pagamento à quitação de obrigações trabalhistas (X, a), o pagamento direto aos trabalhadores em caso de inadimplemento (X, c, e XII) e a comprovação mensal de FGTS, INSS e CNDT (edital 18.3). Portanto há ao menos uma medida do art. 121, § 3º. Contudo, o inciso X apenas faz a contratada "aquiescer à adoção, entre outras medidas, a serem adotadas pela Administração no momento da contratação", sem definir qual será efetivamente adotada. Não há regulamento da conta-depósito vinculada (percentuais, bloqueio, liberação) e o edital dispensa a garantia contratual (16.1). Para 435 postos e R$ 40,9 milhões, a proteção fica dependente de retenção posterior de pagamentos.</w:t>
      </w:r>
    </w:p>
    <w:p>
      <w:pPr>
        <w:spacing w:before="0" w:after="120" w:line="360" w:lineRule="auto"/>
        <w:ind w:firstLine="709"/>
        <w:jc w:val="both"/>
      </w:pPr>
      <w:r>
        <w:rPr>
          <w:b w:val="0"/>
          <w:i w:val="0"/>
        </w:rPr>
        <w:t>O documento dispõe: “b) depósito de valores em conta vinculada;” (Minuta de Contrato, Cláusula Décima, incisos X a XII (págs. 116-117); Edital, item 16.1 (pág. 30); TR, item 11.7 (pág. 66)).</w:t>
      </w:r>
    </w:p>
    <w:p>
      <w:pPr>
        <w:spacing w:before="0" w:after="80" w:line="360" w:lineRule="auto"/>
        <w:ind w:firstLine="709"/>
        <w:jc w:val="both"/>
      </w:pPr>
      <w:r>
        <w:rPr>
          <w:b/>
          <w:i w:val="0"/>
          <w:color w:val="12324A"/>
        </w:rPr>
        <w:t xml:space="preserve">Dispositivo aplicável. </w:t>
      </w:r>
      <w:r>
        <w:rPr>
          <w:b w:val="0"/>
          <w:i w:val="0"/>
        </w:rPr>
        <w:t>A matéria é disciplinada pelo art. 121, § 2º e pelo art. 121, § 3º, da Lei 14.133/2021, que assim dispõem:</w:t>
      </w:r>
    </w:p>
    <w:p>
      <w:pPr>
        <w:spacing w:before="80" w:after="200" w:line="240" w:lineRule="auto"/>
        <w:ind w:firstLine="0" w:left="2268"/>
        <w:jc w:val="both"/>
      </w:pPr>
      <w:r>
        <w:rPr>
          <w:b w:val="0"/>
          <w:i w:val="0"/>
          <w:sz w:val="20"/>
        </w:rPr>
        <w:t>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r>
        <w:rPr>
          <w:b w:val="0"/>
          <w:i w:val="0"/>
          <w:sz w:val="20"/>
        </w:rPr>
        <w:t xml:space="preserve"> (BRASIL, 2021, art. 121, § 2º)</w:t>
      </w:r>
    </w:p>
    <w:p>
      <w:pPr>
        <w:spacing w:before="80" w:after="200" w:line="240" w:lineRule="auto"/>
        <w:ind w:firstLine="0" w:left="2268"/>
        <w:jc w:val="both"/>
      </w:pPr>
      <w:r>
        <w:rPr>
          <w:b w:val="0"/>
          <w:i w:val="0"/>
          <w:sz w:val="20"/>
        </w:rPr>
        <w:t>Nas contratações de serviços contínuos com regime de dedicação exclusiva de mão de obra, para assegurar o cumprimento de obrigações trabalhistas pelo contratado, a Administração, mediante disposição em edital ou em contrato, poderá, entre outras medidas: […]</w:t>
      </w:r>
      <w:r>
        <w:rPr>
          <w:b w:val="0"/>
          <w:i w:val="0"/>
          <w:sz w:val="20"/>
        </w:rPr>
        <w:t xml:space="preserve"> (BRASIL, 2021, art. 121, § 3º)</w:t>
      </w:r>
    </w:p>
    <w:p>
      <w:pPr>
        <w:spacing w:before="0" w:after="120" w:line="360" w:lineRule="auto"/>
        <w:ind w:firstLine="709"/>
        <w:jc w:val="both"/>
      </w:pPr>
      <w:r>
        <w:rPr>
          <w:b/>
          <w:i w:val="0"/>
          <w:color w:val="12324A"/>
        </w:rPr>
        <w:t xml:space="preserve">Análise. </w:t>
      </w:r>
      <w:r>
        <w:rPr>
          <w:b w:val="0"/>
          <w:i w:val="0"/>
        </w:rPr>
        <w:t>O art. 121, § 2º, responsabiliza a Administração pelos encargos previdenciários (solidariamente) e trabalhistas (subsidiariamente) quando houver falha de fiscalização. O § 3º autoriza medidas preventivas, mas elas devem estar previstas no edital ou no contrato de forma operável.</w:t>
      </w:r>
    </w:p>
    <w:p>
      <w:pPr>
        <w:spacing w:before="0" w:after="120" w:line="360" w:lineRule="auto"/>
        <w:ind w:firstLine="709"/>
        <w:jc w:val="both"/>
      </w:pPr>
      <w:r>
        <w:rPr>
          <w:b/>
          <w:i w:val="0"/>
          <w:color w:val="C9781E"/>
        </w:rPr>
        <w:t xml:space="preserve">Risco de manutenção. </w:t>
      </w:r>
      <w:r>
        <w:rPr>
          <w:b w:val="0"/>
          <w:i w:val="0"/>
        </w:rPr>
        <w:t>Em caso de inadimplência, a retenção pode ser insuficiente. Isso expõe o Município a condenações subsidiárias e a custos de ressarcimento.</w:t>
      </w:r>
    </w:p>
    <w:p>
      <w:pPr>
        <w:spacing w:before="0" w:after="120" w:line="360" w:lineRule="auto"/>
        <w:ind w:firstLine="709"/>
        <w:jc w:val="both"/>
      </w:pPr>
      <w:r>
        <w:rPr>
          <w:b/>
          <w:i w:val="0"/>
          <w:color w:val="12324A"/>
        </w:rPr>
        <w:t xml:space="preserve">Providência recomendada. </w:t>
      </w:r>
      <w:r>
        <w:rPr>
          <w:b w:val="0"/>
          <w:i w:val="0"/>
        </w:rPr>
        <w:t>Definir no edital e na minuta a medida efetivamente adotada. Recomenda-se a conta-depósito vinculada bloqueada para movimentação (férias, 13º, rescisórias e encargos), com percentuais e rotina de liberação por evento comprovado. Alternativamente, exigir garantia contratual com cobertura trabalhista. Manter a comprovação mensal e o pagamento direto. O Caderno de Logística de conta vinculada serve como parâmetro federal, por analogia.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 Administração adotará conta-depósito vinculada, bloqueada para movimentação, na qual serão retidos, mensalmente, os valores provisionados para 13º salário, férias e adicional, verbas rescisórias e incidências, que somente serão liberados mediante comprovação do fato gerador.</w:t>
            </w:r>
          </w:p>
        </w:tc>
      </w:tr>
    </w:tbl>
    <w:p>
      <w:pPr>
        <w:spacing w:before="0" w:after="80" w:line="240" w:lineRule="auto"/>
        <w:ind w:firstLine="0"/>
        <w:jc w:val="both"/>
      </w:pP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A utilização da Conta-Depósito Vinculada ― bloqueada para movimentação é ferramenta já insti- tucionalizada e sedimentada na Administração Pública como mecanismo de proteção e gestão de riscos na execução de contratos de prestação de serviço com dedicação exclusiva de mão de obra, contribuindo para assegurar os recursos necessários para o cumprimento das obrigações sociais e trabalhistas em caso de inadimplemento da contratada, bem como para a segurança jurídica dos gestores e fiscais de contrato. 4</w:t>
      </w:r>
      <w:r>
        <w:rPr>
          <w:b w:val="0"/>
          <w:i w:val="0"/>
          <w:sz w:val="20"/>
        </w:rPr>
        <w:t xml:space="preserve"> (Caderno de Logística – Conta-depósito vinculada, APRESENTAÇÃO, p. 4)</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Os valores depositados sob retenção em conta vinculada com bloqueio de movimentação (a exemplo da "Conta-Depósito Vinculada - Bloqueada para Movimentação" e dos "Depósitos em Garantia Bloqueados para Movimentação - DGBM"), para fazer face exclusivamente a pagamentos de compromissos trabalhistas e previdenciários comprovados de contratos de prestação de serviços de mão de obra com regime de dedicação exclusiva, se enquadram no conceito de "ativo" e de tal forma devem ser registrados nas demonstrações contábeis e nos balanços da administração contratante, que detém o seu controle, com contrapartida no "passivo", juntamente com a correspondente evidenciação em notas explicativas.</w:t>
      </w:r>
      <w:r>
        <w:rPr>
          <w:b w:val="0"/>
          <w:i w:val="0"/>
          <w:sz w:val="20"/>
        </w:rPr>
        <w:t xml:space="preserve"> (TCU, Acórdão 2717/2023-Plenário)</w:t>
      </w:r>
      <w:r>
        <w:rPr>
          <w:b w:val="0"/>
          <w:i w:val="0"/>
          <w:sz w:val="20"/>
        </w:rPr>
        <w:t xml:space="preserve"> </w:t>
      </w:r>
      <w:hyperlink r:id="rId16">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3.6 Conferência aritmética da planilha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Planilha de custos e formação de preços (dedicação exclusiva de mão de obra), Anexo I – Planilha (pág. 43); TR, itens 14 e 15 (págs. 76-77); Anexo II – Proposta Detalhe (págs. 47-50)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Conferidos os cálculos: 435 postos × R$ 7.845,84 = R$ 3.412.940,40/mês; × 12 = R$ 40.955.284,80, consistente no edital (5.2), no Anexo I e no TR. A memória de cálculo dos quantitativos fecha em 435 (90+73+96+76+100). Os percentuais do modelo de planilha somam corretamente (2.1 = 19,44%; 2.2 = 33,80%; Módulo 3 = 2,59%). No entanto, a planilha de composição do valor unitário de R$ 7.845,84 (módulos 1 a 6) não consta do documento. Só há o modelo zerado, e o TR remete à "planilha de Orçamento Estimado", que não foi enviada.</w:t>
      </w:r>
    </w:p>
    <w:p>
      <w:pPr>
        <w:spacing w:before="0" w:after="120" w:line="360" w:lineRule="auto"/>
        <w:ind w:firstLine="709"/>
        <w:jc w:val="both"/>
      </w:pPr>
      <w:r>
        <w:rPr>
          <w:b w:val="0"/>
          <w:i w:val="0"/>
        </w:rPr>
        <w:t>O documento dispõe: “O valor estimado da contratação corresponde a R$ 40.955.284,80 (quarenta milhões” (Anexo I – Planilha (pág. 43); TR, itens 14 e 15 (págs. 76-77); Anexo II – Proposta Detalhe (págs. 47-50)).</w:t>
      </w:r>
    </w:p>
    <w:p>
      <w:pPr>
        <w:spacing w:before="0" w:after="80" w:line="360" w:lineRule="auto"/>
        <w:ind w:firstLine="709"/>
        <w:jc w:val="both"/>
      </w:pPr>
      <w:r>
        <w:rPr>
          <w:b/>
          <w:i w:val="0"/>
          <w:color w:val="12324A"/>
        </w:rPr>
        <w:t xml:space="preserve">Dispositivo aplicável. </w:t>
      </w:r>
      <w:r>
        <w:rPr>
          <w:b w:val="0"/>
          <w:i w:val="0"/>
        </w:rPr>
        <w:t>A matéria é disciplinada pelo art. 18, inciso IV, da Lei 14.133/2021, que assim dispõe:</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art. 18, IV, exige o orçamento estimado "com as composições dos preços utilizados para sua formação". Sem a composição analítica, a conferência aritmética entre módulos fica inviável e não se pode aferir a aceitabilidade das propostas.</w:t>
      </w:r>
    </w:p>
    <w:p>
      <w:pPr>
        <w:spacing w:before="0" w:after="120" w:line="360" w:lineRule="auto"/>
        <w:ind w:firstLine="709"/>
        <w:jc w:val="both"/>
      </w:pPr>
      <w:r>
        <w:rPr>
          <w:b/>
          <w:i w:val="0"/>
          <w:color w:val="C9781E"/>
        </w:rPr>
        <w:t xml:space="preserve">Risco de manutenção. </w:t>
      </w:r>
      <w:r>
        <w:rPr>
          <w:b w:val="0"/>
          <w:i w:val="0"/>
        </w:rPr>
        <w:t>Erro não detectado no preço-base e dificuldade de analisar exequibilidade e futuras repactuações.</w:t>
      </w:r>
    </w:p>
    <w:p>
      <w:pPr>
        <w:spacing w:before="0" w:after="120" w:line="360" w:lineRule="auto"/>
        <w:ind w:firstLine="709"/>
        <w:jc w:val="both"/>
      </w:pPr>
      <w:r>
        <w:rPr>
          <w:b/>
          <w:i w:val="0"/>
          <w:color w:val="12324A"/>
        </w:rPr>
        <w:t xml:space="preserve">Providência recomendada. </w:t>
      </w:r>
      <w:r>
        <w:rPr>
          <w:b w:val="0"/>
          <w:i w:val="0"/>
        </w:rPr>
        <w:t>Juntar e divulgar a planilha analítica do orçamento estimado (Excel, com fórmulas) e a memória de cálculo dos encargos, para conferência. Corrigir o modelo da planilha, que fixa ISS em 5% e traz SAT 0,0000%, de modo que o licitante preencha conforme seu regime tributário.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existência de erro material ou omissão sanável na planilha de custos e de formação de preços não enseja a desclassificação sumária da proposta, devendo o órgão ou a entidade licitante promover diligência para possibilitar a correção da falha, desde que não haja majoração do valor global originalmente proposto, em observância à busca de contratação mais vantajosa para a Administração Pública (art. 11, inciso I, da Lei 14.133/2021).</w:t>
      </w:r>
      <w:r>
        <w:rPr>
          <w:b w:val="0"/>
          <w:i w:val="0"/>
          <w:sz w:val="20"/>
        </w:rPr>
        <w:t xml:space="preserve"> (TCU, Acórdão 4668/2026-Segunda Câmara)</w:t>
      </w:r>
      <w:r>
        <w:rPr>
          <w:b w:val="0"/>
          <w:i w:val="0"/>
          <w:sz w:val="20"/>
        </w:rPr>
        <w:t xml:space="preserve"> </w:t>
      </w:r>
      <w:hyperlink r:id="rId17">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3.7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item 19.1 (pág. 34); TR, itens 18.1.1 e 18.1.5 (pág. 82); Minuta, Cláusula Quinta (pág. 112)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(19.1) vincula o reajuste à data do orçamento estimado, em conformidade com o art. 25, § 7º, e o orçamento tem data expressa (27/07/2026). Contudo, o TR (18.1.5) manda contar o interregno dos insumos "a partir da data limite para apresentação das propostas", em contradição com o 18.1.1 (data-base do orçamento). O 18.1.3 está truncado ("será contado:"). A minuta (Cláusula Quinta) mantém lacunas em branco (prazo em meses e índice).</w:t>
      </w:r>
    </w:p>
    <w:p>
      <w:pPr>
        <w:spacing w:before="0" w:after="120" w:line="360" w:lineRule="auto"/>
        <w:ind w:firstLine="709"/>
        <w:jc w:val="both"/>
      </w:pPr>
      <w:r>
        <w:rPr>
          <w:b w:val="0"/>
          <w:i w:val="0"/>
        </w:rPr>
        <w:t>O documento dispõe: “a partir da data limite para apresentação das propostas” (Edital, item 19.1 (pág. 34); TR, itens 18.1.1 e 18.1.5 (pág. 82); Minuta, Cláusula Quinta (pág. 112)).</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Os arts. 25, § 7º, e 92, § 3º, exigem índice com data-base vinculada ao orçamento estimado. A coexistência de marcos distintos permite reajustes por critério não previsto no edital.</w:t>
      </w:r>
    </w:p>
    <w:p>
      <w:pPr>
        <w:spacing w:before="0" w:after="120" w:line="360" w:lineRule="auto"/>
        <w:ind w:firstLine="709"/>
        <w:jc w:val="both"/>
      </w:pPr>
      <w:r>
        <w:rPr>
          <w:b/>
          <w:i w:val="0"/>
          <w:color w:val="C9781E"/>
        </w:rPr>
        <w:t xml:space="preserve">Risco de manutenção. </w:t>
      </w:r>
      <w:r>
        <w:rPr>
          <w:b w:val="0"/>
          <w:i w:val="0"/>
        </w:rPr>
        <w:t>Disputas sobre o marco inicial do primeiro reajuste e reajustes indevidos ou negados.</w:t>
      </w:r>
    </w:p>
    <w:p>
      <w:pPr>
        <w:spacing w:before="0" w:after="120" w:line="360" w:lineRule="auto"/>
        <w:ind w:firstLine="709"/>
        <w:jc w:val="both"/>
      </w:pPr>
      <w:r>
        <w:rPr>
          <w:b/>
          <w:i w:val="0"/>
          <w:color w:val="12324A"/>
        </w:rPr>
        <w:t xml:space="preserve">Providência recomendada. </w:t>
      </w:r>
      <w:r>
        <w:rPr>
          <w:b w:val="0"/>
          <w:i w:val="0"/>
        </w:rPr>
        <w:t>Uniformizar edital, TR e minuta: índice (IPCA) com data-base na data do orçamento estimado (27/07/2026), interregno mínimo de um ano, preenchendo a Cláusula Quinta. Corrigir ou excluir o 18.1.5 e completar o 18.1.3. A defasagem entre o orçamento (julho/2026) e a divulgação (outubro/2026) não é falha, desde que o reajuste fique vinculado à data do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IPCA, com data-base em 27/07/2026 (data do orçamento estimado), observado o interregno mínimo de um ano, aplicando-se a repactuação aos custos de mão de obra na forma do art. 135 da Lei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Nos procedimentos licitatórios cuja fase de disputa ainda não tenha sido concluída, a previsão de reajuste deve observar periodicidade anual, contada a partir da data-base do orçamento estimativo, em substituição à prática anterior de adoção de periodicidade bienal. Decisões de 2024–2025 que aplicaram o enunciado: Processo 040/104391/2025 (Voto 390/2025, David Carlos Pereira Neto, sessão de 17/12/2025); Processo 040/104396/2025 (Voto 392/2025, David Carlos Pereira Neto, sessão de 17/12/2025); Processo 040/104425/2025 (Voto 388/2025, David Carlos Pereira Neto, sessão de 17/12/2025); Processo 040/104426/2025 (Voto 382/2025, David Carlos Pereira Neto, sessão de 17/12/2025); Processo 040/104202/2025 (Voto 368/2025, David Carlos Pereira Neto, sessão de 17/12/2025); Processo 040/104222/2025 (Voto 378/2025, David Carlos Pereira Neto, sessão de 17/12/2025).</w:t>
      </w:r>
      <w:r>
        <w:rPr>
          <w:b w:val="0"/>
          <w:i w:val="0"/>
          <w:sz w:val="20"/>
        </w:rPr>
        <w:t xml:space="preserve"> (TCM-RJ, Voto 390/2025 · Proc. 040/104391/2025 · Enunciado 527)</w:t>
      </w:r>
      <w:r>
        <w:rPr>
          <w:b w:val="0"/>
          <w:i w:val="0"/>
          <w:sz w:val="20"/>
        </w:rPr>
        <w:t xml:space="preserve"> </w:t>
      </w:r>
      <w:hyperlink r:id="rId18">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3.8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B.1 a B.3 (págs. 21-23); TR, itens 12.7 e 12.7.1 (págs. 71-73)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Exigem-se, cumulativamente, ILG ≥ 1, ISG ≥ 1, IE ≤ 1, PL ou capital mínimo de 10% (dentro do limite do art. 69, § 4º), capital circulante líquido de 16,66% do valor estimado e declaração de compromissos (1/12 dos contratos ≤ PL). A justificativa do TR (12.7.1) trata apenas do PL de 10%. Não há justificativa específica para os índices, para o CCL de 16,66% e para a declaração de compromissos. O IE ≤ 1 é redundante com o ISG ≥ 1. O TR exige também o ILC ≥ 1, que o edital não exige. O item B.1.b descreve o ISG como "índice de Liquidez Corrente", e há duas alíneas "B.2".</w:t>
      </w:r>
    </w:p>
    <w:p>
      <w:pPr>
        <w:spacing w:before="0" w:after="120" w:line="360" w:lineRule="auto"/>
        <w:ind w:firstLine="709"/>
        <w:jc w:val="both"/>
      </w:pPr>
      <w:r>
        <w:rPr>
          <w:b w:val="0"/>
          <w:i w:val="0"/>
        </w:rPr>
        <w:t>O documento dispõe: “(B.2) - Comprovação de Capital Circulante Líquido ou Capital de Giro (Ativo Circulante -” (Edital, itens B.1 a B.3 (págs. 21-23); TR, itens 12.7 e 12.7.1 (págs. 71-73)).</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caput, exige que os índices sejam "devidamente justificados no processo", e o § 5º veda índices e valores não usuais. A Súmula TCU 289 exige justificativa e parâmetros atualizados de mercado. O CCL de 16,66% (parâmetro da IN SEGES/MP 5/2017, federal) somado ao PL de 10% eleva o aporte exigido para além do teto de 10% do § 4º, e por isso precisa de motivação própria. O TCU admite a cumulação de índices, capital ou PL e declaração de compromissos (Ac. 2724/2025).</w:t>
      </w:r>
    </w:p>
    <w:p>
      <w:pPr>
        <w:spacing w:before="0" w:after="120" w:line="360" w:lineRule="auto"/>
        <w:ind w:firstLine="709"/>
        <w:jc w:val="both"/>
      </w:pPr>
      <w:r>
        <w:rPr>
          <w:b/>
          <w:i w:val="0"/>
          <w:color w:val="C9781E"/>
        </w:rPr>
        <w:t xml:space="preserve">Risco de manutenção. </w:t>
      </w:r>
      <w:r>
        <w:rPr>
          <w:b w:val="0"/>
          <w:i w:val="0"/>
        </w:rPr>
        <w:t>Impugnação e inabilitação por exigências sem motivação, ou restrição de competidores.</w:t>
      </w:r>
    </w:p>
    <w:p>
      <w:pPr>
        <w:spacing w:before="0" w:after="120" w:line="360" w:lineRule="auto"/>
        <w:ind w:firstLine="709"/>
        <w:jc w:val="both"/>
      </w:pPr>
      <w:r>
        <w:rPr>
          <w:b/>
          <w:i w:val="0"/>
          <w:color w:val="12324A"/>
        </w:rPr>
        <w:t xml:space="preserve">Providência recomendada. </w:t>
      </w:r>
      <w:r>
        <w:rPr>
          <w:b w:val="0"/>
          <w:i w:val="0"/>
        </w:rPr>
        <w:t>Justificar no processo cada índice e o CCL (cálculo sobre o valor anual de 12 meses), ou suprimir os que não forem necessários. Harmonizar edital e TR (ILC, IE) e corrigir a descrição do ISG e a numeração das alíneas.</w:t>
      </w: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11.1. Nas contratações de serviços continuados com dedicação exclusiva de mão de obra, a Administração deverá exigir: a) Balanço patrimonial e demonstrações contábeis referentes ao último exercício social, comprovando índices de Liquidez Geral (LG), Liquidez Corrente (LC), e Solvência Geral (SG) superiores a 1 (um); b) Capital Circulante Líquido ou Capital de Giro (Ativo Circulante - Passivo Circulante) de, no mínimo, 16,66% (dezesseis inteiros e sessenta e seis centésimos por cento) do valor estimado da contratação, tendo por base o balanço patrimonial e as demonstrações contábeis do último exercício social; c) Comprovação de patrimônio líqu…</w:t>
      </w:r>
      <w:r>
        <w:rPr>
          <w:b w:val="0"/>
          <w:i w:val="0"/>
          <w:sz w:val="20"/>
        </w:rPr>
        <w:t xml:space="preserve"> (Instrução Normativa SEGES/MP nº 5, de 26 de maio de 2017 (atualizada), 11. Das condições de habilitação econômico-financeira:)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9">
        <w:r>
          <w:rPr>
            <w:color w:val="1F7A8C"/>
            <w:u w:val="single"/>
            <w:sz w:val="18"/>
          </w:rPr>
          <w:t xml:space="preserve">[fonte oficial]</w:t>
        </w:r>
      </w:hyperlink>
    </w:p>
    <w:p>
      <w:pPr>
        <w:spacing w:before="80" w:after="200" w:line="240" w:lineRule="auto"/>
        <w:ind w:firstLine="0" w:left="2268"/>
        <w:jc w:val="both"/>
      </w:pPr>
      <w:r>
        <w:rPr>
          <w:b w:val="0"/>
          <w:i w:val="0"/>
          <w:sz w:val="20"/>
        </w:rPr>
        <w:t>A exigência de capital social ou patrimônio líquido mínimos, disposta no art. 69, § 4º, da Lei 14.133/2021, não está condicionada apenas aos casos em que o licitante apresente índices contábeis iguais ou inferiores a 1 (um). Para fins de habilitação econômico-financeira, a Administração pode exigir dos licitantes, de forma cumulativa: i) declaração de compromissos assumidos (art. 69, § 3º, da mencionada lei); ii) índices de liquidez acima de 1 (um); iii) patrimônio líquido mínimo de até 10% do valor estimado da contratação; e iv) capital circulante mínimo em percentual suficiente para assegurar até dois meses de execução contratual sem nenhum pagamento por parte da Administração, devendo tais exigências ser devidamente motivadas nos atos preparatórios da contratação.</w:t>
      </w:r>
      <w:r>
        <w:rPr>
          <w:b w:val="0"/>
          <w:i w:val="0"/>
          <w:sz w:val="20"/>
        </w:rPr>
        <w:t xml:space="preserve"> (TCU, Acórdão 2724/2025-Plenário)</w:t>
      </w:r>
      <w:r>
        <w:rPr>
          <w:b w:val="0"/>
          <w:i w:val="0"/>
          <w:sz w:val="20"/>
        </w:rPr>
        <w:t xml:space="preserve"> </w:t>
      </w:r>
      <w:hyperlink r:id="rId20">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3.9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12 (págs. 67-68); Edital, itens 12.5, 12.8 (OBS) e C.6 (págs. 14-17, 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aplica o empate ficto (5%), a regularidade fiscal tardia (5 dias úteis) e remete às exceções do art. 4º, § 1º. O TR, porém, afirma que não será concedido tratamento diferenciado a ME/EPP com fundamento no art. 49, III, da LC 123/2006, por "voluptuosidade do serviço e sua indivisibilidade", o que contradiz o edital.</w:t>
      </w:r>
    </w:p>
    <w:p>
      <w:pPr>
        <w:spacing w:before="0" w:after="120" w:line="360" w:lineRule="auto"/>
        <w:ind w:firstLine="709"/>
        <w:jc w:val="both"/>
      </w:pPr>
      <w:r>
        <w:rPr>
          <w:b w:val="0"/>
          <w:i w:val="0"/>
        </w:rPr>
        <w:t>O documento dispõe: “Não será concedido tratamento diferenciado às microempresas ou empresas de” (TR, item 12 (págs. 67-68); Edital, itens 12.5, 12.8 (OBS) e C.6 (págs. 14-17, 25)).</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da Lei 14.133 manda aplicar os arts. 42 a 49 da LC 123. O art. 49, III, só afasta os arts. 47 e 48 (exclusividade e cota), não as demais regras (empate ficto, regularidade fiscal tardia). Se a intenção é apenas não reservar o objeto a ME/EPP, a redação do TR é excessiva e contraditória com o edital. O elevado valor estimado, muito acima do limite de receita da EPP, pode justificar a não reserva (TCE-RJ 19519/2026), desde que motivado.</w:t>
      </w:r>
    </w:p>
    <w:p>
      <w:pPr>
        <w:spacing w:before="0" w:after="120" w:line="360" w:lineRule="auto"/>
        <w:ind w:firstLine="709"/>
        <w:jc w:val="both"/>
      </w:pPr>
      <w:r>
        <w:rPr>
          <w:b/>
          <w:i w:val="0"/>
          <w:color w:val="C9781E"/>
        </w:rPr>
        <w:t xml:space="preserve">Risco de manutenção. </w:t>
      </w:r>
      <w:r>
        <w:rPr>
          <w:b w:val="0"/>
          <w:i w:val="0"/>
        </w:rPr>
        <w:t>Impugnação, dúvida sobre a aplicação do empate e da regularidade fiscal tardia e nulidade de etapas.</w:t>
      </w:r>
    </w:p>
    <w:p>
      <w:pPr>
        <w:spacing w:before="0" w:after="120" w:line="360" w:lineRule="auto"/>
        <w:ind w:firstLine="709"/>
        <w:jc w:val="both"/>
      </w:pPr>
      <w:r>
        <w:rPr>
          <w:b/>
          <w:i w:val="0"/>
          <w:color w:val="12324A"/>
        </w:rPr>
        <w:t xml:space="preserve">Providência recomendada. </w:t>
      </w:r>
      <w:r>
        <w:rPr>
          <w:b w:val="0"/>
          <w:i w:val="0"/>
        </w:rPr>
        <w:t>Harmonizar: manter o edital como está, aplicando o empate ficto e a regularidade tardia, e corrigir o TR para declarar apenas a não aplicação da exclusividade e da cota (arts. 47 e 48), com a motivação do valor e da indivisibilidade.</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diretriz de fomento à participação de micro e pequenas empresas deve ser interpretada em consonância com os limites legais estabelecidos na Lei nº 14.133/2021 e na Lei Complementar nº 123/2006. Elevado valor estimado da contratação, quando significativamente superior ao limite de receita bruta exigido para o enquadramento societário como empresa de pequeno porte, afasta a obrigatoriedade de concessão de tratamento favorecido, nos termos do art. 4º, §1º, I, da Lei nº 14.133/2021.</w:t>
      </w:r>
      <w:r>
        <w:rPr>
          <w:b w:val="0"/>
          <w:i w:val="0"/>
          <w:sz w:val="20"/>
        </w:rPr>
        <w:t xml:space="preserve"> (TCE-RJ, Acórdão 19519/2026 – Processo 100.467-3/2026)</w:t>
      </w:r>
      <w:r>
        <w:rPr>
          <w:b w:val="0"/>
          <w:i w:val="0"/>
          <w:sz w:val="20"/>
        </w:rPr>
        <w:t xml:space="preserve"> </w:t>
      </w:r>
      <w:hyperlink r:id="rId21">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3.10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1.7 a 1.9 (págs. 2-3)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Esclarecimentos e impugnações têm prazo de 3 dias úteis antes da abertura (1.7 e 1.8), e a resposta a esclarecimentos tem prazo de 3 dias úteis limitado ao último dia útil anterior à abertura (1.7.1). Mas o 1.8.1 não repete o limite do último dia útil anterior à abertura e não prevê a divulgação da resposta à impugnação em sítio oficial. O 1.8.2 atribui efeito suspensivo automático à impugnação, regra que a lei não prevê. O 1.9 ("sessão de recebimento das propostas... prazos indicados nos itens 1.7.1 ou 1.8.1") é confuso. Os pedidos são recebidos em e-mail de provedor gratuito (gmail).</w:t>
      </w:r>
    </w:p>
    <w:p>
      <w:pPr>
        <w:spacing w:before="0" w:after="120" w:line="360" w:lineRule="auto"/>
        <w:ind w:firstLine="709"/>
        <w:jc w:val="both"/>
      </w:pPr>
      <w:r>
        <w:rPr>
          <w:b w:val="0"/>
          <w:i w:val="0"/>
        </w:rPr>
        <w:t>O documento dispõe: “A impugnação possui efeito suspensivo até que sobrevenha decisão final da” (Edital, itens 1.7 a 1.9 (págs. 2-3)).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art. 164, parágrafo único, exige resposta em 3 dias úteis, limitada ao último dia útil anterior à abertura, divulgada em sítio oficial. Como parâmetro federal, a IN SEGES/ME 73/2022 (art. 16) trata a impugnação sem efeito suspensivo, que é medida excepcional motivada.</w:t>
      </w:r>
    </w:p>
    <w:p>
      <w:pPr>
        <w:spacing w:before="0" w:after="120" w:line="360" w:lineRule="auto"/>
        <w:ind w:firstLine="709"/>
        <w:jc w:val="both"/>
      </w:pPr>
      <w:r>
        <w:rPr>
          <w:b/>
          <w:i w:val="0"/>
          <w:color w:val="C9781E"/>
        </w:rPr>
        <w:t xml:space="preserve">Risco de manutenção. </w:t>
      </w:r>
      <w:r>
        <w:rPr>
          <w:b w:val="0"/>
          <w:i w:val="0"/>
        </w:rPr>
        <w:t>Suspensão automática do certame por impugnação, atrasos e litígios sobre prazos.</w:t>
      </w:r>
    </w:p>
    <w:p>
      <w:pPr>
        <w:spacing w:before="0" w:after="120" w:line="360" w:lineRule="auto"/>
        <w:ind w:firstLine="709"/>
        <w:jc w:val="both"/>
      </w:pPr>
      <w:r>
        <w:rPr>
          <w:b/>
          <w:i w:val="0"/>
          <w:color w:val="12324A"/>
        </w:rPr>
        <w:t xml:space="preserve">Providência recomendada. </w:t>
      </w:r>
      <w:r>
        <w:rPr>
          <w:b w:val="0"/>
          <w:i w:val="0"/>
        </w:rPr>
        <w:t>Reproduzir o parágrafo único do art. 164 no 1.8.1, prever a divulgação das respostas no PNCP e no sítio oficial, e substituir o efeito suspensivo automático por suspensão motivada pelo pregoeiro. Indicar canal institucional (sistema ou e-mail oficial).</w:t>
      </w:r>
    </w:p>
    <w:p>
      <w:pPr>
        <w:spacing w:before="0" w:after="80" w:line="360" w:lineRule="auto"/>
        <w:ind w:firstLine="709"/>
        <w:jc w:val="both"/>
      </w:pPr>
      <w:r>
        <w:rPr>
          <w:b/>
          <w:i w:val="0"/>
          <w:color w:val="12324A"/>
        </w:rPr>
        <w:t xml:space="preserve">Referências técnicas. </w:t>
      </w:r>
      <w:r>
        <w:rPr>
          <w:b w:val="0"/>
          <w:i w:val="0"/>
        </w:rPr>
        <w:t>Orientações oficiais pertinentes ao ponto (de alcance federal; para estados, municípios e DF, parâmetro de boa prática, salvo adoção pelo ente — art. 187 da Lei nº 14.133/2021):</w:t>
      </w:r>
    </w:p>
    <w:p>
      <w:pPr>
        <w:spacing w:before="80" w:after="200" w:line="240" w:lineRule="auto"/>
        <w:ind w:firstLine="0" w:left="2268"/>
        <w:jc w:val="both"/>
      </w:pPr>
      <w:r>
        <w:rPr>
          <w:b w:val="0"/>
          <w:i w:val="0"/>
          <w:sz w:val="20"/>
        </w:rPr>
        <w:t>Parágrafo único. Sem prejuízo do disposto no caput , é obrigatória a publicação de extrato do edital no Diário Oficial da União, do Estado, do Distrito Federal ou do Município, ou, no caso de consórcio público, do ente de maior nível entre eles, bem como em jornal diário de grande circulação. Modificação do edital de licitação Art. 15. Eventuais modificações no edital de licitação implicarão nova divulgação na mesma forma de sua divulgação inicial, além do cumprimento dos mesmos prazos dos atos e procedimentos originais, exceto se, inquestionavelmente, a alteração não comprometer a formulação das propostas, resguardado o tratamento isonômico …</w:t>
      </w:r>
      <w:r>
        <w:rPr>
          <w:b w:val="0"/>
          <w:i w:val="0"/>
          <w:sz w:val="20"/>
        </w:rPr>
        <w:t xml:space="preserve"> (Instrução Normativa SEGES/ME nº 73, de 30 de setembro de 2022 (licitação por menor preço ou maior desconto), CAPÍTULO V</w:t>
        <w:br/>
        <w:t>DA FASE DA DIVULGAÇÃO DO EDITAL DE LICITAÇÃO)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XII – Minuta de Contrato, Cláusulas Segunda, Terceira, Quinta e Nona (págs. 110-115)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é anexo do edital (Anexo XII) e traz cláusulas de pagamento, fiscalização, obrigações, sanções, recursos e extinção. É, porém, um modelo genérico com campos e instruções de modelo não resolvidos: "[serviços/fornecimento contínuo]", prazo "___ dias/meses", índice e prazo do reajuste em branco, "[Sendo o serviço por escopo...]", "[No caso de regime de dedicação exclusiva..., incluir...]". Não há cláusula de matriz de riscos nem regras sobre a medida de garantia trabalhista adotada. A numeração salta do inciso XVII para o XXII, e a Cláusula Nona prevê eficácia a partir da publicação no PNCP. O contrato referencia garantia que o edital não exige.</w:t>
      </w:r>
    </w:p>
    <w:p>
      <w:pPr>
        <w:spacing w:before="0" w:after="120" w:line="360" w:lineRule="auto"/>
        <w:ind w:firstLine="709"/>
        <w:jc w:val="both"/>
      </w:pPr>
      <w:r>
        <w:rPr>
          <w:b w:val="0"/>
          <w:i w:val="0"/>
        </w:rPr>
        <w:t>O documento dispõe: “Somente ocorrerá reajustamento do Contrato decorrido o prazo de _________________ ( )” (Anexo XII – Minuta de Contrato, Cláusulas Segunda, Terceira, Quinta e Nona (págs. 110-115)).</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92 exige cláusulas sobre objeto, prazos de vigência, preço e critérios de reajuste, garantias, direitos e responsabilidades e outras necessárias. Uma minuta com lacunas e instruções de modelo não dá segurança aos licitantes sobre as condições contratuais que aceitam.</w:t>
      </w:r>
    </w:p>
    <w:p>
      <w:pPr>
        <w:spacing w:before="0" w:after="120" w:line="360" w:lineRule="auto"/>
        <w:ind w:firstLine="709"/>
        <w:jc w:val="both"/>
      </w:pPr>
      <w:r>
        <w:rPr>
          <w:b/>
          <w:i w:val="0"/>
          <w:color w:val="C9781E"/>
        </w:rPr>
        <w:t xml:space="preserve">Risco de manutenção. </w:t>
      </w:r>
      <w:r>
        <w:rPr>
          <w:b w:val="0"/>
          <w:i w:val="0"/>
        </w:rPr>
        <w:t>Disputas sobre prazo, índice e critério de reajuste, e dificuldade de aplicar sanções e repactuação.</w:t>
      </w:r>
    </w:p>
    <w:p>
      <w:pPr>
        <w:spacing w:before="0" w:after="120" w:line="360" w:lineRule="auto"/>
        <w:ind w:firstLine="709"/>
        <w:jc w:val="both"/>
      </w:pPr>
      <w:r>
        <w:rPr>
          <w:b/>
          <w:i w:val="0"/>
          <w:color w:val="12324A"/>
        </w:rPr>
        <w:t xml:space="preserve">Providência recomendada. </w:t>
      </w:r>
      <w:r>
        <w:rPr>
          <w:b w:val="0"/>
          <w:i w:val="0"/>
        </w:rPr>
        <w:t>Preencher a minuta com o objeto, a vigência (12 meses, prorrogável), o critério de reajuste/repactuação (ver ed-03), as medidas do art. 121, § 3º (ver plan-05), a garantia (ver ed-08) e o enquadramento como dedicação exclusiva. Remover instruções de modelo e cláusulas inaplicáveis (escopo, cooperativas), corrigir numeração e remissões.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itens 5.1, 10.3, 10.4, 12.4, 17.6, 17.10, 18.5, 20.3.4 e TR, itens 11.16, 12.5.1, 12.7 e 23 (diversas págs.)</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contradições e resquícios de modelos de outros objetos: (1) mora da Administração: o edital (18.5) e a minuta aplicam a Selic limitada a 12% a.a., e o TR (11.16) aplica o IPCA; (2) elemento de despesa: o edital (5.1) indica 3.3.90.34, e o TR (13) indica 339039; (3) cooperativas: vedadas (8.8; TR 12.3), mas o edital traz regras de cooperativa (17.10, 10.4 e 10.4.1, que tratam de contribuição previdenciária típica desse modelo) e o Anexo XI prevê cooperativa; (4) habilitação: o TR (12.5.1) prevê habilitação de OSC/CEBAS, que o edital não prevê; (5) linguagem de bens: "entrega do(s) bem(ns)", "indicação da marca dos produtos" (12.4, "h"), "substituição dos materiais" (17.6), "treinamento periódico dos porteiros" (TR 23); (6) remissões erradas: "item 6 do TR" (obrigações), "item 16" (TR 24); (7) garantia: dispensada (16.1), mas citada na minuta e em 20.11; (8) numeração PNCP divergente (edital: "469/2026"; sistema: 000445/2026); (9) anexos com "Pregão ___/2025" e "Edital do Pregão nº ___/2025", em certame de 2026; (10) validade da proposta: 60 dias contados da "realização da licitação" (7.3) e da entrega ao pregoeiro (Anexo II, 2.1); (11) o TR classifica o posto como "atividade meio" e "gestão de pessoal para áreas administrativa e operacional", enquanto o objeto é pedagógico.</w:t>
      </w:r>
    </w:p>
    <w:p>
      <w:pPr>
        <w:spacing w:before="0" w:after="120" w:line="360" w:lineRule="auto"/>
        <w:ind w:firstLine="709"/>
        <w:jc w:val="both"/>
      </w:pPr>
      <w:r>
        <w:rPr>
          <w:b w:val="0"/>
          <w:i w:val="0"/>
        </w:rPr>
        <w:t>O documento dispõe: “Caso haja atraso por parte da contratante no pagamento, os valores devidos serão” (Edital, itens 5.1, 10.3, 10.4, 12.4, 17.6, 17.10, 18.5, 20.3.4 e TR, itens 11.16, 12.5.1, 12.7 e 23 (diversas págs.)).</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regras claras de convocação, julgamento, habilitação, pagamento e penalidades, e o art. 18, IX, exige motivação circunstanciada das condições do edital. Contradições geram dúvida sobre como competir e executar, e o edital prevalece sobre os anexos (22.4) apenas em caso de divergência, o que não elimina a incerteza.</w:t>
      </w:r>
    </w:p>
    <w:p>
      <w:pPr>
        <w:spacing w:before="0" w:after="120" w:line="360" w:lineRule="auto"/>
        <w:ind w:firstLine="709"/>
        <w:jc w:val="both"/>
      </w:pPr>
      <w:r>
        <w:rPr>
          <w:b/>
          <w:i w:val="0"/>
          <w:color w:val="C9781E"/>
        </w:rPr>
        <w:t xml:space="preserve">Risco de manutenção. </w:t>
      </w:r>
      <w:r>
        <w:rPr>
          <w:b w:val="0"/>
          <w:i w:val="0"/>
        </w:rPr>
        <w:t>Impugnações e recursos, nulidade de atos e disputas na execução (por exemplo, índice de mora). Os esclarecimentos vinculam os participantes e a Administração.</w:t>
      </w:r>
    </w:p>
    <w:p>
      <w:pPr>
        <w:spacing w:before="0" w:after="120" w:line="360" w:lineRule="auto"/>
        <w:ind w:firstLine="709"/>
        <w:jc w:val="both"/>
      </w:pPr>
      <w:r>
        <w:rPr>
          <w:b/>
          <w:i w:val="0"/>
          <w:color w:val="12324A"/>
        </w:rPr>
        <w:t xml:space="preserve">Providência recomendada. </w:t>
      </w:r>
      <w:r>
        <w:rPr>
          <w:b w:val="0"/>
          <w:i w:val="0"/>
        </w:rPr>
        <w:t>Revisar edital, TR e minuta em conjunto: uniformizar o índice de mora, o elemento de despesa e a validade das propostas; remover dispositivos de cooperativa, OSC, bens, marcas e porteiros; corrigir remissões e numeração; esclarecer a divergência de numeração no PNCP. Se necessário, publicar errata e, havendo impacto nas propostas, reabrir o prazo.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Administração Pública não pode descumprir as normas legais, tampouco as condições editalícias, tendo em vista o princípio da vinculação ao instrumento convocatório Decisões de 2024–2025 que aplicaram o enunciado: Processo 040/104135/2025 (Voto 530/2025, Thiago Kwiatkowski Ribeiro, sessão de 19/11/2025).</w:t>
      </w:r>
      <w:r>
        <w:rPr>
          <w:b w:val="0"/>
          <w:i w:val="0"/>
          <w:sz w:val="20"/>
        </w:rPr>
        <w:t xml:space="preserve"> (TCM-RJ, Voto 530/2025 · Proc. 040/104135/2025 · Enunciado 165)</w:t>
      </w:r>
      <w:r>
        <w:rPr>
          <w:b w:val="0"/>
          <w:i w:val="0"/>
          <w:sz w:val="20"/>
        </w:rPr>
        <w:t xml:space="preserve"> </w:t>
      </w:r>
      <w:hyperlink r:id="rId2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3.13 Composição do orçamento estimado não divulgada; pesquisa de preços sem demonstração no documento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item 15 (pág. 77); Edital, item 12.12 (pág. 18)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valor unitário de R$ 7.845,84 por posto/mês é apresentado sem a planilha analítica (salários, encargos, benefícios, insumos, tributos e lucro). O TR (item 14) diz que o orçamento considera o salário base da CCT, encargos e benefícios e "cotações de mercado para os uniformes", e o item 15 afirma que o preço foi obtido em "pesquisa de preço" da Subsecretaria de Planejamento, mas não há cotações, memória nem metodologia. A análise de preços do sistema não teve amostra suficiente (1 item sem amostra) e nada se conclui sobre sobrepreço. O item 12.12 do edital remete a "salários estimados neste Edital", que o edital não divulga.</w:t>
      </w:r>
    </w:p>
    <w:p>
      <w:pPr>
        <w:spacing w:before="0" w:after="120" w:line="360" w:lineRule="auto"/>
        <w:ind w:firstLine="709"/>
        <w:jc w:val="both"/>
      </w:pPr>
      <w:r>
        <w:rPr>
          <w:b w:val="0"/>
          <w:i w:val="0"/>
        </w:rPr>
        <w:t>O documento dispõe: “foi estimado através de pesquisa de preço realizada pela” (TR, item 15 (pág. 77); Edital, item 12.12 (pág. 18)).</w:t>
      </w:r>
    </w:p>
    <w:p>
      <w:pPr>
        <w:spacing w:before="0" w:after="80" w:line="360" w:lineRule="auto"/>
        <w:ind w:firstLine="709"/>
        <w:jc w:val="both"/>
      </w:pPr>
      <w:r>
        <w:rPr>
          <w:b/>
          <w:i w:val="0"/>
          <w:color w:val="12324A"/>
        </w:rPr>
        <w:t xml:space="preserve">Dispositivo aplicável. </w:t>
      </w:r>
      <w:r>
        <w:rPr>
          <w:b w:val="0"/>
          <w:i w:val="0"/>
        </w:rPr>
        <w:t>A matéria é disciplinada pelo art. 23 e pelo art. 18, inciso IV, da Lei 14.133/2021, que assim dispõem:</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valor estimado deve ser compatível com os preços de mercado e vir acompanhado das composições utilizadas na sua formação. Sem elas, não é possível aferir a compatibilidade do preço, nem aplicar a cláusula de salário mínimo do orçamento (12.12). Como a documentação não permite concluir se há ou não irregularidade, trata-se de ponto a esclarecer, e não de sobrepreço confirmado.</w:t>
      </w:r>
    </w:p>
    <w:p>
      <w:pPr>
        <w:spacing w:before="0" w:after="120" w:line="360" w:lineRule="auto"/>
        <w:ind w:firstLine="709"/>
        <w:jc w:val="both"/>
      </w:pPr>
      <w:r>
        <w:rPr>
          <w:b/>
          <w:i w:val="0"/>
          <w:color w:val="C9781E"/>
        </w:rPr>
        <w:t xml:space="preserve">Risco de manutenção. </w:t>
      </w:r>
      <w:r>
        <w:rPr>
          <w:b w:val="0"/>
          <w:i w:val="0"/>
        </w:rPr>
        <w:t>Impossibilidade de controle do preço (R$ 40,9 milhões), de análise de exequibilidade e de aplicação do critério de aceitabilidade; possível impugnação por falta de transparência.</w:t>
      </w:r>
    </w:p>
    <w:p>
      <w:pPr>
        <w:spacing w:before="0" w:after="120" w:line="360" w:lineRule="auto"/>
        <w:ind w:firstLine="709"/>
        <w:jc w:val="both"/>
      </w:pPr>
      <w:r>
        <w:rPr>
          <w:b/>
          <w:i w:val="0"/>
          <w:color w:val="12324A"/>
        </w:rPr>
        <w:t xml:space="preserve">Providência recomendada. </w:t>
      </w:r>
      <w:r>
        <w:rPr>
          <w:b w:val="0"/>
          <w:i w:val="0"/>
        </w:rPr>
        <w:t>Juntar ao processo e divulgar a planilha analítica e a pesquisa de preços (fontes e métodos). O orçamento deverá ser refeito com a convenção correta (plan-02). Se houver dúvida sobre o orçamento, pedir esclarecimento ao órgão (art. 164).</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Garantia de proposta e garantia contratual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16.1 e 16.2.1 (pág. 30); Minuta, Cláusula Décima, XIV, e Cláusula Décima Sétima, § 4º (págs. 118 e 125)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garantia de proposta é de 1% do valor estimado (R$ 409.552,85), no limite do art. 58, § 1º. Não se exige garantia contratual (16.1). Contudo, o edital não detalha a forma de comprovação no pregão eletrônico (momento, modalidades e prazo de devolução). A minuta e o edital (20.11) mantêm cláusulas que pressupõem garantia contratual ("manter hígidas as garantias", multa "descontada do valor da garantia", "devolução da garantia").</w:t>
      </w:r>
    </w:p>
    <w:p>
      <w:pPr>
        <w:spacing w:before="0" w:after="120" w:line="360" w:lineRule="auto"/>
        <w:ind w:firstLine="709"/>
        <w:jc w:val="both"/>
      </w:pPr>
      <w:r>
        <w:rPr>
          <w:b w:val="0"/>
          <w:i w:val="0"/>
        </w:rPr>
        <w:t>O documento dispõe: “como requisito de pré-habilitação, em valor correspondente a 1% (um por cento) do valor estimado” (Edital, itens 16.1 e 16.2.1 (pág. 30); Minuta, Cláusula Décima, XIV, e Cláusula Décima Sétima, § 4º (págs. 118 e 125)).</w:t>
      </w:r>
    </w:p>
    <w:p>
      <w:pPr>
        <w:spacing w:before="0" w:after="80" w:line="360" w:lineRule="auto"/>
        <w:ind w:firstLine="709"/>
        <w:jc w:val="both"/>
      </w:pPr>
      <w:r>
        <w:rPr>
          <w:b/>
          <w:i w:val="0"/>
          <w:color w:val="12324A"/>
        </w:rPr>
        <w:t xml:space="preserve">Dispositivo aplicável. </w:t>
      </w:r>
      <w:r>
        <w:rPr>
          <w:b w:val="0"/>
          <w:i w:val="0"/>
        </w:rPr>
        <w:t>A matéria é disciplinada pelo art. 58, § 1º e pelo art. 98, da Lei 14.133/2021, que assim dispõem:</w:t>
      </w:r>
    </w:p>
    <w:p>
      <w:pPr>
        <w:spacing w:before="80" w:after="200" w:line="240" w:lineRule="auto"/>
        <w:ind w:firstLine="0" w:left="2268"/>
        <w:jc w:val="both"/>
      </w:pPr>
      <w:r>
        <w:rPr>
          <w:b w:val="0"/>
          <w:i w:val="0"/>
          <w:sz w:val="20"/>
        </w:rPr>
        <w:t>A garantia de proposta não poderá ser superior a 1% (um por cento) do valor estimado para a contratação.</w:t>
      </w:r>
      <w:r>
        <w:rPr>
          <w:b w:val="0"/>
          <w:i w:val="0"/>
          <w:sz w:val="20"/>
        </w:rPr>
        <w:t xml:space="preserve"> (BRASIL, 2021, art. 58, § 1º)</w:t>
      </w:r>
    </w:p>
    <w:p>
      <w:pPr>
        <w:spacing w:before="80" w:after="200" w:line="240" w:lineRule="auto"/>
        <w:ind w:firstLine="0" w:left="2268"/>
        <w:jc w:val="both"/>
      </w:pPr>
      <w:r>
        <w:rPr>
          <w:b w:val="0"/>
          <w:i w:val="0"/>
          <w:sz w:val="20"/>
        </w:rPr>
        <w:t>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r>
        <w:rPr>
          <w:b w:val="0"/>
          <w:i w:val="0"/>
          <w:sz w:val="20"/>
        </w:rPr>
        <w:t xml:space="preserve"> (BRASIL, 2021, art. 98)</w:t>
      </w:r>
    </w:p>
    <w:p>
      <w:pPr>
        <w:spacing w:before="0" w:after="120" w:line="360" w:lineRule="auto"/>
        <w:ind w:firstLine="709"/>
        <w:jc w:val="both"/>
      </w:pPr>
      <w:r>
        <w:rPr>
          <w:b/>
          <w:i w:val="0"/>
          <w:color w:val="12324A"/>
        </w:rPr>
        <w:t xml:space="preserve">Análise. </w:t>
      </w:r>
      <w:r>
        <w:rPr>
          <w:b w:val="0"/>
          <w:i w:val="0"/>
        </w:rPr>
        <w:t>O limite legal foi respeitado. A omissão sobre modalidades, forma de apresentação e devolução, e a contradição com a minuta, geram insegurança e potencial restrição, dado o valor de R$ 409 mil.</w:t>
      </w:r>
    </w:p>
    <w:p>
      <w:pPr>
        <w:spacing w:before="0" w:after="120" w:line="360" w:lineRule="auto"/>
        <w:ind w:firstLine="709"/>
        <w:jc w:val="both"/>
      </w:pPr>
      <w:r>
        <w:rPr>
          <w:b/>
          <w:i w:val="0"/>
          <w:color w:val="3D8FA6"/>
        </w:rPr>
        <w:t xml:space="preserve">Risco de manutenção. </w:t>
      </w:r>
      <w:r>
        <w:rPr>
          <w:b w:val="0"/>
          <w:i w:val="0"/>
        </w:rPr>
        <w:t>Inabilitação ou impugnações por falta de regras operacionais da garantia de proposta. Contradição na minuta sobre garantia que não existe.</w:t>
      </w:r>
    </w:p>
    <w:p>
      <w:pPr>
        <w:spacing w:before="0" w:after="120" w:line="360" w:lineRule="auto"/>
        <w:ind w:firstLine="709"/>
        <w:jc w:val="both"/>
      </w:pPr>
      <w:r>
        <w:rPr>
          <w:b/>
          <w:i w:val="0"/>
          <w:color w:val="12324A"/>
        </w:rPr>
        <w:t xml:space="preserve">Providência recomendada. </w:t>
      </w:r>
      <w:r>
        <w:rPr>
          <w:b w:val="0"/>
          <w:i w:val="0"/>
        </w:rPr>
        <w:t>Detalhar no edital as modalidades aceitas (art. 96, § 1º), o momento e a forma de comprovação no sistema, e a devolução após a homologação. Excluir da minuta e do item 20.11 as referências à garantia contratual, ou reconsiderar a dispensa dela para um contrato de R$ 40,9 milhões em dedicação exclusiva (ver plan-05).</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Vigência e prorrogação de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Edital, itens 7.1 e 7.2.1 (pág. 5); TR, item B (pág. 51) e item 24 (pág. 89)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vigência inicial é de 12 meses, com previsão de prorrogação sucessiva até 10 anos. O TR condiciona a prorrogação à vantajosidade comprovada por pesquisa de mercado. Esse condicionamento não está no edital nem na minuta, que apenas citam os arts. 107 e 106, § 2º. O TR exige o fornecimento inicial de 2 conjuntos de uniforme (item 6.4), custo de natureza inicial cuja renovação na prorrogação não é tratada.</w:t>
      </w:r>
    </w:p>
    <w:p>
      <w:pPr>
        <w:spacing w:before="0" w:after="120" w:line="360" w:lineRule="auto"/>
        <w:ind w:firstLine="709"/>
        <w:jc w:val="both"/>
      </w:pPr>
      <w:r>
        <w:rPr>
          <w:b w:val="0"/>
          <w:i w:val="0"/>
        </w:rPr>
        <w:t>O documento dispõe: “No caso de serviços contínuos, o contrato poderá ser prorrogado na forma dos arts. 107” (Edital, itens 7.1 e 7.2.1 (pág. 5); TR, item B (pág. 51) e item 24 (pág. 89)).</w:t>
      </w:r>
    </w:p>
    <w:p>
      <w:pPr>
        <w:spacing w:before="0" w:after="80" w:line="360" w:lineRule="auto"/>
        <w:ind w:firstLine="709"/>
        <w:jc w:val="both"/>
      </w:pPr>
      <w:r>
        <w:rPr>
          <w:b/>
          <w:i w:val="0"/>
          <w:color w:val="12324A"/>
        </w:rPr>
        <w:t xml:space="preserve">Dispositivo aplicável. </w:t>
      </w:r>
      <w:r>
        <w:rPr>
          <w:b w:val="0"/>
          <w:i w:val="0"/>
        </w:rPr>
        <w:t>A matéria é disciplinada pelo art. 106 e pelo art. 107, da Lei 14.133/2021, que assim dispõem:</w:t>
      </w:r>
    </w:p>
    <w:p>
      <w:pPr>
        <w:spacing w:before="80" w:after="200" w:line="240" w:lineRule="auto"/>
        <w:ind w:firstLine="0" w:left="2268"/>
        <w:jc w:val="both"/>
      </w:pPr>
      <w:r>
        <w:rPr>
          <w:b w:val="0"/>
          <w:i w:val="0"/>
          <w:sz w:val="20"/>
        </w:rPr>
        <w:t>A Administração poderá celebrar contratos com prazo de até 5 (cinco) anos nas hipóteses de serviços e fornecimentos contínuos, observadas as seguintes diretrizes: […]</w:t>
      </w:r>
      <w:r>
        <w:rPr>
          <w:b w:val="0"/>
          <w:i w:val="0"/>
          <w:sz w:val="20"/>
        </w:rPr>
        <w:t xml:space="preserve"> (BRASIL, 2021, art. 106)</w:t>
      </w:r>
    </w:p>
    <w:p>
      <w:pPr>
        <w:spacing w:before="80" w:after="200" w:line="240" w:lineRule="auto"/>
        <w:ind w:firstLine="0" w:left="2268"/>
        <w:jc w:val="both"/>
      </w:pPr>
      <w:r>
        <w:rPr>
          <w:b w:val="0"/>
          <w:i w:val="0"/>
          <w:sz w:val="20"/>
        </w:rPr>
        <w:t>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r>
        <w:rPr>
          <w:b w:val="0"/>
          <w:i w:val="0"/>
          <w:sz w:val="20"/>
        </w:rPr>
        <w:t xml:space="preserve"> (BRASIL, 2021, art. 107)</w:t>
      </w:r>
    </w:p>
    <w:p>
      <w:pPr>
        <w:spacing w:before="0" w:after="120" w:line="360" w:lineRule="auto"/>
        <w:ind w:firstLine="709"/>
        <w:jc w:val="both"/>
      </w:pPr>
      <w:r>
        <w:rPr>
          <w:b/>
          <w:i w:val="0"/>
          <w:color w:val="12324A"/>
        </w:rPr>
        <w:t xml:space="preserve">Análise. </w:t>
      </w:r>
      <w:r>
        <w:rPr>
          <w:b w:val="0"/>
          <w:i w:val="0"/>
        </w:rPr>
        <w:t>O art. 107 condiciona a prorrogação à previsão em edital e ao atesto de que as condições e os preços permanecem vantajosos. Custos não renováveis já pagos ou amortizados no primeiro ano devem ser excluídos na prorrogação (IN SEGES/MP 5/2017, Anexo IX, como parâmetro federal).</w:t>
      </w:r>
    </w:p>
    <w:p>
      <w:pPr>
        <w:spacing w:before="0" w:after="120" w:line="360" w:lineRule="auto"/>
        <w:ind w:firstLine="709"/>
        <w:jc w:val="both"/>
      </w:pPr>
      <w:r>
        <w:rPr>
          <w:b/>
          <w:i w:val="0"/>
          <w:color w:val="3D8FA6"/>
        </w:rPr>
        <w:t xml:space="preserve">Risco de manutenção. </w:t>
      </w:r>
      <w:r>
        <w:rPr>
          <w:b w:val="0"/>
          <w:i w:val="0"/>
        </w:rPr>
        <w:t>Pagamento em duplicidade por itens de implantação e fragilidade jurídica da prorrogação.</w:t>
      </w:r>
    </w:p>
    <w:p>
      <w:pPr>
        <w:spacing w:before="0" w:after="120" w:line="360" w:lineRule="auto"/>
        <w:ind w:firstLine="709"/>
        <w:jc w:val="both"/>
      </w:pPr>
      <w:r>
        <w:rPr>
          <w:b/>
          <w:i w:val="0"/>
          <w:color w:val="12324A"/>
        </w:rPr>
        <w:t xml:space="preserve">Providência recomendada. </w:t>
      </w:r>
      <w:r>
        <w:rPr>
          <w:b w:val="0"/>
          <w:i w:val="0"/>
        </w:rPr>
        <w:t>Reproduzir no edital e na minuta o condicionamento do art. 107 (atesto de vantajosidade, com possibilidade de negociação ou extinção sem ônus). Prever que custos de implantação (kit inicial de uniformes, equipamentos) serão excluídos do preço na prorrogação.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Exigência de via física original ou autenticada e de firma reconhecida em pregão eletrônico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item 12.14 (pág. 18) e item 17.3 (pág. 31)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vencedora deve apresentar "a via física original ou autenticada" da documentação já enviada por meio do sistema, no prazo de 2 dias úteis (12.14). Na assinatura do contrato, a procuração deve ter firma reconhecida (17.3). Isso contradiz os itens 10.2.2 e 12.10 "d", que preveem envio em formato digital.</w:t>
      </w:r>
    </w:p>
    <w:p>
      <w:pPr>
        <w:spacing w:before="0" w:after="120" w:line="360" w:lineRule="auto"/>
        <w:ind w:firstLine="709"/>
        <w:jc w:val="both"/>
      </w:pPr>
      <w:r>
        <w:rPr>
          <w:b w:val="0"/>
          <w:i w:val="0"/>
        </w:rPr>
        <w:t>O documento dispõe: “a via física original ou autenticada, no prazo de 2 (dois) dias úteis.” (Edital, item 12.14 (pág. 18) e item 17.3 (pág. 31)).</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O processo licitatório deve ser, preferencialmente, eletrônico e digital. A exigência de via física e autenticação cria barreira desnecessária, sobretudo para licitantes de outros Estados, e risco de inabilitação formal indevida.</w:t>
      </w:r>
    </w:p>
    <w:p>
      <w:pPr>
        <w:spacing w:before="0" w:after="120" w:line="360" w:lineRule="auto"/>
        <w:ind w:firstLine="709"/>
        <w:jc w:val="both"/>
      </w:pPr>
      <w:r>
        <w:rPr>
          <w:b/>
          <w:i w:val="0"/>
          <w:color w:val="3D8FA6"/>
        </w:rPr>
        <w:t xml:space="preserve">Risco de manutenção. </w:t>
      </w:r>
      <w:r>
        <w:rPr>
          <w:b w:val="0"/>
          <w:i w:val="0"/>
        </w:rPr>
        <w:t>Inabilitação por formalismo e restrição de participação de licitantes de outras localidades.</w:t>
      </w:r>
    </w:p>
    <w:p>
      <w:pPr>
        <w:spacing w:before="0" w:after="120" w:line="360" w:lineRule="auto"/>
        <w:ind w:firstLine="709"/>
        <w:jc w:val="both"/>
      </w:pPr>
      <w:r>
        <w:rPr>
          <w:b/>
          <w:i w:val="0"/>
          <w:color w:val="12324A"/>
        </w:rPr>
        <w:t xml:space="preserve">Providência recomendada. </w:t>
      </w:r>
      <w:r>
        <w:rPr>
          <w:b w:val="0"/>
          <w:i w:val="0"/>
        </w:rPr>
        <w:t>Admitir cópia digital, com verificação de autenticidade por meios eletrônicos, e exigir o original ou a autenticação apenas em caso de dúvida fundada, de forma motivada. Admitir procuração com assinatura eletrônica.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3.17 Divergência de numeração entre o edital e o PNCP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Edital, página inicial (pág. 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indica "Contratação PNCP: 469/2026", e o número de controle PNCP é 29131075000193-1-000445/2026.</w:t>
      </w:r>
    </w:p>
    <w:p>
      <w:pPr>
        <w:spacing w:before="0" w:after="120" w:line="360" w:lineRule="auto"/>
        <w:ind w:firstLine="709"/>
        <w:jc w:val="both"/>
      </w:pPr>
      <w:r>
        <w:rPr>
          <w:b w:val="0"/>
          <w:i w:val="0"/>
        </w:rPr>
        <w:t>O documento dispõe: “Pregão Eletrônico n.º 54/2026 – Contratação PNCP: 469/2026” (Edital, página inicial (pág. 1)).</w:t>
      </w:r>
    </w:p>
    <w:p>
      <w:pPr>
        <w:spacing w:before="0" w:after="80" w:line="360" w:lineRule="auto"/>
        <w:ind w:firstLine="709"/>
        <w:jc w:val="both"/>
      </w:pPr>
      <w:r>
        <w:rPr>
          <w:b/>
          <w:i w:val="0"/>
          <w:color w:val="12324A"/>
        </w:rPr>
        <w:t xml:space="preserve">Dispositivo aplicável. </w:t>
      </w:r>
      <w:r>
        <w:rPr>
          <w:b w:val="0"/>
          <w:i w:val="0"/>
        </w:rPr>
        <w:t>A matéria é disciplinada pelo art. 54, da Lei 14.133/2021, que assim dispõe:</w:t>
      </w:r>
    </w:p>
    <w:p>
      <w:pPr>
        <w:spacing w:before="80" w:after="200" w:line="240" w:lineRule="auto"/>
        <w:ind w:firstLine="0" w:left="2268"/>
        <w:jc w:val="both"/>
      </w:pPr>
      <w:r>
        <w:rPr>
          <w:b w:val="0"/>
          <w:i w:val="0"/>
          <w:sz w:val="20"/>
        </w:rPr>
        <w:t>A publicidade do edital de licitação será realizada mediante divulgação e manutenção do inteiro teor do ato convocatório e de seus anexos no Portal Nacional de Contratações Públicas (PNCP).</w:t>
      </w:r>
      <w:r>
        <w:rPr>
          <w:b w:val="0"/>
          <w:i w:val="0"/>
          <w:sz w:val="20"/>
        </w:rPr>
        <w:t xml:space="preserve"> (BRASIL, 2021, art. 54)</w:t>
      </w:r>
    </w:p>
    <w:p>
      <w:pPr>
        <w:spacing w:before="0" w:after="120" w:line="360" w:lineRule="auto"/>
        <w:ind w:firstLine="709"/>
        <w:jc w:val="both"/>
      </w:pPr>
      <w:r>
        <w:rPr>
          <w:b/>
          <w:i w:val="0"/>
          <w:color w:val="12324A"/>
        </w:rPr>
        <w:t xml:space="preserve">Análise. </w:t>
      </w:r>
      <w:r>
        <w:rPr>
          <w:b w:val="0"/>
          <w:i w:val="0"/>
        </w:rPr>
        <w:t>A publicidade do edital no PNCP exige identificação inequívoca da contratação. A divergência dificulta a localização do edital pelos licitantes e pelos órgãos de controle.</w:t>
      </w:r>
    </w:p>
    <w:p>
      <w:pPr>
        <w:spacing w:before="0" w:after="120" w:line="360" w:lineRule="auto"/>
        <w:ind w:firstLine="709"/>
        <w:jc w:val="both"/>
      </w:pPr>
      <w:r>
        <w:rPr>
          <w:b/>
          <w:i w:val="0"/>
          <w:color w:val="3D8FA6"/>
        </w:rPr>
        <w:t xml:space="preserve">Risco de manutenção. </w:t>
      </w:r>
      <w:r>
        <w:rPr>
          <w:b w:val="0"/>
          <w:i w:val="0"/>
        </w:rPr>
        <w:t>Confusão sobre qual publicação é a oficial e questionamento da regularidade da divulgação.</w:t>
      </w:r>
    </w:p>
    <w:p>
      <w:pPr>
        <w:spacing w:before="0" w:after="120" w:line="360" w:lineRule="auto"/>
        <w:ind w:firstLine="709"/>
        <w:jc w:val="both"/>
      </w:pPr>
      <w:r>
        <w:rPr>
          <w:b/>
          <w:i w:val="0"/>
          <w:color w:val="12324A"/>
        </w:rPr>
        <w:t xml:space="preserve">Providência recomendada. </w:t>
      </w:r>
      <w:r>
        <w:rPr>
          <w:b w:val="0"/>
          <w:i w:val="0"/>
        </w:rPr>
        <w:t>Verificar qual é a numeração correta e corrigir o edital por errata, ou esclarecer a divergência no processo.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09/10/2026;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1 dos 1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Serviço Educacional - Básico / Fundamental Auxiliar de desenvolvimento infantil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R$ 40.955.284,80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(2)</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declaração está listada entre os documentos de habilitação econômico-financeira. Como o art. 63, § 1º, prevê desclassificação da proposta, convém indicar que será apresentada junto à proposta no sistema, conforme o item 4.8 da IN SEGES/MP 5/2017 (parâmetro federal), e não apenas na fase de habilitação. (art. 63, § 1º, da Lei 14.133/2021).</w:t>
      </w:r>
    </w:p>
    <w:p>
      <w:pPr>
        <w:spacing w:before="0" w:after="120" w:line="360" w:lineRule="auto"/>
        <w:ind w:left="425" w:hanging="425"/>
        <w:jc w:val="both"/>
      </w:pPr>
      <w:r>
        <w:rPr>
          <w:b/>
          <w:i w:val="0"/>
          <w:color w:val="1F7A8C"/>
        </w:rPr>
        <w:t xml:space="preserve">b) </w:t>
      </w:r>
      <w:r>
        <w:rPr>
          <w:b/>
          <w:i w:val="0"/>
        </w:rPr>
        <w:t xml:space="preserve">Conteúdo mínimo do edital: </w:t>
      </w:r>
      <w:r>
        <w:rPr>
          <w:b w:val="0"/>
          <w:i w:val="0"/>
        </w:rPr>
        <w:t>A trilha automática de "exigência de sede" foi descartada. Convém, porém, conferir se a exigência de certidão de IPTU apenas para licitantes domiciliados em Maricá (C.3.c.1) é compatível com a regularidade fiscal exigida de todos os licitantes. (art. 25, da Lei 14.133/2021).</w:t>
      </w:r>
    </w:p>
    <w:p>
      <w:pPr>
        <w:spacing w:before="0" w:after="120" w:line="360" w:lineRule="auto"/>
        <w:ind w:left="425" w:hanging="425"/>
        <w:jc w:val="both"/>
      </w:pPr>
      <w:r>
        <w:rPr>
          <w:b/>
          <w:i w:val="0"/>
          <w:color w:val="1F7A8C"/>
        </w:rPr>
        <w:t xml:space="preserve">c) </w:t>
      </w:r>
      <w:r>
        <w:rPr>
          <w:b/>
          <w:i w:val="0"/>
        </w:rPr>
        <w:t xml:space="preserve">Prazo mínimo para apresentação de propostas: </w:t>
      </w:r>
      <w:r>
        <w:rPr>
          <w:b w:val="0"/>
          <w:i w:val="0"/>
        </w:rPr>
        <w:t>Como o prazo coincide exatamente com o mínimo, qualquer feriado ou ponto facultativo municipal em Maricá no período (não considerado pelo sistema) poderia torná-lo insuficiente; recomenda-se confirmar o calendário municipal. Se o objeto fosse tratado como serviço especial, o prazo mínimo seria maior (25 dias úteis, conforme a IN 73/2022, parâmetro federal). Em caso de retificação com impacto nas propostas, reabrir o prazo. O TCU (Ac. 2921/2026) entende que o prazo conta-se do primeiro dia útil após a divulgação no PNCP. (art. 55, da Lei 14.133/2021; art. 183, da Lei 14.133/2021; art. 183, § 1º, inciso I, da Lei 14.133/2021).</w:t>
      </w:r>
    </w:p>
    <w:p>
      <w:pPr>
        <w:spacing w:before="0" w:after="120" w:line="360" w:lineRule="auto"/>
        <w:ind w:left="425" w:hanging="425"/>
        <w:jc w:val="both"/>
      </w:pPr>
      <w:r>
        <w:rPr>
          <w:b/>
          <w:i w:val="0"/>
          <w:color w:val="1F7A8C"/>
        </w:rPr>
        <w:t xml:space="preserve">d) </w:t>
      </w:r>
      <w:r>
        <w:rPr>
          <w:b/>
          <w:i w:val="0"/>
        </w:rPr>
        <w:t xml:space="preserve">Participação em consórcio: </w:t>
      </w:r>
      <w:r>
        <w:rPr>
          <w:b w:val="0"/>
          <w:i w:val="0"/>
        </w:rPr>
        <w:t>A justificativa é genérica. Para um objeto de 435 postos e R$ 40,9 milhões, convém registrar no ETP a análise de mercado (existência de licitantes capazes de atender isoladamente) e reavaliar, junto com as exigências de qualificação (ed-06 e ed-07), se a vedação não restringe a competição. A trilha automática foi descartada. (art. 15, da Lei 14.133/2021).</w:t>
      </w:r>
    </w:p>
    <w:p>
      <w:pPr>
        <w:spacing w:before="0" w:after="120" w:line="360" w:lineRule="auto"/>
        <w:ind w:left="425" w:hanging="425"/>
        <w:jc w:val="both"/>
      </w:pPr>
      <w:r>
        <w:rPr>
          <w:b/>
          <w:i w:val="0"/>
          <w:color w:val="1F7A8C"/>
        </w:rPr>
        <w:t xml:space="preserve">e) </w:t>
      </w:r>
      <w:r>
        <w:rPr>
          <w:b/>
          <w:i w:val="0"/>
        </w:rPr>
        <w:t xml:space="preserve">Recursos administrativos: </w:t>
      </w:r>
      <w:r>
        <w:rPr>
          <w:b w:val="0"/>
          <w:i w:val="0"/>
        </w:rPr>
        <w:t>O item 14.1 não define o prazo mínimo da manifestação de intenção na sessão. Como parâmetro federal, a IN 73/2022 (art. 40) prevê, no mínimo, 10 minutos. A minuta, na Cláusula Décima Sétima, § 3º, remete a uma "Cláusula Décima Sexta, caput, alínea c" inexistente; revisar a remissão. (art. 165, inciso I, da Lei 14.133/2021; art. 165, § 1º, da Lei 14.133/2021).</w:t>
      </w:r>
    </w:p>
    <w:p>
      <w:pPr>
        <w:spacing w:before="0" w:after="120" w:line="360" w:lineRule="auto"/>
        <w:ind w:left="425" w:hanging="425"/>
        <w:jc w:val="both"/>
      </w:pPr>
      <w:r>
        <w:rPr>
          <w:b/>
          <w:i w:val="0"/>
          <w:color w:val="1F7A8C"/>
        </w:rPr>
        <w:t xml:space="preserve">f) </w:t>
      </w:r>
      <w:r>
        <w:rPr>
          <w:b/>
          <w:i w:val="0"/>
        </w:rPr>
        <w:t xml:space="preserve">Sanções e multas: </w:t>
      </w:r>
      <w:r>
        <w:rPr>
          <w:b w:val="0"/>
          <w:i w:val="0"/>
        </w:rPr>
        <w:t>A tabela da matriz de risco diz que "não executar as obrigações do item 6 do TR" é infração, mas o item 6 do TR trata de uniformes (as obrigações estão no item 20). O IMR do TR prevê multas de 5% e 10% do valor mensal, além de glosas, sem esclarecer a relação com a tabela do edital; convém evitar bis in idem. A regra do 20.4.2 (multa inferior a um quarto do máximo para ME/EPP e pessoa física) não tem base evidente na lei e deve ser reavaliada. (art. 156, da Lei 14.133/2021; art. 156, § 3º,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Recomenda-se que a Administração reveja o enquadramento sindical e a composição do orçamento estimado do posto (falha de gravidade alta), esclareça o critério de reajuste/repactuação e ajuste a qualificação técnica e econômico-financeira. Também deve harmonizar edital, TR e minuta e completar a minuta contratual. Como a sessão pública estava marcada para 27/10/2026 e a análise é de 30/10/2026, as providências dependem da fase em que o certame se encontra. Se não houver adjudicação ou homologação, indica-se retificar o edital e reabrir o prazo, ou anular e republicar. Se houver adjudicação ou homologação, indica-se avaliar a competição efetivamente havida, o prejuízo e a necessidade de saneamento ou anulação, e corrigir o contrato e as futuras repactuações. O parecer é opinativo: a decisão de corrigir ou manter cada ponto cabe ao órgão responsável. Deve-se juntar ao processo o ETP, a composição analítica do orçamento, a pesquisa de preços, o parecer jurídico (art. 53) e a prova de divulgação dos anexos, que não foram enviados.</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Enquadramento como dedicação exclusiva de mão de obra </w:t>
      </w:r>
      <w:r>
        <w:rPr>
          <w:b w:val="0"/>
          <w:i w:val="0"/>
          <w:color w:val="B23A48"/>
        </w:rPr>
        <w:t xml:space="preserve">(gravidade alta, item 3.1): </w:t>
      </w:r>
      <w:r>
        <w:rPr>
          <w:b w:val="0"/>
          <w:i w:val="0"/>
        </w:rPr>
        <w:t>Declarar expressamente no edital, no TR e na minuta o enquadramento como serviço contínuo com dedicação exclusiva de mão de obra. Revisar as atribuições do posto, eliminando as tarefas docentes ou pedagógicas, ou justificar tecnicamente, no ETP, por que o auxiliar não se sobrepõe às atribuições dos cargos efetivos da rede. Corrigir as incoerências do TR (menção a "porteiros", "gestão de pessoal para áreas administrativa e operacional").</w:t>
      </w:r>
    </w:p>
    <w:p>
      <w:pPr>
        <w:spacing w:before="0" w:after="80" w:line="360" w:lineRule="auto"/>
        <w:ind w:left="425" w:hanging="425"/>
        <w:jc w:val="both"/>
      </w:pPr>
      <w:r>
        <w:rPr>
          <w:b/>
          <w:i w:val="0"/>
          <w:color w:val="B23A48"/>
        </w:rPr>
        <w:t xml:space="preserve">2. </w:t>
      </w:r>
      <w:r>
        <w:rPr>
          <w:b/>
          <w:i w:val="0"/>
        </w:rPr>
        <w:t xml:space="preserve">Convenção coletiva da categoria correta </w:t>
      </w:r>
      <w:r>
        <w:rPr>
          <w:b w:val="0"/>
          <w:i w:val="0"/>
          <w:color w:val="B23A48"/>
        </w:rPr>
        <w:t xml:space="preserve">(gravidade alta, item 3.2): </w:t>
      </w:r>
      <w:r>
        <w:rPr>
          <w:b w:val="0"/>
          <w:i w:val="0"/>
        </w:rPr>
        <w:t>Identificar o enquadramento sindical correto pela CBO e pelas atribuições (confirmar no Mediador/MTE o sindicato da categoria na base territorial) e refazer o orçamento com piso, benefícios e encargos da convenção vigente na data do orçamento. Registrar no processo a justificativa do enquadramento. Manter a exigência de declaração de enquadramento sindical e de indicação da CCT na proposta, sem impor convenção específica aos licitantes. Se o certame estiver em curso, retificar e reabrir o prazo (art. 55, § 1º); se já tiver sido adjudicado, avaliar as consequências para o valor contratado.</w:t>
      </w:r>
    </w:p>
    <w:p>
      <w:pPr>
        <w:spacing w:before="0" w:after="80" w:line="360" w:lineRule="auto"/>
        <w:ind w:left="425" w:hanging="425"/>
        <w:jc w:val="both"/>
      </w:pPr>
      <w:r>
        <w:rPr>
          <w:b/>
          <w:i w:val="0"/>
          <w:color w:val="B23A48"/>
        </w:rPr>
        <w:t xml:space="preserve">3. </w:t>
      </w:r>
      <w:r>
        <w:rPr>
          <w:b/>
          <w:i w:val="0"/>
        </w:rPr>
        <w:t xml:space="preserve">Critério de reajuste em serviços contínuos </w:t>
      </w:r>
      <w:r>
        <w:rPr>
          <w:b w:val="0"/>
          <w:i w:val="0"/>
          <w:color w:val="B23A48"/>
        </w:rPr>
        <w:t xml:space="preserve">(gravidade alta, item 3.3): </w:t>
      </w:r>
      <w:r>
        <w:rPr>
          <w:b w:val="0"/>
          <w:i w:val="0"/>
        </w:rPr>
        <w:t>Reescrever o item 19 e a Cláusula Quinta: repactuação para os custos de mão de obra (data-base da convenção) e para os demais custos conforme o art. 135, I, com interregno mínimo de um ano. Reajuste por IPCA, se mantido, somente para insumos (uniformes, materiais) expressamente identificados. Remover as instruções de modelo.</w:t>
      </w:r>
    </w:p>
    <w:p>
      <w:pPr>
        <w:spacing w:before="0" w:after="80" w:line="360" w:lineRule="auto"/>
        <w:ind w:left="425" w:hanging="425"/>
        <w:jc w:val="both"/>
      </w:pPr>
      <w:r>
        <w:rPr>
          <w:b/>
          <w:i w:val="0"/>
          <w:color w:val="B23A48"/>
        </w:rPr>
        <w:t xml:space="preserve">4. </w:t>
      </w:r>
      <w:r>
        <w:rPr>
          <w:b/>
          <w:i w:val="0"/>
        </w:rPr>
        <w:t xml:space="preserve">Qualificação técnica proporcional </w:t>
      </w:r>
      <w:r>
        <w:rPr>
          <w:b w:val="0"/>
          <w:i w:val="0"/>
          <w:color w:val="B23A48"/>
        </w:rPr>
        <w:t xml:space="preserve">(gravidade alta, item 3.4): </w:t>
      </w:r>
      <w:r>
        <w:rPr>
          <w:b w:val="0"/>
          <w:i w:val="0"/>
        </w:rPr>
        <w:t>Definir com objetividade o que é "similar" (por exemplo, serviços contínuos com dedicação exclusiva e número mínimo de postos). Excluir do TR a exigência de experiência em ambiente educacional, ou justificá-la e harmonizá-la com o edital. Justificar tecnicamente, ou suprimir, as exigências de Técnico de Segurança, NR-01 e SESMT, limitando-as à fase de execução quando cabível. Confirmar que o prazo de 36 meses se ampara no § 5º do art. 67 e no ETP, admitindo a soma de atestados. Excluir a exigência de papel timbrado e carimbo e o limite pela atividade do contrato social, se não justificados.</w:t>
      </w:r>
    </w:p>
    <w:p>
      <w:pPr>
        <w:spacing w:before="0" w:after="80" w:line="360" w:lineRule="auto"/>
        <w:ind w:left="425" w:hanging="425"/>
        <w:jc w:val="both"/>
      </w:pPr>
      <w:r>
        <w:rPr>
          <w:b/>
          <w:i w:val="0"/>
          <w:color w:val="C9781E"/>
        </w:rPr>
        <w:t xml:space="preserve">5. </w:t>
      </w:r>
      <w:r>
        <w:rPr>
          <w:b/>
          <w:i w:val="0"/>
        </w:rPr>
        <w:t xml:space="preserve">Garantias do cumprimento das obrigações trabalhistas </w:t>
      </w:r>
      <w:r>
        <w:rPr>
          <w:b w:val="0"/>
          <w:i w:val="0"/>
          <w:color w:val="C9781E"/>
        </w:rPr>
        <w:t xml:space="preserve">(gravidade média, item 3.5): </w:t>
      </w:r>
      <w:r>
        <w:rPr>
          <w:b w:val="0"/>
          <w:i w:val="0"/>
        </w:rPr>
        <w:t>Definir no edital e na minuta a medida efetivamente adotada. Recomenda-se a conta-depósito vinculada bloqueada para movimentação (férias, 13º, rescisórias e encargos), com percentuais e rotina de liberação por evento comprovado. Alternativamente, exigir garantia contratual com cobertura trabalhista. Manter a comprovação mensal e o pagamento direto. O Caderno de Logística de conta vinculada serve como parâmetro federal, por analogia.</w:t>
      </w:r>
    </w:p>
    <w:p>
      <w:pPr>
        <w:spacing w:before="0" w:after="80" w:line="360" w:lineRule="auto"/>
        <w:ind w:left="425" w:hanging="425"/>
        <w:jc w:val="both"/>
      </w:pPr>
      <w:r>
        <w:rPr>
          <w:b/>
          <w:i w:val="0"/>
          <w:color w:val="C9781E"/>
        </w:rPr>
        <w:t xml:space="preserve">6. </w:t>
      </w:r>
      <w:r>
        <w:rPr>
          <w:b/>
          <w:i w:val="0"/>
        </w:rPr>
        <w:t xml:space="preserve">Conferência aritmética da planilha </w:t>
      </w:r>
      <w:r>
        <w:rPr>
          <w:b w:val="0"/>
          <w:i w:val="0"/>
          <w:color w:val="C9781E"/>
        </w:rPr>
        <w:t xml:space="preserve">(gravidade média, item 3.6): </w:t>
      </w:r>
      <w:r>
        <w:rPr>
          <w:b w:val="0"/>
          <w:i w:val="0"/>
        </w:rPr>
        <w:t>Juntar e divulgar a planilha analítica do orçamento estimado (Excel, com fórmulas) e a memória de cálculo dos encargos, para conferência. Corrigir o modelo da planilha, que fixa ISS em 5% e traz SAT 0,0000%, de modo que o licitante preencha conforme seu regime tributário.</w:t>
      </w:r>
    </w:p>
    <w:p>
      <w:pPr>
        <w:spacing w:before="0" w:after="80" w:line="360" w:lineRule="auto"/>
        <w:ind w:left="425" w:hanging="425"/>
        <w:jc w:val="both"/>
      </w:pPr>
      <w:r>
        <w:rPr>
          <w:b/>
          <w:i w:val="0"/>
          <w:color w:val="C9781E"/>
        </w:rPr>
        <w:t xml:space="preserve">7. </w:t>
      </w:r>
      <w:r>
        <w:rPr>
          <w:b/>
          <w:i w:val="0"/>
        </w:rPr>
        <w:t xml:space="preserve">Índice de reajuste com data-base no orçamento </w:t>
      </w:r>
      <w:r>
        <w:rPr>
          <w:b w:val="0"/>
          <w:i w:val="0"/>
          <w:color w:val="C9781E"/>
        </w:rPr>
        <w:t xml:space="preserve">(gravidade média, item 3.7): </w:t>
      </w:r>
      <w:r>
        <w:rPr>
          <w:b w:val="0"/>
          <w:i w:val="0"/>
        </w:rPr>
        <w:t>Uniformizar edital, TR e minuta: índice (IPCA) com data-base na data do orçamento estimado (27/07/2026), interregno mínimo de um ano, preenchendo a Cláusula Quinta. Corrigir ou excluir o 18.1.5 e completar o 18.1.3. A defasagem entre o orçamento (julho/2026) e a divulgação (outubro/2026) não é falha, desde que o reajuste fique vinculado à data do orçamento.</w:t>
      </w:r>
    </w:p>
    <w:p>
      <w:pPr>
        <w:spacing w:before="0" w:after="80" w:line="360" w:lineRule="auto"/>
        <w:ind w:left="425" w:hanging="425"/>
        <w:jc w:val="both"/>
      </w:pPr>
      <w:r>
        <w:rPr>
          <w:b/>
          <w:i w:val="0"/>
          <w:color w:val="C9781E"/>
        </w:rPr>
        <w:t xml:space="preserve">8. </w:t>
      </w:r>
      <w:r>
        <w:rPr>
          <w:b/>
          <w:i w:val="0"/>
        </w:rPr>
        <w:t xml:space="preserve">Qualificação econômico-financeira </w:t>
      </w:r>
      <w:r>
        <w:rPr>
          <w:b w:val="0"/>
          <w:i w:val="0"/>
          <w:color w:val="C9781E"/>
        </w:rPr>
        <w:t xml:space="preserve">(gravidade média, item 3.8): </w:t>
      </w:r>
      <w:r>
        <w:rPr>
          <w:b w:val="0"/>
          <w:i w:val="0"/>
        </w:rPr>
        <w:t>Justificar no processo cada índice e o CCL (cálculo sobre o valor anual de 12 meses), ou suprimir os que não forem necessários. Harmonizar edital e TR (ILC, IE) e corrigir a descrição do ISG e a numeração das alíneas.</w:t>
      </w:r>
    </w:p>
    <w:p>
      <w:pPr>
        <w:spacing w:before="0" w:after="80" w:line="360" w:lineRule="auto"/>
        <w:ind w:left="425" w:hanging="425"/>
        <w:jc w:val="both"/>
      </w:pPr>
      <w:r>
        <w:rPr>
          <w:b/>
          <w:i w:val="0"/>
          <w:color w:val="C9781E"/>
        </w:rPr>
        <w:t xml:space="preserve">9. </w:t>
      </w:r>
      <w:r>
        <w:rPr>
          <w:b/>
          <w:i w:val="0"/>
        </w:rPr>
        <w:t xml:space="preserve">Tratamento diferenciado a ME e EPP </w:t>
      </w:r>
      <w:r>
        <w:rPr>
          <w:b w:val="0"/>
          <w:i w:val="0"/>
          <w:color w:val="C9781E"/>
        </w:rPr>
        <w:t xml:space="preserve">(gravidade média, item 3.9): </w:t>
      </w:r>
      <w:r>
        <w:rPr>
          <w:b w:val="0"/>
          <w:i w:val="0"/>
        </w:rPr>
        <w:t>Harmonizar: manter o edital como está, aplicando o empate ficto e a regularidade tardia, e corrigir o TR para declarar apenas a não aplicação da exclusividade e da cota (arts. 47 e 48), com a motivação do valor e da indivisibilidade.</w:t>
      </w:r>
    </w:p>
    <w:p>
      <w:pPr>
        <w:spacing w:before="0" w:after="80" w:line="360" w:lineRule="auto"/>
        <w:ind w:left="425" w:hanging="425"/>
        <w:jc w:val="both"/>
      </w:pPr>
      <w:r>
        <w:rPr>
          <w:b/>
          <w:i w:val="0"/>
          <w:color w:val="C9781E"/>
        </w:rPr>
        <w:t xml:space="preserve">10. </w:t>
      </w:r>
      <w:r>
        <w:rPr>
          <w:b/>
          <w:i w:val="0"/>
        </w:rPr>
        <w:t xml:space="preserve">Impugnação e esclarecimentos </w:t>
      </w:r>
      <w:r>
        <w:rPr>
          <w:b w:val="0"/>
          <w:i w:val="0"/>
          <w:color w:val="C9781E"/>
        </w:rPr>
        <w:t xml:space="preserve">(gravidade média, item 3.10): </w:t>
      </w:r>
      <w:r>
        <w:rPr>
          <w:b w:val="0"/>
          <w:i w:val="0"/>
        </w:rPr>
        <w:t>Reproduzir o parágrafo único do art. 164 no 1.8.1, prever a divulgação das respostas no PNCP e no sítio oficial, e substituir o efeito suspensivo automático por suspensão motivada pelo pregoeiro. Indicar canal institucional (sistema ou e-mail oficial).</w:t>
      </w:r>
    </w:p>
    <w:p>
      <w:pPr>
        <w:spacing w:before="0" w:after="80" w:line="360" w:lineRule="auto"/>
        <w:ind w:left="425" w:hanging="425"/>
        <w:jc w:val="both"/>
      </w:pPr>
      <w:r>
        <w:rPr>
          <w:b/>
          <w:i w:val="0"/>
          <w:color w:val="C9781E"/>
        </w:rPr>
        <w:t xml:space="preserve">11. </w:t>
      </w:r>
      <w:r>
        <w:rPr>
          <w:b/>
          <w:i w:val="0"/>
        </w:rPr>
        <w:t xml:space="preserve">Minuta de contrato como anexo e cláusulas necessárias </w:t>
      </w:r>
      <w:r>
        <w:rPr>
          <w:b w:val="0"/>
          <w:i w:val="0"/>
          <w:color w:val="C9781E"/>
        </w:rPr>
        <w:t xml:space="preserve">(gravidade média, item 3.11): </w:t>
      </w:r>
      <w:r>
        <w:rPr>
          <w:b w:val="0"/>
          <w:i w:val="0"/>
        </w:rPr>
        <w:t>Preencher a minuta com o objeto, a vigência (12 meses, prorrogável), o critério de reajuste/repactuação (ver ed-03), as medidas do art. 121, § 3º (ver plan-05), a garantia (ver ed-08) e o enquadramento como dedicação exclusiva. Remover instruções de modelo e cláusulas inaplicáveis (escopo, cooperativas), corrigir numeração e remissões.</w:t>
      </w:r>
    </w:p>
    <w:p>
      <w:pPr>
        <w:spacing w:before="0" w:after="80" w:line="360" w:lineRule="auto"/>
        <w:ind w:left="425" w:hanging="425"/>
        <w:jc w:val="both"/>
      </w:pPr>
      <w:r>
        <w:rPr>
          <w:b/>
          <w:i w:val="0"/>
          <w:color w:val="C9781E"/>
        </w:rPr>
        <w:t xml:space="preserve">12. </w:t>
      </w:r>
      <w:r>
        <w:rPr>
          <w:b/>
          <w:i w:val="0"/>
        </w:rPr>
        <w:t xml:space="preserve">Coerência interna do edital e dos anexos </w:t>
      </w:r>
      <w:r>
        <w:rPr>
          <w:b w:val="0"/>
          <w:i w:val="0"/>
          <w:color w:val="C9781E"/>
        </w:rPr>
        <w:t xml:space="preserve">(gravidade média, item 3.12): </w:t>
      </w:r>
      <w:r>
        <w:rPr>
          <w:b w:val="0"/>
          <w:i w:val="0"/>
        </w:rPr>
        <w:t>Revisar edital, TR e minuta em conjunto: uniformizar o índice de mora, o elemento de despesa e a validade das propostas; remover dispositivos de cooperativa, OSC, bens, marcas e porteiros; corrigir remissões e numeração; esclarecer a divergência de numeração no PNCP. Se necessário, publicar errata e, havendo impacto nas propostas, reabrir o prazo.</w:t>
      </w:r>
    </w:p>
    <w:p>
      <w:pPr>
        <w:spacing w:before="0" w:after="80" w:line="360" w:lineRule="auto"/>
        <w:ind w:left="425" w:hanging="425"/>
        <w:jc w:val="both"/>
      </w:pPr>
      <w:r>
        <w:rPr>
          <w:b/>
          <w:i w:val="0"/>
          <w:color w:val="C9781E"/>
        </w:rPr>
        <w:t xml:space="preserve">13. </w:t>
      </w:r>
      <w:r>
        <w:rPr>
          <w:b/>
          <w:i w:val="0"/>
        </w:rPr>
        <w:t xml:space="preserve">Composição do orçamento estimado não divulgada; pesquisa de preços sem demonstração no documento </w:t>
      </w:r>
      <w:r>
        <w:rPr>
          <w:b w:val="0"/>
          <w:i w:val="0"/>
          <w:color w:val="C9781E"/>
        </w:rPr>
        <w:t xml:space="preserve">(gravidade média, item 3.13): </w:t>
      </w:r>
      <w:r>
        <w:rPr>
          <w:b w:val="0"/>
          <w:i w:val="0"/>
        </w:rPr>
        <w:t>Juntar ao processo e divulgar a planilha analítica e a pesquisa de preços (fontes e métodos). O orçamento deverá ser refeito com a convenção correta (plan-02). Se houver dúvida sobre o orçamento, pedir esclarecimento ao órgão (art. 164).</w:t>
      </w:r>
    </w:p>
    <w:p>
      <w:pPr>
        <w:spacing w:before="0" w:after="80" w:line="360" w:lineRule="auto"/>
        <w:ind w:left="425" w:hanging="425"/>
        <w:jc w:val="both"/>
      </w:pPr>
      <w:r>
        <w:rPr>
          <w:b/>
          <w:i w:val="0"/>
          <w:color w:val="3D8FA6"/>
        </w:rPr>
        <w:t xml:space="preserve">14. </w:t>
      </w:r>
      <w:r>
        <w:rPr>
          <w:b/>
          <w:i w:val="0"/>
        </w:rPr>
        <w:t xml:space="preserve">Garantia de proposta e garantia contratual </w:t>
      </w:r>
      <w:r>
        <w:rPr>
          <w:b w:val="0"/>
          <w:i w:val="0"/>
          <w:color w:val="3D8FA6"/>
        </w:rPr>
        <w:t xml:space="preserve">(gravidade baixa, item 3.14): </w:t>
      </w:r>
      <w:r>
        <w:rPr>
          <w:b w:val="0"/>
          <w:i w:val="0"/>
        </w:rPr>
        <w:t>Detalhar no edital as modalidades aceitas (art. 96, § 1º), o momento e a forma de comprovação no sistema, e a devolução após a homologação. Excluir da minuta e do item 20.11 as referências à garantia contratual, ou reconsiderar a dispensa dela para um contrato de R$ 40,9 milhões em dedicação exclusiva (ver plan-05).</w:t>
      </w:r>
    </w:p>
    <w:p>
      <w:pPr>
        <w:spacing w:before="0" w:after="80" w:line="360" w:lineRule="auto"/>
        <w:ind w:left="425" w:hanging="425"/>
        <w:jc w:val="both"/>
      </w:pPr>
      <w:r>
        <w:rPr>
          <w:b/>
          <w:i w:val="0"/>
          <w:color w:val="3D8FA6"/>
        </w:rPr>
        <w:t xml:space="preserve">15. </w:t>
      </w:r>
      <w:r>
        <w:rPr>
          <w:b/>
          <w:i w:val="0"/>
        </w:rPr>
        <w:t xml:space="preserve">Vigência e prorrogação de serviços contínuos </w:t>
      </w:r>
      <w:r>
        <w:rPr>
          <w:b w:val="0"/>
          <w:i w:val="0"/>
          <w:color w:val="3D8FA6"/>
        </w:rPr>
        <w:t xml:space="preserve">(gravidade baixa, item 3.15): </w:t>
      </w:r>
      <w:r>
        <w:rPr>
          <w:b w:val="0"/>
          <w:i w:val="0"/>
        </w:rPr>
        <w:t>Reproduzir no edital e na minuta o condicionamento do art. 107 (atesto de vantajosidade, com possibilidade de negociação ou extinção sem ônus). Prever que custos de implantação (kit inicial de uniformes, equipamentos) serão excluídos do preço na prorrogação.</w:t>
      </w:r>
    </w:p>
    <w:p>
      <w:pPr>
        <w:spacing w:before="0" w:after="80" w:line="360" w:lineRule="auto"/>
        <w:ind w:left="425" w:hanging="425"/>
        <w:jc w:val="both"/>
      </w:pPr>
      <w:r>
        <w:rPr>
          <w:b/>
          <w:i w:val="0"/>
          <w:color w:val="3D8FA6"/>
        </w:rPr>
        <w:t xml:space="preserve">16. </w:t>
      </w:r>
      <w:r>
        <w:rPr>
          <w:b/>
          <w:i w:val="0"/>
        </w:rPr>
        <w:t xml:space="preserve">Exigência de via física original ou autenticada e de firma reconhecida em pregão eletrônico </w:t>
      </w:r>
      <w:r>
        <w:rPr>
          <w:b w:val="0"/>
          <w:i w:val="0"/>
          <w:color w:val="3D8FA6"/>
        </w:rPr>
        <w:t xml:space="preserve">(gravidade baixa, item 3.16): </w:t>
      </w:r>
      <w:r>
        <w:rPr>
          <w:b w:val="0"/>
          <w:i w:val="0"/>
        </w:rPr>
        <w:t>Admitir cópia digital, com verificação de autenticidade por meios eletrônicos, e exigir o original ou a autenticação apenas em caso de dúvida fundada, de forma motivada. Admitir procuração com assinatura eletrônica.</w:t>
      </w:r>
    </w:p>
    <w:p>
      <w:pPr>
        <w:spacing w:before="0" w:after="80" w:line="360" w:lineRule="auto"/>
        <w:ind w:left="425" w:hanging="425"/>
        <w:jc w:val="both"/>
      </w:pPr>
      <w:r>
        <w:rPr>
          <w:b/>
          <w:i w:val="0"/>
          <w:color w:val="3D8FA6"/>
        </w:rPr>
        <w:t xml:space="preserve">17. </w:t>
      </w:r>
      <w:r>
        <w:rPr>
          <w:b/>
          <w:i w:val="0"/>
        </w:rPr>
        <w:t xml:space="preserve">Divergência de numeração entre o edital e o PNCP </w:t>
      </w:r>
      <w:r>
        <w:rPr>
          <w:b w:val="0"/>
          <w:i w:val="0"/>
          <w:color w:val="3D8FA6"/>
        </w:rPr>
        <w:t xml:space="preserve">(gravidade baixa, item 3.17): </w:t>
      </w:r>
      <w:r>
        <w:rPr>
          <w:b w:val="0"/>
          <w:i w:val="0"/>
        </w:rPr>
        <w:t>Verificar qual é a numeração correta e corrigir o edital por errata, ou esclarecer a divergência no processo.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30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30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30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30 out. 2026.</w:t>
      </w:r>
    </w:p>
    <w:p>
      <w:pPr>
        <w:spacing w:before="0" w:after="240" w:line="240" w:lineRule="auto"/>
        <w:ind w:firstLine="0"/>
        <w:jc w:val="left"/>
      </w:pPr>
      <w:r>
        <w:rPr>
          <w:b w:val="0"/>
          <w:i w:val="0"/>
          <w:sz w:val="22"/>
        </w:rPr>
        <w:t>BRASIL. Ministério da Economia. Secretaria de Gestão. Instrução Normativa SEGES/ME nº 65, de 7 de julho de 2021. Dispõe sobre o procedimento administrativo para a realização de pesquisa de preços. Brasília, DF: ME, 2021. Disponível em: https://www.gov.br/compras/pt-br/acesso-a-informacao/legislacao/instrucoes-normativas/instrucao-normativa-seges-me-no-65-de-7-de-julho-de-2021. Acesso em: 30 out. 2026.</w:t>
      </w:r>
    </w:p>
    <w:p>
      <w:pPr>
        <w:spacing w:before="0" w:after="240" w:line="240" w:lineRule="auto"/>
        <w:ind w:firstLine="0"/>
        <w:jc w:val="left"/>
      </w:pPr>
      <w:r>
        <w:rPr>
          <w:b w:val="0"/>
          <w:i w:val="0"/>
          <w:sz w:val="22"/>
        </w:rPr>
        <w:t>BRASIL. Ministério da Economia. Secretaria de Gestão. Instrução Normativa SEGES/ME nº 73, de 30 de setembro de 2022. Dispõe sobre a licitação pelos critérios de julgamento por menor preço ou maior desconto. Brasília, DF: ME, 2022. Disponível em: https://www.gov.br/compras/pt-br/acesso-a-informacao/legislacao/instrucoes-normativas/instrucao-normativa-seges-me-no-73-de-30-de-setembro-de-2022. Acesso em: 30 out. 2026.</w:t>
      </w:r>
    </w:p>
    <w:p>
      <w:pPr>
        <w:spacing w:before="0" w:after="240" w:line="240" w:lineRule="auto"/>
        <w:ind w:firstLine="0"/>
        <w:jc w:val="left"/>
      </w:pPr>
      <w:r>
        <w:rPr>
          <w:b w:val="0"/>
          <w:i w:val="0"/>
          <w:sz w:val="22"/>
        </w:rPr>
        <w:t>BRASIL. Ministério do Planejamento, Desenvolvimento e Gestão. Secretaria de Gestão. Instrução Normativa nº 5, de 26 de maio de 2017. Dispõe sobre as regras e diretrizes do procedimento de contratação de serviços sob o regime de execução indireta. Brasília, DF: MP, 2017. Disponível em: https://www.gov.br/compras/pt-br/acesso-a-informacao/legislacao/instrucoes-normativas/instrucao-normativa-no-5-de-26-de-maio-de-2017-atualizada. Acesso em: 30 out. 2026.</w:t>
      </w:r>
    </w:p>
    <w:p>
      <w:pPr>
        <w:spacing w:before="0" w:after="240" w:line="240" w:lineRule="auto"/>
        <w:ind w:firstLine="0"/>
        <w:jc w:val="left"/>
      </w:pPr>
      <w:r>
        <w:rPr>
          <w:b w:val="0"/>
          <w:i w:val="0"/>
          <w:sz w:val="22"/>
        </w:rPr>
        <w:t>BRASIL. Secretaria de Gestão. Caderno de Logística: conta-depósito vinculada – bloqueada para movimentação. Brasília, DF. Disponível em: https://www.gov.br/compras/pt-br/agente-publico/cadernos-de-logistica/midia/caderno_logistica_conta_vinculada.pdf. Acesso em: 30 out. 2026.</w:t>
      </w:r>
    </w:p>
    <w:p>
      <w:pPr>
        <w:spacing w:before="0" w:after="240" w:line="240" w:lineRule="auto"/>
        <w:ind w:firstLine="0"/>
        <w:jc w:val="left"/>
      </w:pPr>
      <w:r>
        <w:rPr>
          <w:b w:val="0"/>
          <w:i w:val="0"/>
          <w:sz w:val="22"/>
        </w:rPr>
        <w:t>BRASIL. Secretaria de Gestão. Caderno de Logística: pesquisa de preços. Brasília, DF, 2023. Disponível em: https://www.gov.br/compras/pt-br/agente-publico/cadernos-de-logistica/midia/temporario-caderno-de-pesquisa-de-precos-2023_final-1.pdf. Acesso em: 30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1207/2024-Plenário. Relator: Ministro(a) Antonio Anastasia. Julgado em 19 jun. 2024. TCU – Jurisprudência Selecionada. Disponível em: https://pesquisa.apps.tcu.gov.br/documento/jurisprudencia-selecionada/*/KEY%253AJURISPRUDENCIA-SELECIONADA-169900/score%2520desc/0. Acesso em: 30 out. 2026.</w:t>
      </w:r>
    </w:p>
    <w:p>
      <w:pPr>
        <w:spacing w:before="0" w:after="240" w:line="240" w:lineRule="auto"/>
        <w:ind w:firstLine="0"/>
        <w:jc w:val="left"/>
      </w:pPr>
      <w:r>
        <w:rPr>
          <w:b w:val="0"/>
          <w:i w:val="0"/>
          <w:sz w:val="22"/>
        </w:rPr>
        <w:t>BRASIL. Tribunal de Contas da União (Plenário). Acórdão 1207/2024-Plenário. Relator: Ministro(a) Antonio Anastasia. Julgado em 19 jun. 2024. TCU – Jurisprudência Selecionada. Disponível em: https://pesquisa.apps.tcu.gov.br/documento/jurisprudencia-selecionada/*/KEY%253AJURISPRUDENCIA-SELECIONADA-170041/score%2520desc/0. Acesso em: 30 out. 2026.</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30 out. 2026.</w:t>
      </w:r>
    </w:p>
    <w:p>
      <w:pPr>
        <w:spacing w:before="0" w:after="240" w:line="240" w:lineRule="auto"/>
        <w:ind w:firstLine="0"/>
        <w:jc w:val="left"/>
      </w:pPr>
      <w:r>
        <w:rPr>
          <w:b w:val="0"/>
          <w:i w:val="0"/>
          <w:sz w:val="22"/>
        </w:rPr>
        <w:t>BRASIL. Tribunal de Contas da União (Plenário). Acórdão 2215/2026-Plenário. Relator: Ministro(a) Antonio Anastasia. Julgado em 19 ago. 2026. TCU – Jurisprudência Selecionada (BJ nº 599 de 07/09/2026). Disponível em: https://pesquisa.apps.tcu.gov.br/documento/jurisprudencia-selecionada/*/KEY%253AJURISPRUDENCIA-SELECIONADA-207661/score%2520desc/0. Acesso em: 30 out. 2026.</w:t>
      </w:r>
    </w:p>
    <w:p>
      <w:pPr>
        <w:spacing w:before="0" w:after="240" w:line="240" w:lineRule="auto"/>
        <w:ind w:firstLine="0"/>
        <w:jc w:val="left"/>
      </w:pPr>
      <w:r>
        <w:rPr>
          <w:b w:val="0"/>
          <w:i w:val="0"/>
          <w:sz w:val="22"/>
        </w:rPr>
        <w:t>BRASIL. Tribunal de Contas da União (Plenário). Acórdão 2717/2023-Plenário. Relator: Ministro(a) Vital Do Rêgo. Julgado em 13 dez. 2023. TCU – Jurisprudência Selecionada. Disponível em: https://pesquisa.apps.tcu.gov.br/documento/jurisprudencia-selecionada/*/KEY%253AJURISPRUDENCIA-SELECIONADA-162271/score%2520desc/0. Acesso em: 30 out. 2026.</w:t>
      </w:r>
    </w:p>
    <w:p>
      <w:pPr>
        <w:spacing w:before="0" w:after="240" w:line="240" w:lineRule="auto"/>
        <w:ind w:firstLine="0"/>
        <w:jc w:val="left"/>
      </w:pPr>
      <w:r>
        <w:rPr>
          <w:b w:val="0"/>
          <w:i w:val="0"/>
          <w:sz w:val="22"/>
        </w:rPr>
        <w:t>BRASIL. Tribunal de Contas da União (Plenário). Acórdão 2724/2025-Plenário. Relator: Ministro(a) Benjamin Zymler. Julgado em 18 nov. 2025. TCU – Jurisprudência Selecionada (Informativo de Licitações e Contratos nº 519 de 03/02/2026 BJ nº 567 de 15/12/2025). Disponível em: https://pesquisa.apps.tcu.gov.br/documento/jurisprudencia-selecionada/*/KEY%253AJURISPRUDENCIA-SELECIONADA-193580/score%2520desc/0. Acesso em: 30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30 out. 2026.</w:t>
      </w:r>
    </w:p>
    <w:p>
      <w:pPr>
        <w:spacing w:before="0" w:after="240" w:line="240" w:lineRule="auto"/>
        <w:ind w:firstLine="0"/>
        <w:jc w:val="left"/>
      </w:pPr>
      <w:r>
        <w:rPr>
          <w:b w:val="0"/>
          <w:i w:val="0"/>
          <w:sz w:val="22"/>
        </w:rPr>
        <w:t>BRASIL. Tribunal de Contas da União (Segunda Câmara). Acórdão 4668/2026-Segunda Câmara. Relator: Ministro(a) Jorge Oliveira. Julgado em 1 set. 2026. TCU – Jurisprudência Selecionada (BJ nº 601 de 21/09/2026). Disponível em: https://pesquisa.apps.tcu.gov.br/documento/jurisprudencia-selecionada/*/KEY%253AJURISPRUDENCIA-SELECIONADA-208596/score%2520desc/0. Acesso em: 30 out. 2026.</w:t>
      </w:r>
    </w:p>
    <w:p>
      <w:pPr>
        <w:spacing w:before="0" w:after="240" w:line="240" w:lineRule="auto"/>
        <w:ind w:firstLine="0"/>
        <w:jc w:val="left"/>
      </w:pPr>
      <w:r>
        <w:rPr>
          <w:b w:val="0"/>
          <w:i w:val="0"/>
          <w:sz w:val="22"/>
        </w:rPr>
        <w:t>PREFEITURA MUNICIPAL DE MARICÁ – SECRETARIA DE EDUCAÇÃO. Edital e minutas (ata e contrato) — Pregão Eletrônico nº 54/2026 – Processo Administrativo nº 18321/2025 (PNCP 29131075000193-1-000445/2026). Disponível em: https://pncp.gov.br/app/editais/29131075000193/2026/445. Acesso em: 30 out. 2026.</w:t>
      </w:r>
    </w:p>
    <w:p>
      <w:pPr>
        <w:spacing w:before="0" w:after="240" w:line="240" w:lineRule="auto"/>
        <w:ind w:firstLine="0"/>
        <w:jc w:val="left"/>
      </w:pPr>
      <w:r>
        <w:rPr>
          <w:b w:val="0"/>
          <w:i w:val="0"/>
          <w:sz w:val="22"/>
        </w:rPr>
        <w:t>RIO DE JANEIRO (Estado). Tribunal de Contas do Estado do Rio de Janeiro (Plenário). Acórdão 19519/2026 – Processo 100.467-3/2026. Relator: Conselheiro José Gomes Graciosa. Julgado em 10 jun. 2026. TCE-RJ – Jurisprudência Selecionada. Disponível em: https://www.tcerj.tc.br/cadastro-publicacoes/public/jurisprudencia-selecionada. Acesso em: 30 out. 2026.</w:t>
      </w:r>
    </w:p>
    <w:p>
      <w:pPr>
        <w:spacing w:before="0" w:after="240" w:line="240" w:lineRule="auto"/>
        <w:ind w:firstLine="0"/>
        <w:jc w:val="left"/>
      </w:pPr>
      <w:r>
        <w:rPr>
          <w:b w:val="0"/>
          <w:i w:val="0"/>
          <w:sz w:val="22"/>
        </w:rPr>
        <w:t>RIO DE JANEIRO (Município). Tribunal de Contas do Município do Rio de Janeiro (Plenário). Voto 390/2025 · Proc. 040/104391/2025 · Enunciado 527. Relator: Conselheiro David Carlos Pereira Neto. Julgado em 17 dez. 2025. TCM-RJ – TCMJuris (decisões selecionadas). Disponível em: https://etcm.tcmrio.tc.br/Processo/Ficha?ctid=2407954. Acesso em: 30 out. 2026.</w:t>
      </w:r>
    </w:p>
    <w:p>
      <w:pPr>
        <w:spacing w:before="0" w:after="240" w:line="240" w:lineRule="auto"/>
        <w:ind w:firstLine="0"/>
        <w:jc w:val="left"/>
      </w:pPr>
      <w:r>
        <w:rPr>
          <w:b w:val="0"/>
          <w:i w:val="0"/>
          <w:sz w:val="22"/>
        </w:rPr>
        <w:t>RIO DE JANEIRO (Município). Tribunal de Contas do Município do Rio de Janeiro (Plenário). Voto 530/2025 · Proc. 040/104135/2025 · Enunciado 165. Relator: Conselheiro Thiago Kwiatkowski Ribeiro. Julgado em 19 nov. 2025. TCM-RJ – TCMJuris (decisões selecionadas). Disponível em: https://etcm.tcmrio.tc.br/Processo/Ficha?ctid=2397913. Acesso em: 30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Composição do orçamento estimado não divulgada; pesquisa de preços sem demonstração no documento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23; art. 18,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Exigência de via física original ou autenticada e de firma reconhecida em pregão eletrônico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Divergência de numeração entre o edital e o PNCP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Fontes técnicas de referência (instruções normativas, cadernos de logística, manuais e cartilhas oficiais) são consultadas por busca de trechos pertinentes a cada item; normas e orientações federais infralegais são indicadas como parâmetro para estados, municípios e DF, salvo adoção pelo ente.</w:t>
      </w:r>
    </w:p>
    <w:p>
      <w:pPr>
        <w:spacing w:before="0" w:after="120" w:line="360" w:lineRule="auto"/>
        <w:ind w:left="425" w:hanging="425"/>
        <w:jc w:val="both"/>
      </w:pPr>
      <w:r>
        <w:rPr>
          <w:b/>
          <w:i w:val="0"/>
          <w:color w:val="1F7A8C"/>
        </w:rPr>
        <w:t xml:space="preserve">j)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k) </w:t>
      </w:r>
      <w:r>
        <w:rPr>
          <w:b w:val="0"/>
          <w:i w:val="0"/>
        </w:rPr>
        <w:t>O código de verificação F399CD4859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F399CD4859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F399/2026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jurisprudencia-selecionada/*/KEY%253AJURISPRUDENCIA-SELECIONADA-169900/score%2520desc/0" TargetMode="External"/><Relationship Id="rId13" Type="http://schemas.openxmlformats.org/officeDocument/2006/relationships/hyperlink" Target="https://pesquisa.apps.tcu.gov.br/documento/jurisprudencia-selecionada/*/KEY%253AJURISPRUDENCIA-SELECIONADA-170041/score%2520desc/0" TargetMode="External"/><Relationship Id="rId14" Type="http://schemas.openxmlformats.org/officeDocument/2006/relationships/hyperlink" Target="https://pesquisa.apps.tcu.gov.br/documento/jurisprudencia-selecionada/*/KEY%253AJURISPRUDENCIA-SELECIONADA-205696/score%2520desc/0" TargetMode="External"/><Relationship Id="rId15" Type="http://schemas.openxmlformats.org/officeDocument/2006/relationships/hyperlink" Target="https://pesquisa.apps.tcu.gov.br/documento/jurisprudencia-selecionada/*/KEY%253AJURISPRUDENCIA-SELECIONADA-207661/score%2520desc/0" TargetMode="External"/><Relationship Id="rId16" Type="http://schemas.openxmlformats.org/officeDocument/2006/relationships/hyperlink" Target="https://pesquisa.apps.tcu.gov.br/documento/jurisprudencia-selecionada/*/KEY%253AJURISPRUDENCIA-SELECIONADA-162271/score%2520desc/0" TargetMode="External"/><Relationship Id="rId17" Type="http://schemas.openxmlformats.org/officeDocument/2006/relationships/hyperlink" Target="https://pesquisa.apps.tcu.gov.br/documento/jurisprudencia-selecionada/*/KEY%253AJURISPRUDENCIA-SELECIONADA-208596/score%2520desc/0" TargetMode="External"/><Relationship Id="rId18" Type="http://schemas.openxmlformats.org/officeDocument/2006/relationships/hyperlink" Target="https://etcm.tcmrio.tc.br/Processo/Ficha?ctid=2407954" TargetMode="External"/><Relationship Id="rId19" Type="http://schemas.openxmlformats.org/officeDocument/2006/relationships/hyperlink" Target="https://pesquisa.apps.tcu.gov.br/documento/sumula/*/KEY%253ASUMULA-EJURIS-1689/score%2520desc/0" TargetMode="External"/><Relationship Id="rId20" Type="http://schemas.openxmlformats.org/officeDocument/2006/relationships/hyperlink" Target="https://pesquisa.apps.tcu.gov.br/documento/jurisprudencia-selecionada/*/KEY%253AJURISPRUDENCIA-SELECIONADA-193580/score%2520desc/0" TargetMode="External"/><Relationship Id="rId21" Type="http://schemas.openxmlformats.org/officeDocument/2006/relationships/hyperlink" Target="https://www.tcerj.tc.br/cadastro-publicacoes/public/jurisprudencia-selecionada" TargetMode="External"/><Relationship Id="rId22" Type="http://schemas.openxmlformats.org/officeDocument/2006/relationships/hyperlink" Target="https://etcm.tcmrio.tc.br/Processo/Ficha?ctid=2397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