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12" w:rsidRDefault="007D3A12" w:rsidP="007D3A12">
      <w:r w:rsidRPr="007D3A12">
        <w:rPr>
          <w:b/>
        </w:rPr>
        <w:t>COMO ANTECIPAR OS RECORRRENTES SELL OFFS DE 5-10%  NOS MERCADOS INTERN</w:t>
      </w:r>
      <w:r>
        <w:rPr>
          <w:b/>
        </w:rPr>
        <w:t>ACIONAIS?</w:t>
      </w:r>
    </w:p>
    <w:p w:rsidR="007D3A12" w:rsidRDefault="007D3A12" w:rsidP="007D3A12">
      <w:pPr>
        <w:rPr>
          <w:b/>
        </w:rPr>
      </w:pPr>
    </w:p>
    <w:p w:rsidR="007D3A12" w:rsidRPr="007D3A12" w:rsidRDefault="007D3A12" w:rsidP="007D3A12">
      <w:pPr>
        <w:rPr>
          <w:b/>
        </w:rPr>
      </w:pPr>
      <w:r w:rsidRPr="007D3A12">
        <w:rPr>
          <w:b/>
        </w:rPr>
        <w:t>Em que contexto está inserido o desafio?</w:t>
      </w:r>
    </w:p>
    <w:p w:rsidR="007D3A12" w:rsidRDefault="007D3A12" w:rsidP="007D3A12">
      <w:r>
        <w:t>A evidência histórica revela que com frequência praticamente anual os ativos internacionais passam por correções de magnitude relevante (de 5-10%) até mesmo em cenários econômicos relativamente estáveis e mercados em tendência altista. Como antecipar essas correções, cujos impactos nos portfolios costumam ser muito importantes?</w:t>
      </w:r>
      <w:r>
        <w:tab/>
      </w:r>
      <w:r>
        <w:tab/>
      </w:r>
    </w:p>
    <w:p w:rsidR="007D3A12" w:rsidRPr="007D3A12" w:rsidRDefault="007D3A12" w:rsidP="007D3A12">
      <w:pPr>
        <w:rPr>
          <w:b/>
        </w:rPr>
      </w:pPr>
      <w:r w:rsidRPr="007D3A12">
        <w:rPr>
          <w:b/>
        </w:rPr>
        <w:t>Qual a relevância deste desafio?</w:t>
      </w:r>
    </w:p>
    <w:p w:rsidR="007D3A12" w:rsidRDefault="007D3A12" w:rsidP="007D3A12">
      <w:r>
        <w:t>Grandes realizações nos mercados globais derivadas de forte piora do apetite ao risco costumam ter forte impacto nos ativos domésticos e nos portfolios da BB DTVM. Antecipar essas correções permitiria que os gestores protegessem suas carteiras das perdas potenciais e estivessem preparados para maior assunção de risco quando os mercados retomassem a tendência altista. Assim, entre outros, a obtenção desta capacidade contribuiria para o cumprimento do objetivo estratégico da Diretoria de Ativos "Entregar fundos com performance adequada e competitiva".</w:t>
      </w:r>
    </w:p>
    <w:p w:rsidR="007D3A12" w:rsidRPr="007D3A12" w:rsidRDefault="007D3A12" w:rsidP="007D3A12">
      <w:pPr>
        <w:rPr>
          <w:b/>
        </w:rPr>
      </w:pPr>
      <w:r w:rsidRPr="007D3A12">
        <w:rPr>
          <w:b/>
        </w:rPr>
        <w:t>Quais stakeholders estão envolvidos neste desafio?</w:t>
      </w:r>
    </w:p>
    <w:p w:rsidR="007D3A12" w:rsidRDefault="007D3A12" w:rsidP="007D3A12">
      <w:r>
        <w:t>Executivas de Renda Fixa e Câmbio; Multimercados, Ações e Offshore; e Análise e Alocação Doméstica</w:t>
      </w:r>
    </w:p>
    <w:p w:rsidR="007D3A12" w:rsidRPr="007D3A12" w:rsidRDefault="007D3A12" w:rsidP="007D3A12">
      <w:pPr>
        <w:rPr>
          <w:b/>
        </w:rPr>
      </w:pPr>
      <w:r w:rsidRPr="007D3A12">
        <w:rPr>
          <w:b/>
        </w:rPr>
        <w:t>Quais benefícios serão alcançados com a solução deste desafio?</w:t>
      </w:r>
    </w:p>
    <w:p w:rsidR="007D3A12" w:rsidRDefault="007D3A12" w:rsidP="007D3A12">
      <w:r>
        <w:t>Um "sistema de alarme" on-line capaz de mensurar a probabilidade de correções fortes dos mercados será muito útil aos gestores de ativos da BB DTVM. Os maiores benefícios são maior agilidade e segurança na adoção de estratégias de hedge aos portfolios e maior eficiência na gestão dos recursos dos clientes da Empresa.</w:t>
      </w:r>
    </w:p>
    <w:p w:rsidR="007D3A12" w:rsidRPr="007D3A12" w:rsidRDefault="007D3A12" w:rsidP="007D3A12">
      <w:pPr>
        <w:rPr>
          <w:b/>
        </w:rPr>
      </w:pPr>
      <w:r w:rsidRPr="007D3A12">
        <w:rPr>
          <w:b/>
        </w:rPr>
        <w:t>Qual a decisão que precisamos tomar para resolver este desafio?</w:t>
      </w:r>
    </w:p>
    <w:p w:rsidR="00556921" w:rsidRDefault="007D3A12" w:rsidP="007D3A12">
      <w:r>
        <w:t xml:space="preserve">Definir exatamente qual/quais variáveis endógenas serão utilizadas no modelo. Decidir quais modelos teóricos serão utilizados para a seleção das potenciais variáveis explicativas a compor o modelo. Definir a abordagem estatística. Decidir a frequência dos dados e horizonte de predição desejado. </w:t>
      </w:r>
      <w:r>
        <w:tab/>
      </w:r>
    </w:p>
    <w:p w:rsidR="00556921" w:rsidRDefault="00556921">
      <w:r>
        <w:br w:type="page"/>
      </w:r>
    </w:p>
    <w:p w:rsidR="00556921" w:rsidRPr="00982CE8" w:rsidRDefault="00556921" w:rsidP="007D3A12">
      <w:pPr>
        <w:rPr>
          <w:b/>
          <w:sz w:val="28"/>
        </w:rPr>
      </w:pPr>
      <w:r w:rsidRPr="00982CE8">
        <w:rPr>
          <w:b/>
          <w:sz w:val="28"/>
        </w:rPr>
        <w:lastRenderedPageBreak/>
        <w:t>Indicadores utilizados no paper</w:t>
      </w:r>
      <w:r w:rsidR="00982CE8" w:rsidRPr="00982CE8">
        <w:rPr>
          <w:b/>
          <w:sz w:val="28"/>
        </w:rPr>
        <w:t xml:space="preserve"> JP</w:t>
      </w:r>
    </w:p>
    <w:p w:rsidR="00556921" w:rsidRDefault="00DF59C4" w:rsidP="00556921">
      <w:r>
        <w:rPr>
          <w:noProof/>
          <w:lang w:eastAsia="pt-BR"/>
        </w:rPr>
        <w:drawing>
          <wp:inline distT="0" distB="0" distL="0" distR="0" wp14:anchorId="37C86C3F" wp14:editId="1EED8F7F">
            <wp:extent cx="5393016" cy="413129"/>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558" b="-1"/>
                    <a:stretch/>
                  </pic:blipFill>
                  <pic:spPr bwMode="auto">
                    <a:xfrm>
                      <a:off x="0" y="0"/>
                      <a:ext cx="5400040" cy="413667"/>
                    </a:xfrm>
                    <a:prstGeom prst="rect">
                      <a:avLst/>
                    </a:prstGeom>
                    <a:ln>
                      <a:noFill/>
                    </a:ln>
                    <a:extLst>
                      <a:ext uri="{53640926-AAD7-44D8-BBD7-CCE9431645EC}">
                        <a14:shadowObscured xmlns:a14="http://schemas.microsoft.com/office/drawing/2010/main"/>
                      </a:ext>
                    </a:extLst>
                  </pic:spPr>
                </pic:pic>
              </a:graphicData>
            </a:graphic>
          </wp:inline>
        </w:drawing>
      </w:r>
    </w:p>
    <w:p w:rsidR="00982CE8" w:rsidRDefault="00DF59C4" w:rsidP="00DF59C4">
      <w:r>
        <w:t>Initial conditions before major market corrections of the past 20 years Cross-asset valuations, positioning, ETF flows, price momentum, volatility risk premium and liquidity expressed as sigmas from 5Y average. Sample covers 2000 to 2020. Highlighted in red are readings exceeding sample median for Valuations, positioning, ETFs flows, price momentum and valuations and below sample median for volatility risk premium and global growth</w:t>
      </w:r>
    </w:p>
    <w:p w:rsidR="00DF59C4" w:rsidRDefault="00DF59C4" w:rsidP="00DF59C4"/>
    <w:p w:rsidR="00556921" w:rsidRPr="00982CE8" w:rsidRDefault="00556921" w:rsidP="00556921">
      <w:pPr>
        <w:rPr>
          <w:b/>
        </w:rPr>
      </w:pPr>
      <w:r w:rsidRPr="00982CE8">
        <w:rPr>
          <w:b/>
        </w:rPr>
        <w:t>PMI</w:t>
      </w:r>
    </w:p>
    <w:p w:rsidR="00982CE8" w:rsidRDefault="00982CE8" w:rsidP="00556921">
      <w:r>
        <w:t>early-stage upturn</w:t>
      </w:r>
      <w:r w:rsidR="00556921">
        <w:t xml:space="preserve">(PMI below 51 and rising), </w:t>
      </w:r>
    </w:p>
    <w:p w:rsidR="00982CE8" w:rsidRDefault="00982CE8" w:rsidP="00556921">
      <w:r>
        <w:t xml:space="preserve">later-stage upturn (PMI above </w:t>
      </w:r>
      <w:r w:rsidR="00556921">
        <w:t xml:space="preserve">51 and rising), </w:t>
      </w:r>
    </w:p>
    <w:p w:rsidR="00982CE8" w:rsidRDefault="00556921" w:rsidP="00556921">
      <w:r>
        <w:t>early-s</w:t>
      </w:r>
      <w:r w:rsidR="00982CE8">
        <w:t>tage downturn (PMI above 51 and</w:t>
      </w:r>
      <w:r w:rsidR="008663B3">
        <w:t xml:space="preserve"> </w:t>
      </w:r>
      <w:r>
        <w:t xml:space="preserve">falling) </w:t>
      </w:r>
    </w:p>
    <w:p w:rsidR="00556921" w:rsidRDefault="00556921" w:rsidP="00556921">
      <w:r>
        <w:t>later-stage downturn (PMI below 51 and</w:t>
      </w:r>
      <w:r w:rsidR="00982CE8">
        <w:t xml:space="preserve"> </w:t>
      </w:r>
      <w:r>
        <w:t>falling)</w:t>
      </w:r>
    </w:p>
    <w:p w:rsidR="00982CE8" w:rsidRDefault="00982CE8" w:rsidP="00556921"/>
    <w:p w:rsidR="00982CE8" w:rsidRPr="00556921" w:rsidRDefault="00982CE8" w:rsidP="00556921"/>
    <w:p w:rsidR="00306374" w:rsidRPr="00F769A3" w:rsidRDefault="003E4F37" w:rsidP="007D3A12">
      <w:pPr>
        <w:rPr>
          <w:b/>
        </w:rPr>
      </w:pPr>
      <w:r w:rsidRPr="00F769A3">
        <w:rPr>
          <w:b/>
        </w:rPr>
        <w:t>Indicador de apetite global Goldman sax</w:t>
      </w:r>
    </w:p>
    <w:p w:rsidR="003E4F37" w:rsidRDefault="003E4F37" w:rsidP="007D3A12">
      <w:r>
        <w:t>Correção acima de 6%</w:t>
      </w:r>
    </w:p>
    <w:p w:rsidR="003E4F37" w:rsidRDefault="003E4F37" w:rsidP="007D3A12"/>
    <w:p w:rsidR="003E4F37" w:rsidRPr="00F769A3" w:rsidRDefault="003E4F37" w:rsidP="007D3A12">
      <w:pPr>
        <w:rPr>
          <w:b/>
        </w:rPr>
      </w:pPr>
      <w:r w:rsidRPr="00F769A3">
        <w:rPr>
          <w:b/>
        </w:rPr>
        <w:t>Multiasset portfolio JP</w:t>
      </w:r>
      <w:r w:rsidR="00F769A3" w:rsidRPr="00F769A3">
        <w:rPr>
          <w:b/>
        </w:rPr>
        <w:t xml:space="preserve"> </w:t>
      </w:r>
    </w:p>
    <w:p w:rsidR="003E4F37" w:rsidRDefault="003E4F37" w:rsidP="007D3A12">
      <w:r>
        <w:t>Probabilidade de acontecer aquela situação</w:t>
      </w:r>
    </w:p>
    <w:p w:rsidR="003E4F37" w:rsidRDefault="003E4F37" w:rsidP="007D3A12"/>
    <w:p w:rsidR="003E4F37" w:rsidRDefault="00F769A3" w:rsidP="007D3A12">
      <w:pPr>
        <w:rPr>
          <w:b/>
        </w:rPr>
      </w:pPr>
      <w:r w:rsidRPr="00F769A3">
        <w:rPr>
          <w:b/>
        </w:rPr>
        <w:t>ACWI</w:t>
      </w:r>
    </w:p>
    <w:p w:rsidR="00F769A3" w:rsidRDefault="00F769A3" w:rsidP="007D3A12">
      <w:pPr>
        <w:rPr>
          <w:b/>
        </w:rPr>
      </w:pPr>
    </w:p>
    <w:p w:rsidR="00F769A3" w:rsidRDefault="00F769A3" w:rsidP="007D3A12">
      <w:pPr>
        <w:rPr>
          <w:b/>
        </w:rPr>
      </w:pPr>
      <w:r>
        <w:rPr>
          <w:b/>
        </w:rPr>
        <w:t>Dados econômicos</w:t>
      </w:r>
    </w:p>
    <w:p w:rsidR="00F30728" w:rsidRDefault="00F30728" w:rsidP="007D3A12">
      <w:r>
        <w:t>PMI</w:t>
      </w:r>
      <w:r w:rsidR="008663B3">
        <w:t xml:space="preserve"> </w:t>
      </w:r>
      <w:r>
        <w:t xml:space="preserve">- </w:t>
      </w:r>
      <w:r w:rsidR="008663B3">
        <w:t>Categórico</w:t>
      </w:r>
    </w:p>
    <w:p w:rsidR="00F30728" w:rsidRDefault="008663B3" w:rsidP="007D3A12">
      <w:r>
        <w:t>Expansã</w:t>
      </w:r>
      <w:r w:rsidR="00F30728">
        <w:t>o, Recessão,</w:t>
      </w:r>
      <w:r>
        <w:t xml:space="preserve"> </w:t>
      </w:r>
      <w:r w:rsidR="00F30728">
        <w:t xml:space="preserve"> </w:t>
      </w:r>
    </w:p>
    <w:p w:rsidR="00F30728" w:rsidRPr="008663B3" w:rsidRDefault="00F30728" w:rsidP="007D3A12">
      <w:pPr>
        <w:rPr>
          <w:i/>
        </w:rPr>
      </w:pPr>
      <w:r w:rsidRPr="008663B3">
        <w:rPr>
          <w:i/>
        </w:rPr>
        <w:t>Livro – the long good buy</w:t>
      </w:r>
    </w:p>
    <w:p w:rsidR="008663B3" w:rsidRDefault="008663B3" w:rsidP="007D3A12"/>
    <w:p w:rsidR="008663B3" w:rsidRDefault="008663B3" w:rsidP="007D3A12">
      <w:r>
        <w:t>CAB industrial</w:t>
      </w:r>
    </w:p>
    <w:p w:rsidR="008663B3" w:rsidRDefault="008663B3" w:rsidP="007D3A12">
      <w:r>
        <w:t>CAB sem metais precisos</w:t>
      </w:r>
    </w:p>
    <w:p w:rsidR="00566B0E" w:rsidRDefault="00566B0E" w:rsidP="007D3A12"/>
    <w:p w:rsidR="00566B0E" w:rsidRDefault="00566B0E" w:rsidP="007D3A12"/>
    <w:p w:rsidR="00566B0E" w:rsidRPr="00566B0E" w:rsidRDefault="00566B0E" w:rsidP="00566B0E">
      <w:pPr>
        <w:spacing w:after="0" w:line="240" w:lineRule="auto"/>
        <w:rPr>
          <w:rFonts w:ascii="Segoe UI" w:eastAsia="Times New Roman" w:hAnsi="Segoe UI" w:cs="Segoe UI"/>
          <w:sz w:val="21"/>
          <w:szCs w:val="21"/>
          <w:lang w:eastAsia="pt-BR"/>
        </w:rPr>
      </w:pPr>
      <w:r w:rsidRPr="00566B0E">
        <w:rPr>
          <w:rFonts w:ascii="Segoe UI" w:eastAsia="Times New Roman" w:hAnsi="Symbol" w:cs="Segoe UI"/>
          <w:sz w:val="21"/>
          <w:szCs w:val="21"/>
          <w:lang w:eastAsia="pt-BR"/>
        </w:rPr>
        <w:t></w:t>
      </w:r>
      <w:r w:rsidRPr="00566B0E">
        <w:rPr>
          <w:rFonts w:ascii="Segoe UI" w:eastAsia="Times New Roman" w:hAnsi="Segoe UI" w:cs="Segoe UI"/>
          <w:sz w:val="21"/>
          <w:szCs w:val="21"/>
          <w:lang w:eastAsia="pt-BR"/>
        </w:rPr>
        <w:t xml:space="preserve">  </w:t>
      </w:r>
      <w:r w:rsidRPr="00566B0E">
        <w:rPr>
          <w:rFonts w:ascii="Times New Roman" w:eastAsia="Times New Roman" w:hAnsi="Times New Roman" w:cs="Times New Roman"/>
          <w:sz w:val="24"/>
          <w:szCs w:val="24"/>
          <w:lang w:eastAsia="pt-BR"/>
        </w:rPr>
        <w:t>Federal Funds Futures Rate: 3 month ahead</w:t>
      </w:r>
      <w:r w:rsidRPr="00566B0E">
        <w:rPr>
          <w:rFonts w:ascii="Segoe UI" w:eastAsia="Times New Roman" w:hAnsi="Segoe UI" w:cs="Segoe UI"/>
          <w:sz w:val="21"/>
          <w:szCs w:val="21"/>
          <w:lang w:eastAsia="pt-BR"/>
        </w:rPr>
        <w:t xml:space="preserve"> </w:t>
      </w:r>
    </w:p>
    <w:p w:rsidR="00566B0E" w:rsidRPr="00566B0E" w:rsidRDefault="00566B0E" w:rsidP="00566B0E">
      <w:pPr>
        <w:spacing w:after="0" w:line="240" w:lineRule="auto"/>
        <w:rPr>
          <w:rFonts w:ascii="Segoe UI" w:eastAsia="Times New Roman" w:hAnsi="Segoe UI" w:cs="Segoe UI"/>
          <w:sz w:val="21"/>
          <w:szCs w:val="21"/>
          <w:lang w:eastAsia="pt-BR"/>
        </w:rPr>
      </w:pPr>
      <w:r w:rsidRPr="00566B0E">
        <w:rPr>
          <w:rFonts w:ascii="Segoe UI" w:eastAsia="Times New Roman" w:hAnsi="Symbol" w:cs="Segoe UI"/>
          <w:sz w:val="21"/>
          <w:szCs w:val="21"/>
          <w:lang w:eastAsia="pt-BR"/>
        </w:rPr>
        <w:t></w:t>
      </w:r>
      <w:r w:rsidRPr="00566B0E">
        <w:rPr>
          <w:rFonts w:ascii="Segoe UI" w:eastAsia="Times New Roman" w:hAnsi="Segoe UI" w:cs="Segoe UI"/>
          <w:sz w:val="21"/>
          <w:szCs w:val="21"/>
          <w:lang w:eastAsia="pt-BR"/>
        </w:rPr>
        <w:t xml:space="preserve">  </w:t>
      </w:r>
      <w:r w:rsidRPr="00566B0E">
        <w:rPr>
          <w:rFonts w:ascii="Calibri" w:eastAsia="Times New Roman" w:hAnsi="Calibri" w:cs="Calibri"/>
          <w:sz w:val="24"/>
          <w:szCs w:val="24"/>
          <w:lang w:eastAsia="pt-BR"/>
        </w:rPr>
        <w:t>USD swap spread 10-year</w:t>
      </w:r>
      <w:r w:rsidRPr="00566B0E">
        <w:rPr>
          <w:rFonts w:ascii="Calibri" w:eastAsia="Times New Roman" w:hAnsi="Calibri" w:cs="Calibri"/>
          <w:i/>
          <w:iCs/>
          <w:sz w:val="24"/>
          <w:szCs w:val="24"/>
          <w:lang w:eastAsia="pt-BR"/>
        </w:rPr>
        <w:t xml:space="preserve">: </w:t>
      </w:r>
      <w:r w:rsidRPr="00566B0E">
        <w:rPr>
          <w:rFonts w:ascii="Times New Roman" w:eastAsia="Times New Roman" w:hAnsi="Times New Roman" w:cs="Times New Roman"/>
          <w:sz w:val="24"/>
          <w:szCs w:val="24"/>
          <w:lang w:eastAsia="pt-BR"/>
        </w:rPr>
        <w:t>difference between the 10-year Swap Rate and the 10-year U.S. Treasury bond</w:t>
      </w:r>
      <w:r w:rsidRPr="00566B0E">
        <w:rPr>
          <w:rFonts w:ascii="Segoe UI" w:eastAsia="Times New Roman" w:hAnsi="Segoe UI" w:cs="Segoe UI"/>
          <w:sz w:val="21"/>
          <w:szCs w:val="21"/>
          <w:lang w:eastAsia="pt-BR"/>
        </w:rPr>
        <w:t xml:space="preserve"> </w:t>
      </w:r>
      <w:bookmarkStart w:id="0" w:name="_GoBack"/>
      <w:bookmarkEnd w:id="0"/>
    </w:p>
    <w:p w:rsidR="00566B0E" w:rsidRPr="00566B0E" w:rsidRDefault="00566B0E" w:rsidP="00566B0E">
      <w:pPr>
        <w:spacing w:after="0" w:line="240" w:lineRule="auto"/>
        <w:rPr>
          <w:rFonts w:ascii="Segoe UI" w:eastAsia="Times New Roman" w:hAnsi="Segoe UI" w:cs="Segoe UI"/>
          <w:sz w:val="21"/>
          <w:szCs w:val="21"/>
          <w:lang w:eastAsia="pt-BR"/>
        </w:rPr>
      </w:pPr>
      <w:r w:rsidRPr="00566B0E">
        <w:rPr>
          <w:rFonts w:ascii="Segoe UI" w:eastAsia="Times New Roman" w:hAnsi="Symbol" w:cs="Segoe UI"/>
          <w:sz w:val="21"/>
          <w:szCs w:val="21"/>
          <w:lang w:eastAsia="pt-BR"/>
        </w:rPr>
        <w:t></w:t>
      </w:r>
      <w:r w:rsidRPr="00566B0E">
        <w:rPr>
          <w:rFonts w:ascii="Segoe UI" w:eastAsia="Times New Roman" w:hAnsi="Segoe UI" w:cs="Segoe UI"/>
          <w:sz w:val="21"/>
          <w:szCs w:val="21"/>
          <w:lang w:eastAsia="pt-BR"/>
        </w:rPr>
        <w:t xml:space="preserve">  </w:t>
      </w:r>
      <w:r w:rsidRPr="00566B0E">
        <w:rPr>
          <w:rFonts w:ascii="Times New Roman" w:eastAsia="Times New Roman" w:hAnsi="Times New Roman" w:cs="Times New Roman"/>
          <w:sz w:val="24"/>
          <w:szCs w:val="24"/>
          <w:lang w:eastAsia="pt-BR"/>
        </w:rPr>
        <w:t>Difference between the yield on the 20-year U.S. Treasury bond and the yield on the 10-year U.S. Treasury note</w:t>
      </w:r>
      <w:r w:rsidRPr="00566B0E">
        <w:rPr>
          <w:rFonts w:ascii="Segoe UI" w:eastAsia="Times New Roman" w:hAnsi="Segoe UI" w:cs="Segoe UI"/>
          <w:sz w:val="21"/>
          <w:szCs w:val="21"/>
          <w:lang w:eastAsia="pt-BR"/>
        </w:rPr>
        <w:t xml:space="preserve"> </w:t>
      </w:r>
    </w:p>
    <w:p w:rsidR="00566B0E" w:rsidRDefault="00566B0E" w:rsidP="007D3A12"/>
    <w:p w:rsidR="00566B0E" w:rsidRDefault="00566B0E" w:rsidP="00566B0E">
      <w:pPr>
        <w:pStyle w:val="NormalWeb"/>
        <w:rPr>
          <w:rFonts w:ascii="Segoe UI" w:hAnsi="Segoe UI" w:cs="Segoe UI"/>
          <w:sz w:val="21"/>
          <w:szCs w:val="21"/>
        </w:rPr>
      </w:pPr>
      <w:r>
        <w:rPr>
          <w:rFonts w:ascii="Segoe UI" w:hAnsi="Segoe UI" w:cs="Segoe UI"/>
          <w:sz w:val="21"/>
          <w:szCs w:val="21"/>
        </w:rPr>
        <w:t>Real Yields: 10-year Treasury Note - Expectativa da Inflação (Inflação Implicita?)</w:t>
      </w:r>
    </w:p>
    <w:p w:rsidR="00C2271A" w:rsidRDefault="00C2271A" w:rsidP="00566B0E">
      <w:pPr>
        <w:pStyle w:val="NormalWeb"/>
        <w:rPr>
          <w:rFonts w:ascii="Segoe UI" w:hAnsi="Segoe UI" w:cs="Segoe UI"/>
          <w:sz w:val="21"/>
          <w:szCs w:val="21"/>
        </w:rPr>
      </w:pPr>
    </w:p>
    <w:p w:rsidR="00C2271A" w:rsidRDefault="00C2271A" w:rsidP="00566B0E">
      <w:pPr>
        <w:pStyle w:val="NormalWeb"/>
        <w:rPr>
          <w:rFonts w:ascii="Segoe UI" w:hAnsi="Segoe UI" w:cs="Segoe UI"/>
          <w:sz w:val="21"/>
          <w:szCs w:val="21"/>
        </w:rPr>
      </w:pPr>
    </w:p>
    <w:p w:rsidR="00AC4664" w:rsidRDefault="00AC4664">
      <w:pPr>
        <w:rPr>
          <w:sz w:val="32"/>
        </w:rPr>
      </w:pPr>
      <w:r>
        <w:rPr>
          <w:sz w:val="32"/>
        </w:rPr>
        <w:br w:type="page"/>
      </w:r>
    </w:p>
    <w:p w:rsidR="00566B0E" w:rsidRPr="00AC4664" w:rsidRDefault="00060444" w:rsidP="007D3A12">
      <w:pPr>
        <w:rPr>
          <w:sz w:val="32"/>
        </w:rPr>
      </w:pPr>
      <w:r w:rsidRPr="00AC4664">
        <w:rPr>
          <w:sz w:val="32"/>
        </w:rPr>
        <w:lastRenderedPageBreak/>
        <w:t>QUANDL</w:t>
      </w:r>
    </w:p>
    <w:p w:rsidR="0056653A" w:rsidRPr="00AC4664" w:rsidRDefault="0056653A" w:rsidP="007D3A12">
      <w:pPr>
        <w:rPr>
          <w:b/>
        </w:rPr>
      </w:pPr>
      <w:r w:rsidRPr="00AC4664">
        <w:rPr>
          <w:b/>
        </w:rPr>
        <w:t>ML/EMCBI</w:t>
      </w:r>
    </w:p>
    <w:p w:rsidR="00060444" w:rsidRDefault="00060444" w:rsidP="007D3A12">
      <w:r w:rsidRPr="00060444">
        <w:t>https://www.quandl.com/data/ML/EMCBI-Emerging-Markets-Corporate-Bond-Index-OAS</w:t>
      </w:r>
    </w:p>
    <w:p w:rsidR="00566B0E" w:rsidRPr="00AC4664" w:rsidRDefault="0056653A" w:rsidP="007D3A12">
      <w:pPr>
        <w:rPr>
          <w:b/>
        </w:rPr>
      </w:pPr>
      <w:r w:rsidRPr="00AC4664">
        <w:rPr>
          <w:b/>
        </w:rPr>
        <w:t>USTREASURY / HQMYC</w:t>
      </w:r>
    </w:p>
    <w:p w:rsidR="00566B0E" w:rsidRDefault="0056653A" w:rsidP="007D3A12">
      <w:hyperlink r:id="rId7" w:history="1">
        <w:r w:rsidRPr="00947D87">
          <w:rPr>
            <w:rStyle w:val="Hyperlink"/>
          </w:rPr>
          <w:t>https://www.quandl.com/data/USTREASURY/HQMYC-High-Quality-Market-Corporate-Bond-Yield-Curve-Spot-Rates</w:t>
        </w:r>
      </w:hyperlink>
    </w:p>
    <w:p w:rsidR="0056653A" w:rsidRDefault="0056653A" w:rsidP="007D3A12"/>
    <w:p w:rsidR="0056653A" w:rsidRDefault="0056653A" w:rsidP="007D3A12"/>
    <w:p w:rsidR="00566B0E" w:rsidRPr="00AC4664" w:rsidRDefault="00060444">
      <w:pPr>
        <w:rPr>
          <w:sz w:val="32"/>
        </w:rPr>
      </w:pPr>
      <w:r w:rsidRPr="00AC4664">
        <w:rPr>
          <w:sz w:val="32"/>
        </w:rPr>
        <w:t>FRED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838"/>
        <w:gridCol w:w="2691"/>
      </w:tblGrid>
      <w:tr w:rsidR="00566B0E" w:rsidRPr="0042732A" w:rsidTr="00C2271A">
        <w:tc>
          <w:tcPr>
            <w:tcW w:w="2965" w:type="dxa"/>
            <w:shd w:val="clear" w:color="auto" w:fill="auto"/>
          </w:tcPr>
          <w:p w:rsidR="00566B0E" w:rsidRPr="0042732A" w:rsidRDefault="000C2516"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FRED id</w:t>
            </w:r>
          </w:p>
        </w:tc>
        <w:tc>
          <w:tcPr>
            <w:tcW w:w="2838" w:type="dxa"/>
            <w:shd w:val="clear" w:color="auto" w:fill="auto"/>
          </w:tcPr>
          <w:p w:rsidR="00566B0E" w:rsidRPr="0042732A" w:rsidRDefault="00566B0E" w:rsidP="00682977">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Descrição</w:t>
            </w:r>
          </w:p>
        </w:tc>
        <w:tc>
          <w:tcPr>
            <w:tcW w:w="2691" w:type="dxa"/>
            <w:shd w:val="clear" w:color="auto" w:fill="auto"/>
          </w:tcPr>
          <w:p w:rsidR="00566B0E" w:rsidRPr="0042732A" w:rsidRDefault="00566B0E" w:rsidP="00682977">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Tipo</w:t>
            </w:r>
          </w:p>
        </w:tc>
      </w:tr>
      <w:tr w:rsidR="00566B0E" w:rsidRPr="0042732A" w:rsidTr="00C2271A">
        <w:tc>
          <w:tcPr>
            <w:tcW w:w="2965" w:type="dxa"/>
            <w:shd w:val="clear" w:color="auto" w:fill="auto"/>
            <w:vAlign w:val="bottom"/>
          </w:tcPr>
          <w:p w:rsidR="00566B0E" w:rsidRDefault="00566B0E" w:rsidP="00682977">
            <w:pPr>
              <w:spacing w:after="0" w:line="240" w:lineRule="auto"/>
              <w:rPr>
                <w:rFonts w:ascii="Arial" w:hAnsi="Arial" w:cs="Arial"/>
                <w:sz w:val="20"/>
                <w:szCs w:val="20"/>
                <w:lang w:eastAsia="pt-BR"/>
              </w:rPr>
            </w:pPr>
            <w:r>
              <w:rPr>
                <w:rFonts w:ascii="Arial" w:hAnsi="Arial" w:cs="Arial"/>
                <w:sz w:val="20"/>
                <w:szCs w:val="20"/>
              </w:rPr>
              <w:t>FEDFUNDS</w:t>
            </w:r>
          </w:p>
        </w:tc>
        <w:tc>
          <w:tcPr>
            <w:tcW w:w="2838" w:type="dxa"/>
            <w:shd w:val="clear" w:color="auto" w:fill="auto"/>
            <w:vAlign w:val="bottom"/>
          </w:tcPr>
          <w:p w:rsidR="00566B0E" w:rsidRDefault="00566B0E" w:rsidP="00682977">
            <w:pPr>
              <w:rPr>
                <w:rFonts w:ascii="Arial" w:hAnsi="Arial" w:cs="Arial"/>
                <w:sz w:val="20"/>
                <w:szCs w:val="20"/>
              </w:rPr>
            </w:pPr>
            <w:r>
              <w:rPr>
                <w:rFonts w:ascii="Arial" w:hAnsi="Arial" w:cs="Arial"/>
                <w:sz w:val="20"/>
                <w:szCs w:val="20"/>
              </w:rPr>
              <w:t>Effective Federal Funds Rate, Percent, Monthly, Not Seasonally Adjusted</w:t>
            </w:r>
          </w:p>
        </w:tc>
        <w:tc>
          <w:tcPr>
            <w:tcW w:w="2691" w:type="dxa"/>
            <w:shd w:val="clear" w:color="auto" w:fill="auto"/>
          </w:tcPr>
          <w:p w:rsidR="00566B0E" w:rsidRDefault="00566B0E"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Float</w:t>
            </w:r>
          </w:p>
        </w:tc>
      </w:tr>
      <w:tr w:rsidR="00C2271A" w:rsidRPr="0042732A" w:rsidTr="00C2271A">
        <w:tc>
          <w:tcPr>
            <w:tcW w:w="2965" w:type="dxa"/>
            <w:shd w:val="clear" w:color="auto" w:fill="auto"/>
            <w:vAlign w:val="bottom"/>
          </w:tcPr>
          <w:p w:rsidR="00C2271A" w:rsidRDefault="00C2271A" w:rsidP="00682977">
            <w:pPr>
              <w:rPr>
                <w:rFonts w:ascii="Arial" w:hAnsi="Arial" w:cs="Arial"/>
                <w:sz w:val="20"/>
                <w:szCs w:val="20"/>
              </w:rPr>
            </w:pPr>
            <w:r w:rsidRPr="00C2271A">
              <w:rPr>
                <w:rFonts w:ascii="Arial" w:hAnsi="Arial" w:cs="Arial"/>
                <w:sz w:val="20"/>
                <w:szCs w:val="20"/>
              </w:rPr>
              <w:t>CPALTT01USM657N</w:t>
            </w:r>
          </w:p>
        </w:tc>
        <w:tc>
          <w:tcPr>
            <w:tcW w:w="2838" w:type="dxa"/>
            <w:shd w:val="clear" w:color="auto" w:fill="auto"/>
            <w:vAlign w:val="bottom"/>
          </w:tcPr>
          <w:p w:rsidR="00C2271A" w:rsidRDefault="00C2271A" w:rsidP="00682977">
            <w:pPr>
              <w:rPr>
                <w:rFonts w:ascii="Arial" w:hAnsi="Arial" w:cs="Arial"/>
                <w:sz w:val="20"/>
                <w:szCs w:val="20"/>
              </w:rPr>
            </w:pPr>
            <w:r>
              <w:rPr>
                <w:rFonts w:ascii="Arial" w:hAnsi="Arial" w:cs="Arial"/>
                <w:sz w:val="20"/>
                <w:szCs w:val="20"/>
              </w:rPr>
              <w:t xml:space="preserve">CPI US - </w:t>
            </w:r>
            <w:r>
              <w:rPr>
                <w:rStyle w:val="series-meta-value-units"/>
              </w:rPr>
              <w:t>Growth Rate Previous Period</w:t>
            </w:r>
            <w:r>
              <w:rPr>
                <w:rStyle w:val="series-meta-value"/>
              </w:rPr>
              <w:t>,</w:t>
            </w:r>
            <w:r>
              <w:br/>
            </w:r>
            <w:r>
              <w:rPr>
                <w:rStyle w:val="series-meta-value"/>
              </w:rPr>
              <w:t>Not Seasonally Adjusted</w:t>
            </w:r>
          </w:p>
        </w:tc>
        <w:tc>
          <w:tcPr>
            <w:tcW w:w="2691" w:type="dxa"/>
            <w:shd w:val="clear" w:color="auto" w:fill="auto"/>
          </w:tcPr>
          <w:p w:rsidR="00C2271A" w:rsidRDefault="00C2271A" w:rsidP="00682977">
            <w:pPr>
              <w:suppressAutoHyphens/>
              <w:spacing w:after="0" w:line="360" w:lineRule="auto"/>
              <w:jc w:val="both"/>
              <w:rPr>
                <w:rFonts w:eastAsia="Times New Roman" w:cs="Calibri"/>
                <w:sz w:val="24"/>
                <w:szCs w:val="24"/>
                <w:lang w:eastAsia="pt-BR"/>
              </w:rPr>
            </w:pPr>
          </w:p>
        </w:tc>
      </w:tr>
      <w:tr w:rsidR="00566B0E" w:rsidRPr="0042732A" w:rsidTr="00C2271A">
        <w:tc>
          <w:tcPr>
            <w:tcW w:w="2965" w:type="dxa"/>
            <w:shd w:val="clear" w:color="auto" w:fill="auto"/>
            <w:vAlign w:val="bottom"/>
          </w:tcPr>
          <w:p w:rsidR="00566B0E" w:rsidRDefault="00566B0E" w:rsidP="00682977">
            <w:pPr>
              <w:rPr>
                <w:rFonts w:ascii="Arial" w:hAnsi="Arial" w:cs="Arial"/>
                <w:sz w:val="20"/>
                <w:szCs w:val="20"/>
              </w:rPr>
            </w:pPr>
            <w:r>
              <w:rPr>
                <w:rFonts w:ascii="Arial" w:hAnsi="Arial" w:cs="Arial"/>
                <w:sz w:val="20"/>
                <w:szCs w:val="20"/>
              </w:rPr>
              <w:t>VIXCLS</w:t>
            </w:r>
          </w:p>
        </w:tc>
        <w:tc>
          <w:tcPr>
            <w:tcW w:w="2838" w:type="dxa"/>
            <w:shd w:val="clear" w:color="auto" w:fill="auto"/>
            <w:vAlign w:val="bottom"/>
          </w:tcPr>
          <w:p w:rsidR="00566B0E" w:rsidRDefault="00566B0E" w:rsidP="00682977">
            <w:pPr>
              <w:rPr>
                <w:rFonts w:ascii="Arial" w:hAnsi="Arial" w:cs="Arial"/>
                <w:sz w:val="20"/>
                <w:szCs w:val="20"/>
              </w:rPr>
            </w:pPr>
            <w:r>
              <w:rPr>
                <w:rFonts w:ascii="Arial" w:hAnsi="Arial" w:cs="Arial"/>
                <w:sz w:val="20"/>
                <w:szCs w:val="20"/>
              </w:rPr>
              <w:t>CBOE Volatility Index: VIX, Index, Daily, Not Seasonally Adjusted</w:t>
            </w:r>
          </w:p>
        </w:tc>
        <w:tc>
          <w:tcPr>
            <w:tcW w:w="2691" w:type="dxa"/>
            <w:shd w:val="clear" w:color="auto" w:fill="auto"/>
          </w:tcPr>
          <w:p w:rsidR="00566B0E" w:rsidRDefault="00566B0E"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Float</w:t>
            </w:r>
          </w:p>
        </w:tc>
      </w:tr>
      <w:tr w:rsidR="00566B0E" w:rsidRPr="0042732A" w:rsidTr="00C2271A">
        <w:tc>
          <w:tcPr>
            <w:tcW w:w="2965" w:type="dxa"/>
            <w:shd w:val="clear" w:color="auto" w:fill="auto"/>
            <w:vAlign w:val="bottom"/>
          </w:tcPr>
          <w:p w:rsidR="00566B0E" w:rsidRDefault="00566B0E" w:rsidP="00682977">
            <w:pPr>
              <w:rPr>
                <w:rFonts w:ascii="Arial" w:hAnsi="Arial" w:cs="Arial"/>
                <w:sz w:val="20"/>
                <w:szCs w:val="20"/>
              </w:rPr>
            </w:pPr>
            <w:r>
              <w:rPr>
                <w:rFonts w:ascii="Arial" w:hAnsi="Arial" w:cs="Arial"/>
                <w:sz w:val="20"/>
                <w:szCs w:val="20"/>
              </w:rPr>
              <w:t>DGS10</w:t>
            </w:r>
          </w:p>
        </w:tc>
        <w:tc>
          <w:tcPr>
            <w:tcW w:w="2838" w:type="dxa"/>
            <w:shd w:val="clear" w:color="auto" w:fill="auto"/>
            <w:vAlign w:val="bottom"/>
          </w:tcPr>
          <w:p w:rsidR="00566B0E" w:rsidRDefault="00566B0E" w:rsidP="00682977">
            <w:pPr>
              <w:rPr>
                <w:rFonts w:ascii="Arial" w:hAnsi="Arial" w:cs="Arial"/>
                <w:sz w:val="20"/>
                <w:szCs w:val="20"/>
              </w:rPr>
            </w:pPr>
            <w:r>
              <w:rPr>
                <w:rFonts w:ascii="Arial" w:hAnsi="Arial" w:cs="Arial"/>
                <w:sz w:val="20"/>
                <w:szCs w:val="20"/>
              </w:rPr>
              <w:t>10-Year Treasury Constant Maturity Rate, Percent, Daily, Not Seasonally Adjusted</w:t>
            </w:r>
          </w:p>
        </w:tc>
        <w:tc>
          <w:tcPr>
            <w:tcW w:w="2691" w:type="dxa"/>
            <w:shd w:val="clear" w:color="auto" w:fill="auto"/>
          </w:tcPr>
          <w:p w:rsidR="00566B0E" w:rsidRDefault="00566B0E"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Float</w:t>
            </w:r>
          </w:p>
        </w:tc>
      </w:tr>
      <w:tr w:rsidR="00566B0E" w:rsidRPr="0042732A" w:rsidTr="00C2271A">
        <w:tc>
          <w:tcPr>
            <w:tcW w:w="2965" w:type="dxa"/>
            <w:shd w:val="clear" w:color="auto" w:fill="auto"/>
            <w:vAlign w:val="bottom"/>
          </w:tcPr>
          <w:p w:rsidR="00566B0E" w:rsidRDefault="00566B0E" w:rsidP="00682977">
            <w:pPr>
              <w:rPr>
                <w:rFonts w:ascii="Arial" w:hAnsi="Arial" w:cs="Arial"/>
                <w:sz w:val="20"/>
                <w:szCs w:val="20"/>
              </w:rPr>
            </w:pPr>
            <w:r w:rsidRPr="00166F1B">
              <w:rPr>
                <w:rFonts w:ascii="Arial" w:hAnsi="Arial" w:cs="Arial"/>
                <w:sz w:val="20"/>
                <w:szCs w:val="20"/>
              </w:rPr>
              <w:t>AAA10Y</w:t>
            </w:r>
          </w:p>
        </w:tc>
        <w:tc>
          <w:tcPr>
            <w:tcW w:w="2838" w:type="dxa"/>
            <w:shd w:val="clear" w:color="auto" w:fill="auto"/>
            <w:vAlign w:val="bottom"/>
          </w:tcPr>
          <w:p w:rsidR="00566B0E" w:rsidRDefault="00566B0E" w:rsidP="00682977">
            <w:pPr>
              <w:rPr>
                <w:rFonts w:ascii="Arial" w:hAnsi="Arial" w:cs="Arial"/>
                <w:sz w:val="20"/>
                <w:szCs w:val="20"/>
              </w:rPr>
            </w:pPr>
            <w:r>
              <w:t>Series is calculated as the spread between Moody's Seasoned Aaa (DAAA) and 10-Year Treasury Constant Maturity (BC_10YEARM)</w:t>
            </w:r>
          </w:p>
        </w:tc>
        <w:tc>
          <w:tcPr>
            <w:tcW w:w="2691" w:type="dxa"/>
            <w:shd w:val="clear" w:color="auto" w:fill="auto"/>
          </w:tcPr>
          <w:p w:rsidR="00566B0E" w:rsidRDefault="00566B0E"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Float</w:t>
            </w:r>
          </w:p>
        </w:tc>
      </w:tr>
      <w:tr w:rsidR="00566B0E" w:rsidRPr="0042732A" w:rsidTr="00C2271A">
        <w:tc>
          <w:tcPr>
            <w:tcW w:w="2965" w:type="dxa"/>
            <w:shd w:val="clear" w:color="auto" w:fill="auto"/>
            <w:vAlign w:val="bottom"/>
          </w:tcPr>
          <w:p w:rsidR="00566B0E" w:rsidRPr="00A23183" w:rsidRDefault="00566B0E" w:rsidP="00682977">
            <w:pPr>
              <w:rPr>
                <w:rFonts w:ascii="Arial" w:hAnsi="Arial" w:cs="Arial"/>
                <w:sz w:val="20"/>
                <w:szCs w:val="20"/>
              </w:rPr>
            </w:pPr>
            <w:r w:rsidRPr="00A23183">
              <w:rPr>
                <w:rFonts w:ascii="Arial" w:hAnsi="Arial" w:cs="Arial"/>
                <w:sz w:val="20"/>
                <w:szCs w:val="20"/>
              </w:rPr>
              <w:t>BAMLH0A0HYM2EY</w:t>
            </w:r>
          </w:p>
        </w:tc>
        <w:tc>
          <w:tcPr>
            <w:tcW w:w="2838" w:type="dxa"/>
            <w:shd w:val="clear" w:color="auto" w:fill="auto"/>
            <w:vAlign w:val="bottom"/>
          </w:tcPr>
          <w:p w:rsidR="00566B0E" w:rsidRPr="00A23183" w:rsidRDefault="00566B0E" w:rsidP="00682977">
            <w:pPr>
              <w:rPr>
                <w:rFonts w:ascii="Arial" w:hAnsi="Arial" w:cs="Arial"/>
                <w:sz w:val="20"/>
                <w:szCs w:val="20"/>
              </w:rPr>
            </w:pPr>
            <w:r w:rsidRPr="00A23183">
              <w:rPr>
                <w:rFonts w:ascii="Arial" w:hAnsi="Arial" w:cs="Arial"/>
                <w:sz w:val="20"/>
                <w:szCs w:val="20"/>
              </w:rPr>
              <w:t>ICE BofA US High Yield Index Effective Yield</w:t>
            </w:r>
          </w:p>
        </w:tc>
        <w:tc>
          <w:tcPr>
            <w:tcW w:w="2691" w:type="dxa"/>
            <w:shd w:val="clear" w:color="auto" w:fill="auto"/>
          </w:tcPr>
          <w:p w:rsidR="00566B0E" w:rsidRDefault="00566B0E" w:rsidP="00682977">
            <w:pPr>
              <w:suppressAutoHyphens/>
              <w:spacing w:after="0" w:line="360" w:lineRule="auto"/>
              <w:jc w:val="both"/>
              <w:rPr>
                <w:rFonts w:eastAsia="Times New Roman" w:cs="Calibri"/>
                <w:sz w:val="24"/>
                <w:szCs w:val="24"/>
                <w:lang w:eastAsia="pt-BR"/>
              </w:rPr>
            </w:pPr>
            <w:r>
              <w:rPr>
                <w:rFonts w:eastAsia="Times New Roman" w:cs="Calibri"/>
                <w:sz w:val="24"/>
                <w:szCs w:val="24"/>
                <w:lang w:eastAsia="pt-BR"/>
              </w:rPr>
              <w:t>Float</w:t>
            </w:r>
          </w:p>
        </w:tc>
      </w:tr>
      <w:tr w:rsidR="00566B0E" w:rsidRPr="004D4B4B" w:rsidTr="00C2271A">
        <w:tc>
          <w:tcPr>
            <w:tcW w:w="2965" w:type="dxa"/>
            <w:shd w:val="clear" w:color="auto" w:fill="auto"/>
            <w:vAlign w:val="bottom"/>
          </w:tcPr>
          <w:p w:rsidR="00566B0E" w:rsidRPr="004D4B4B" w:rsidRDefault="00566B0E" w:rsidP="00682977">
            <w:pPr>
              <w:rPr>
                <w:rFonts w:ascii="Arial" w:hAnsi="Arial" w:cs="Arial"/>
                <w:sz w:val="20"/>
                <w:szCs w:val="20"/>
              </w:rPr>
            </w:pPr>
            <w:r w:rsidRPr="004D4B4B">
              <w:rPr>
                <w:rFonts w:ascii="Arial" w:hAnsi="Arial" w:cs="Arial"/>
                <w:sz w:val="20"/>
                <w:szCs w:val="20"/>
              </w:rPr>
              <w:t>GEPUCURRENT</w:t>
            </w:r>
          </w:p>
        </w:tc>
        <w:tc>
          <w:tcPr>
            <w:tcW w:w="2838" w:type="dxa"/>
            <w:shd w:val="clear" w:color="auto" w:fill="auto"/>
            <w:vAlign w:val="bottom"/>
          </w:tcPr>
          <w:p w:rsidR="00566B0E" w:rsidRPr="004D4B4B" w:rsidRDefault="00566B0E" w:rsidP="00682977">
            <w:pPr>
              <w:rPr>
                <w:rFonts w:ascii="Arial" w:hAnsi="Arial" w:cs="Arial"/>
                <w:sz w:val="20"/>
                <w:szCs w:val="20"/>
              </w:rPr>
            </w:pPr>
            <w:r w:rsidRPr="004D4B4B">
              <w:rPr>
                <w:rFonts w:ascii="Arial" w:hAnsi="Arial" w:cs="Arial"/>
                <w:sz w:val="20"/>
                <w:szCs w:val="20"/>
              </w:rPr>
              <w:t>Global Economic Policy Uncertainty Index: Current Price Adjusted GDP</w:t>
            </w:r>
          </w:p>
        </w:tc>
        <w:tc>
          <w:tcPr>
            <w:tcW w:w="2691" w:type="dxa"/>
            <w:shd w:val="clear" w:color="auto" w:fill="auto"/>
          </w:tcPr>
          <w:p w:rsidR="00566B0E" w:rsidRPr="004D4B4B" w:rsidRDefault="00566B0E" w:rsidP="00682977">
            <w:pPr>
              <w:rPr>
                <w:rFonts w:ascii="Arial" w:hAnsi="Arial" w:cs="Arial"/>
                <w:sz w:val="20"/>
                <w:szCs w:val="20"/>
              </w:rPr>
            </w:pPr>
            <w:r>
              <w:rPr>
                <w:rFonts w:ascii="Arial" w:hAnsi="Arial" w:cs="Arial"/>
                <w:sz w:val="20"/>
                <w:szCs w:val="20"/>
              </w:rPr>
              <w:t>Float</w:t>
            </w:r>
          </w:p>
        </w:tc>
      </w:tr>
      <w:tr w:rsidR="00566B0E" w:rsidRPr="004D4B4B" w:rsidTr="00C2271A">
        <w:tc>
          <w:tcPr>
            <w:tcW w:w="2965" w:type="dxa"/>
            <w:shd w:val="clear" w:color="auto" w:fill="auto"/>
            <w:vAlign w:val="bottom"/>
          </w:tcPr>
          <w:p w:rsidR="00566B0E" w:rsidRPr="00D2633B" w:rsidRDefault="00566B0E" w:rsidP="00682977">
            <w:pPr>
              <w:rPr>
                <w:rFonts w:ascii="Arial" w:hAnsi="Arial" w:cs="Arial"/>
                <w:sz w:val="20"/>
                <w:szCs w:val="20"/>
              </w:rPr>
            </w:pPr>
            <w:r w:rsidRPr="00D2633B">
              <w:rPr>
                <w:rFonts w:ascii="Arial" w:hAnsi="Arial" w:cs="Arial"/>
                <w:sz w:val="20"/>
                <w:szCs w:val="20"/>
              </w:rPr>
              <w:t>DGS3MO</w:t>
            </w:r>
          </w:p>
        </w:tc>
        <w:tc>
          <w:tcPr>
            <w:tcW w:w="2838" w:type="dxa"/>
            <w:shd w:val="clear" w:color="auto" w:fill="auto"/>
            <w:vAlign w:val="bottom"/>
          </w:tcPr>
          <w:p w:rsidR="00566B0E" w:rsidRPr="00D2633B" w:rsidRDefault="00566B0E" w:rsidP="00682977">
            <w:pPr>
              <w:rPr>
                <w:rFonts w:ascii="Arial" w:hAnsi="Arial" w:cs="Arial"/>
                <w:sz w:val="20"/>
                <w:szCs w:val="20"/>
              </w:rPr>
            </w:pPr>
            <w:r w:rsidRPr="00D2633B">
              <w:rPr>
                <w:rFonts w:ascii="Arial" w:hAnsi="Arial" w:cs="Arial"/>
                <w:sz w:val="20"/>
                <w:szCs w:val="20"/>
              </w:rPr>
              <w:t>3-Month Treasury Constant Maturity Rate</w:t>
            </w:r>
          </w:p>
        </w:tc>
        <w:tc>
          <w:tcPr>
            <w:tcW w:w="2691" w:type="dxa"/>
            <w:shd w:val="clear" w:color="auto" w:fill="auto"/>
          </w:tcPr>
          <w:p w:rsidR="00566B0E" w:rsidRDefault="00566B0E" w:rsidP="00682977">
            <w:pPr>
              <w:rPr>
                <w:rFonts w:ascii="Arial" w:hAnsi="Arial" w:cs="Arial"/>
                <w:sz w:val="20"/>
                <w:szCs w:val="20"/>
              </w:rPr>
            </w:pPr>
            <w:r>
              <w:rPr>
                <w:rFonts w:ascii="Arial" w:hAnsi="Arial" w:cs="Arial"/>
                <w:sz w:val="20"/>
                <w:szCs w:val="20"/>
              </w:rPr>
              <w:t>Float</w:t>
            </w:r>
          </w:p>
        </w:tc>
      </w:tr>
    </w:tbl>
    <w:p w:rsidR="00566B0E" w:rsidRPr="00F30728" w:rsidRDefault="00566B0E" w:rsidP="007D3A12"/>
    <w:sectPr w:rsidR="00566B0E" w:rsidRPr="00F3072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FA6" w:rsidRDefault="00BB7FA6" w:rsidP="006F14C5">
      <w:pPr>
        <w:spacing w:after="0" w:line="240" w:lineRule="auto"/>
      </w:pPr>
      <w:r>
        <w:separator/>
      </w:r>
    </w:p>
  </w:endnote>
  <w:endnote w:type="continuationSeparator" w:id="0">
    <w:p w:rsidR="00BB7FA6" w:rsidRDefault="00BB7FA6" w:rsidP="006F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FA6" w:rsidRDefault="00BB7FA6" w:rsidP="006F14C5">
      <w:pPr>
        <w:spacing w:after="0" w:line="240" w:lineRule="auto"/>
      </w:pPr>
      <w:r>
        <w:separator/>
      </w:r>
    </w:p>
  </w:footnote>
  <w:footnote w:type="continuationSeparator" w:id="0">
    <w:p w:rsidR="00BB7FA6" w:rsidRDefault="00BB7FA6" w:rsidP="006F1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4C5" w:rsidRDefault="006F14C5">
    <w:pPr>
      <w:pStyle w:val="Cabealho"/>
    </w:pPr>
    <w:r>
      <w:rPr>
        <w:noProof/>
        <w:lang w:eastAsia="pt-B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d537471ea73968b1e82880fd" descr="{&quot;HashCode&quot;:-148729239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F14C5" w:rsidRPr="006F14C5" w:rsidRDefault="006F14C5" w:rsidP="006F14C5">
                          <w:pPr>
                            <w:spacing w:after="0"/>
                            <w:jc w:val="right"/>
                            <w:rPr>
                              <w:rFonts w:ascii="Calibri" w:hAnsi="Calibri" w:cs="Calibri"/>
                              <w:color w:val="000000"/>
                              <w:sz w:val="20"/>
                            </w:rPr>
                          </w:pPr>
                          <w:r w:rsidRPr="006F14C5">
                            <w:rPr>
                              <w:rFonts w:ascii="Calibri" w:hAnsi="Calibri" w:cs="Calibri"/>
                              <w:color w:val="000000"/>
                              <w:sz w:val="20"/>
                            </w:rPr>
                            <w:t>#interna</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537471ea73968b1e82880fd" o:spid="_x0000_s1026" type="#_x0000_t202" alt="{&quot;HashCode&quot;:-1487292391,&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" o:allowincell="f" filled="f" stroked="f" strokeweight=".5pt">
              <v:textbox inset=",0,20pt,0">
                <w:txbxContent>
                  <w:p w:rsidR="006F14C5" w:rsidRPr="006F14C5" w:rsidRDefault="006F14C5" w:rsidP="006F14C5">
                    <w:pPr>
                      <w:spacing w:after="0"/>
                      <w:jc w:val="right"/>
                      <w:rPr>
                        <w:rFonts w:ascii="Calibri" w:hAnsi="Calibri" w:cs="Calibri"/>
                        <w:color w:val="000000"/>
                        <w:sz w:val="20"/>
                      </w:rPr>
                    </w:pPr>
                    <w:r w:rsidRPr="006F14C5">
                      <w:rPr>
                        <w:rFonts w:ascii="Calibri" w:hAnsi="Calibri" w:cs="Calibri"/>
                        <w:color w:val="000000"/>
                        <w:sz w:val="20"/>
                      </w:rPr>
                      <w:t>#interna</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12"/>
    <w:rsid w:val="00060444"/>
    <w:rsid w:val="000C2516"/>
    <w:rsid w:val="00306374"/>
    <w:rsid w:val="003E4F37"/>
    <w:rsid w:val="003F555B"/>
    <w:rsid w:val="00537096"/>
    <w:rsid w:val="00556921"/>
    <w:rsid w:val="0056653A"/>
    <w:rsid w:val="00566B0E"/>
    <w:rsid w:val="006F14C5"/>
    <w:rsid w:val="007D3A12"/>
    <w:rsid w:val="008663B3"/>
    <w:rsid w:val="00885362"/>
    <w:rsid w:val="00921BA8"/>
    <w:rsid w:val="00982CE8"/>
    <w:rsid w:val="00AC4664"/>
    <w:rsid w:val="00B76A83"/>
    <w:rsid w:val="00BB7FA6"/>
    <w:rsid w:val="00C2271A"/>
    <w:rsid w:val="00DF59C4"/>
    <w:rsid w:val="00E65D1E"/>
    <w:rsid w:val="00F30728"/>
    <w:rsid w:val="00F769A3"/>
    <w:rsid w:val="00F76FA9"/>
    <w:rsid w:val="00F96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89715"/>
  <w15:chartTrackingRefBased/>
  <w15:docId w15:val="{F2C6224A-D84C-40D1-A5D8-3DB6F12E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14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14C5"/>
  </w:style>
  <w:style w:type="paragraph" w:styleId="Rodap">
    <w:name w:val="footer"/>
    <w:basedOn w:val="Normal"/>
    <w:link w:val="RodapChar"/>
    <w:uiPriority w:val="99"/>
    <w:unhideWhenUsed/>
    <w:rsid w:val="006F14C5"/>
    <w:pPr>
      <w:tabs>
        <w:tab w:val="center" w:pos="4252"/>
        <w:tab w:val="right" w:pos="8504"/>
      </w:tabs>
      <w:spacing w:after="0" w:line="240" w:lineRule="auto"/>
    </w:pPr>
  </w:style>
  <w:style w:type="character" w:customStyle="1" w:styleId="RodapChar">
    <w:name w:val="Rodapé Char"/>
    <w:basedOn w:val="Fontepargpadro"/>
    <w:link w:val="Rodap"/>
    <w:uiPriority w:val="99"/>
    <w:rsid w:val="006F14C5"/>
  </w:style>
  <w:style w:type="character" w:styleId="nfase">
    <w:name w:val="Emphasis"/>
    <w:basedOn w:val="Fontepargpadro"/>
    <w:uiPriority w:val="20"/>
    <w:qFormat/>
    <w:rsid w:val="00566B0E"/>
    <w:rPr>
      <w:i/>
      <w:iCs/>
    </w:rPr>
  </w:style>
  <w:style w:type="paragraph" w:styleId="NormalWeb">
    <w:name w:val="Normal (Web)"/>
    <w:basedOn w:val="Normal"/>
    <w:uiPriority w:val="99"/>
    <w:semiHidden/>
    <w:unhideWhenUsed/>
    <w:rsid w:val="00566B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66B0E"/>
    <w:rPr>
      <w:color w:val="0000FF"/>
      <w:u w:val="single"/>
    </w:rPr>
  </w:style>
  <w:style w:type="character" w:customStyle="1" w:styleId="series-meta-value">
    <w:name w:val="series-meta-value"/>
    <w:basedOn w:val="Fontepargpadro"/>
    <w:rsid w:val="00C2271A"/>
  </w:style>
  <w:style w:type="character" w:customStyle="1" w:styleId="series-meta-value-units">
    <w:name w:val="series-meta-value-units"/>
    <w:basedOn w:val="Fontepargpadro"/>
    <w:rsid w:val="00C2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3771">
      <w:bodyDiv w:val="1"/>
      <w:marLeft w:val="0"/>
      <w:marRight w:val="0"/>
      <w:marTop w:val="0"/>
      <w:marBottom w:val="0"/>
      <w:divBdr>
        <w:top w:val="none" w:sz="0" w:space="0" w:color="auto"/>
        <w:left w:val="none" w:sz="0" w:space="0" w:color="auto"/>
        <w:bottom w:val="none" w:sz="0" w:space="0" w:color="auto"/>
        <w:right w:val="none" w:sz="0" w:space="0" w:color="auto"/>
      </w:divBdr>
      <w:divsChild>
        <w:div w:id="907500387">
          <w:marLeft w:val="0"/>
          <w:marRight w:val="0"/>
          <w:marTop w:val="0"/>
          <w:marBottom w:val="0"/>
          <w:divBdr>
            <w:top w:val="none" w:sz="0" w:space="0" w:color="auto"/>
            <w:left w:val="none" w:sz="0" w:space="0" w:color="auto"/>
            <w:bottom w:val="none" w:sz="0" w:space="0" w:color="auto"/>
            <w:right w:val="none" w:sz="0" w:space="0" w:color="auto"/>
          </w:divBdr>
        </w:div>
      </w:divsChild>
    </w:div>
    <w:div w:id="185754106">
      <w:bodyDiv w:val="1"/>
      <w:marLeft w:val="0"/>
      <w:marRight w:val="0"/>
      <w:marTop w:val="0"/>
      <w:marBottom w:val="0"/>
      <w:divBdr>
        <w:top w:val="none" w:sz="0" w:space="0" w:color="auto"/>
        <w:left w:val="none" w:sz="0" w:space="0" w:color="auto"/>
        <w:bottom w:val="none" w:sz="0" w:space="0" w:color="auto"/>
        <w:right w:val="none" w:sz="0" w:space="0" w:color="auto"/>
      </w:divBdr>
      <w:divsChild>
        <w:div w:id="723062365">
          <w:marLeft w:val="0"/>
          <w:marRight w:val="0"/>
          <w:marTop w:val="0"/>
          <w:marBottom w:val="0"/>
          <w:divBdr>
            <w:top w:val="none" w:sz="0" w:space="0" w:color="auto"/>
            <w:left w:val="none" w:sz="0" w:space="0" w:color="auto"/>
            <w:bottom w:val="none" w:sz="0" w:space="0" w:color="auto"/>
            <w:right w:val="none" w:sz="0" w:space="0" w:color="auto"/>
          </w:divBdr>
        </w:div>
      </w:divsChild>
    </w:div>
    <w:div w:id="1637442700">
      <w:bodyDiv w:val="1"/>
      <w:marLeft w:val="0"/>
      <w:marRight w:val="0"/>
      <w:marTop w:val="0"/>
      <w:marBottom w:val="0"/>
      <w:divBdr>
        <w:top w:val="none" w:sz="0" w:space="0" w:color="auto"/>
        <w:left w:val="none" w:sz="0" w:space="0" w:color="auto"/>
        <w:bottom w:val="none" w:sz="0" w:space="0" w:color="auto"/>
        <w:right w:val="none" w:sz="0" w:space="0" w:color="auto"/>
      </w:divBdr>
    </w:div>
    <w:div w:id="1674215069">
      <w:bodyDiv w:val="1"/>
      <w:marLeft w:val="0"/>
      <w:marRight w:val="0"/>
      <w:marTop w:val="0"/>
      <w:marBottom w:val="0"/>
      <w:divBdr>
        <w:top w:val="none" w:sz="0" w:space="0" w:color="auto"/>
        <w:left w:val="none" w:sz="0" w:space="0" w:color="auto"/>
        <w:bottom w:val="none" w:sz="0" w:space="0" w:color="auto"/>
        <w:right w:val="none" w:sz="0" w:space="0" w:color="auto"/>
      </w:divBdr>
      <w:divsChild>
        <w:div w:id="364596746">
          <w:marLeft w:val="0"/>
          <w:marRight w:val="0"/>
          <w:marTop w:val="0"/>
          <w:marBottom w:val="0"/>
          <w:divBdr>
            <w:top w:val="none" w:sz="0" w:space="0" w:color="auto"/>
            <w:left w:val="none" w:sz="0" w:space="0" w:color="auto"/>
            <w:bottom w:val="none" w:sz="0" w:space="0" w:color="auto"/>
            <w:right w:val="none" w:sz="0" w:space="0" w:color="auto"/>
          </w:divBdr>
          <w:divsChild>
            <w:div w:id="1297374838">
              <w:marLeft w:val="0"/>
              <w:marRight w:val="0"/>
              <w:marTop w:val="0"/>
              <w:marBottom w:val="0"/>
              <w:divBdr>
                <w:top w:val="none" w:sz="0" w:space="0" w:color="auto"/>
                <w:left w:val="none" w:sz="0" w:space="0" w:color="auto"/>
                <w:bottom w:val="none" w:sz="0" w:space="0" w:color="auto"/>
                <w:right w:val="none" w:sz="0" w:space="0" w:color="auto"/>
              </w:divBdr>
              <w:divsChild>
                <w:div w:id="447892527">
                  <w:marLeft w:val="0"/>
                  <w:marRight w:val="0"/>
                  <w:marTop w:val="0"/>
                  <w:marBottom w:val="0"/>
                  <w:divBdr>
                    <w:top w:val="none" w:sz="0" w:space="0" w:color="auto"/>
                    <w:left w:val="none" w:sz="0" w:space="0" w:color="auto"/>
                    <w:bottom w:val="none" w:sz="0" w:space="0" w:color="auto"/>
                    <w:right w:val="none" w:sz="0" w:space="0" w:color="auto"/>
                  </w:divBdr>
                  <w:divsChild>
                    <w:div w:id="206918242">
                      <w:marLeft w:val="0"/>
                      <w:marRight w:val="0"/>
                      <w:marTop w:val="0"/>
                      <w:marBottom w:val="0"/>
                      <w:divBdr>
                        <w:top w:val="none" w:sz="0" w:space="0" w:color="auto"/>
                        <w:left w:val="none" w:sz="0" w:space="0" w:color="auto"/>
                        <w:bottom w:val="none" w:sz="0" w:space="0" w:color="auto"/>
                        <w:right w:val="none" w:sz="0" w:space="0" w:color="auto"/>
                      </w:divBdr>
                      <w:divsChild>
                        <w:div w:id="17959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3702">
              <w:marLeft w:val="0"/>
              <w:marRight w:val="0"/>
              <w:marTop w:val="0"/>
              <w:marBottom w:val="0"/>
              <w:divBdr>
                <w:top w:val="none" w:sz="0" w:space="0" w:color="auto"/>
                <w:left w:val="none" w:sz="0" w:space="0" w:color="auto"/>
                <w:bottom w:val="none" w:sz="0" w:space="0" w:color="auto"/>
                <w:right w:val="none" w:sz="0" w:space="0" w:color="auto"/>
              </w:divBdr>
            </w:div>
            <w:div w:id="619457793">
              <w:marLeft w:val="0"/>
              <w:marRight w:val="0"/>
              <w:marTop w:val="0"/>
              <w:marBottom w:val="0"/>
              <w:divBdr>
                <w:top w:val="none" w:sz="0" w:space="0" w:color="auto"/>
                <w:left w:val="none" w:sz="0" w:space="0" w:color="auto"/>
                <w:bottom w:val="none" w:sz="0" w:space="0" w:color="auto"/>
                <w:right w:val="none" w:sz="0" w:space="0" w:color="auto"/>
              </w:divBdr>
              <w:divsChild>
                <w:div w:id="962035602">
                  <w:marLeft w:val="0"/>
                  <w:marRight w:val="0"/>
                  <w:marTop w:val="0"/>
                  <w:marBottom w:val="0"/>
                  <w:divBdr>
                    <w:top w:val="none" w:sz="0" w:space="0" w:color="auto"/>
                    <w:left w:val="none" w:sz="0" w:space="0" w:color="auto"/>
                    <w:bottom w:val="none" w:sz="0" w:space="0" w:color="auto"/>
                    <w:right w:val="none" w:sz="0" w:space="0" w:color="auto"/>
                  </w:divBdr>
                  <w:divsChild>
                    <w:div w:id="59640073">
                      <w:marLeft w:val="0"/>
                      <w:marRight w:val="0"/>
                      <w:marTop w:val="0"/>
                      <w:marBottom w:val="0"/>
                      <w:divBdr>
                        <w:top w:val="none" w:sz="0" w:space="0" w:color="auto"/>
                        <w:left w:val="none" w:sz="0" w:space="0" w:color="auto"/>
                        <w:bottom w:val="none" w:sz="0" w:space="0" w:color="auto"/>
                        <w:right w:val="none" w:sz="0" w:space="0" w:color="auto"/>
                      </w:divBdr>
                      <w:divsChild>
                        <w:div w:id="15245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quandl.com/data/USTREASURY/HQMYC-High-Quality-Market-Corporate-Bond-Yield-Curve-Spot-R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4761</TotalTime>
  <Pages>1</Pages>
  <Words>668</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Pereira Reggiani</dc:creator>
  <cp:keywords/>
  <dc:description/>
  <cp:lastModifiedBy>Renato Pereira Reggiani</cp:lastModifiedBy>
  <cp:revision>6</cp:revision>
  <dcterms:created xsi:type="dcterms:W3CDTF">2021-07-28T13:40:00Z</dcterms:created>
  <dcterms:modified xsi:type="dcterms:W3CDTF">2021-09-08T12:44:00Z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881dc9-f7f2-41de-a334-ceff3dc15b31_Enabled">
    <vt:lpwstr>true</vt:lpwstr>
  </property>
  <property fmtid="{D5CDD505-2E9C-101B-9397-08002B2CF9AE}" pid="3" name="MSIP_Label_40881dc9-f7f2-41de-a334-ceff3dc15b31_SetDate">
    <vt:lpwstr>2021-09-08T12:44:44Z</vt:lpwstr>
  </property>
  <property fmtid="{D5CDD505-2E9C-101B-9397-08002B2CF9AE}" pid="4" name="MSIP_Label_40881dc9-f7f2-41de-a334-ceff3dc15b31_Method">
    <vt:lpwstr>Standard</vt:lpwstr>
  </property>
  <property fmtid="{D5CDD505-2E9C-101B-9397-08002B2CF9AE}" pid="5" name="MSIP_Label_40881dc9-f7f2-41de-a334-ceff3dc15b31_Name">
    <vt:lpwstr>40881dc9-f7f2-41de-a334-ceff3dc15b31</vt:lpwstr>
  </property>
  <property fmtid="{D5CDD505-2E9C-101B-9397-08002B2CF9AE}" pid="6" name="MSIP_Label_40881dc9-f7f2-41de-a334-ceff3dc15b31_SiteId">
    <vt:lpwstr>ea0c2907-38d2-4181-8750-b0b190b60443</vt:lpwstr>
  </property>
  <property fmtid="{D5CDD505-2E9C-101B-9397-08002B2CF9AE}" pid="7" name="MSIP_Label_40881dc9-f7f2-41de-a334-ceff3dc15b31_ActionId">
    <vt:lpwstr>ca2cf67a-de4c-4372-a5df-b2117909387d</vt:lpwstr>
  </property>
  <property fmtid="{D5CDD505-2E9C-101B-9397-08002B2CF9AE}" pid="8" name="MSIP_Label_40881dc9-f7f2-41de-a334-ceff3dc15b31_ContentBits">
    <vt:lpwstr>1</vt:lpwstr>
  </property>
</Properties>
</file>