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50"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5533"/>
              <w:gridCol w:w="1193"/>
              <w:gridCol w:w="1193"/>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(GTQ)</w:t>
                  </w:r>
                </w:p>
              </w:tc>
              <w:tc>
                <w:tcPr/>
                <w:p>
                  <w:pPr>
                    <w:pStyle w:val="Compact"/>
                    <w:jc w:val="right"/>
                    <w:jc w:val="center"/>
                  </w:pPr>
                  <w:r>
                    <w:rPr>
                      <w:bCs/>
                      <w:b/>
                    </w:rPr>
                    <w:t xml:space="preserve">Percent</w:t>
                  </w:r>
                </w:p>
              </w:tc>
            </w:tr>
            <w:tr>
              <w:tc>
                <w:tcPr/>
                <w:p>
                  <w:pPr>
                    <w:pStyle w:val="Compact"/>
                    <w:jc w:val="left"/>
                    <w:jc w:val="center"/>
                  </w:pPr>
                  <w:r>
                    <w:rPr>
                      <w:bCs/>
                      <w:b/>
                    </w:rPr>
                    <w:t xml:space="preserve">Bioeconomy</w:t>
                  </w:r>
                </w:p>
              </w:tc>
              <w:tc>
                <w:tcPr/>
                <w:p>
                  <w:pPr>
                    <w:pStyle w:val="Compact"/>
                  </w:pPr>
                </w:p>
              </w:tc>
              <w:tc>
                <w:tcPr/>
                <w:p>
                  <w:pPr>
                    <w:pStyle w:val="Compact"/>
                  </w:pP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w:t>
                  </w:r>
                </w:p>
              </w:tc>
              <w:tc>
                <w:tcPr/>
                <w:p>
                  <w:pPr>
                    <w:pStyle w:val="Compact"/>
                  </w:pPr>
                </w:p>
              </w:tc>
              <w:tc>
                <w:tcPr/>
                <w:p>
                  <w:pPr>
                    <w:pStyle w:val="Compact"/>
                  </w:pP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w:t>
                  </w:r>
                </w:p>
              </w:tc>
              <w:tc>
                <w:tcPr/>
                <w:p>
                  <w:pPr>
                    <w:pStyle w:val="Compact"/>
                  </w:pPr>
                </w:p>
              </w:tc>
              <w:tc>
                <w:tcPr/>
                <w:p>
                  <w:pPr>
                    <w:pStyle w:val="Compact"/>
                  </w:pP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t xml:space="preserve">87,565.5</w:t>
                  </w:r>
                </w:p>
              </w:tc>
              <w:tc>
                <w:tcPr/>
                <w:p>
                  <w:pPr>
                    <w:pStyle w:val="Compact"/>
                    <w:jc w:val="right"/>
                    <w:jc w:val="center"/>
                  </w:pPr>
                  <w:r>
                    <w:t xml:space="preserve">100%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Sectoral Bioeconomy detail (percent)</w:t>
      </w:r>
    </w:p>
    <w:bookmarkEnd w:id="47"/>
    <w:bookmarkEnd w:id="48"/>
    <w:bookmarkStart w:id="49" w:name="Xb2af0559ac95307f161ce072543771873fb88b4"/>
    <w:p>
      <w:pPr>
        <w:pStyle w:val="Heading3"/>
      </w:pPr>
      <w:r>
        <w:t xml:space="preserve">Comparative analysis for 13 economies of Latin America and The Caribbean</w:t>
      </w:r>
    </w:p>
    <w:bookmarkEnd w:id="49"/>
    <w:bookmarkEnd w:id="50"/>
    <w:bookmarkStart w:id="51" w:name="discussion"/>
    <w:p>
      <w:pPr>
        <w:pStyle w:val="Heading2"/>
      </w:pPr>
      <w:r>
        <w:t xml:space="preserve">Discussion</w:t>
      </w:r>
    </w:p>
    <w:bookmarkEnd w:id="51"/>
    <w:bookmarkStart w:id="72" w:name="references"/>
    <w:p>
      <w:pPr>
        <w:pStyle w:val="Heading2"/>
      </w:pPr>
      <w:r>
        <w:t xml:space="preserve">References</w:t>
      </w:r>
    </w:p>
    <w:bookmarkStart w:id="71" w:name="refs"/>
    <w:bookmarkStart w:id="53"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52">
        <w:r>
          <w:rPr>
            <w:rStyle w:val="Hyperlink"/>
          </w:rPr>
          <w:t xml:space="preserve">https://www.bccr.fi.cr/indicadores-economicos/cuentas-nacionales-periodo-de-referencia-2017</w:t>
        </w:r>
      </w:hyperlink>
    </w:p>
    <w:bookmarkEnd w:id="53"/>
    <w:bookmarkStart w:id="54"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54"/>
    <w:bookmarkStart w:id="56"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55">
        <w:r>
          <w:rPr>
            <w:rStyle w:val="Hyperlink"/>
          </w:rPr>
          <w:t xml:space="preserve">https://doi.org/10.1146/annurev-polisci-050517-124041</w:t>
        </w:r>
      </w:hyperlink>
    </w:p>
    <w:bookmarkEnd w:id="56"/>
    <w:bookmarkStart w:id="58"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57">
        <w:r>
          <w:rPr>
            <w:rStyle w:val="Hyperlink"/>
          </w:rPr>
          <w:t xml:space="preserve">https://statistics.cepal.org/repository/cou-mip/index.html?lang=es</w:t>
        </w:r>
      </w:hyperlink>
    </w:p>
    <w:bookmarkEnd w:id="58"/>
    <w:bookmarkStart w:id="59"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59"/>
    <w:bookmarkStart w:id="61"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60">
        <w:r>
          <w:rPr>
            <w:rStyle w:val="Hyperlink"/>
          </w:rPr>
          <w:t xml:space="preserve">https://unstats.un.org/unsd/nationalaccount/sna2008.asp</w:t>
        </w:r>
      </w:hyperlink>
    </w:p>
    <w:bookmarkEnd w:id="61"/>
    <w:bookmarkStart w:id="62"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62"/>
    <w:bookmarkStart w:id="64"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63">
        <w:r>
          <w:rPr>
            <w:rStyle w:val="Hyperlink"/>
          </w:rPr>
          <w:t xml:space="preserve">https://www.micit.go.cr/sites/default/files/estrategia_nacional_bioeconomia_cr_corregido.pdf</w:t>
        </w:r>
      </w:hyperlink>
    </w:p>
    <w:bookmarkEnd w:id="64"/>
    <w:bookmarkStart w:id="66"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65">
        <w:r>
          <w:rPr>
            <w:rStyle w:val="Hyperlink"/>
          </w:rPr>
          <w:t xml:space="preserve">https://unstats.un.org/unsd/classifications/Econ/isic</w:t>
        </w:r>
      </w:hyperlink>
    </w:p>
    <w:bookmarkEnd w:id="66"/>
    <w:bookmarkStart w:id="68"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67">
        <w:r>
          <w:rPr>
            <w:rStyle w:val="Hyperlink"/>
          </w:rPr>
          <w:t xml:space="preserve">https://unstats.un.org/unsd/classifications/Econ/cpc</w:t>
        </w:r>
      </w:hyperlink>
    </w:p>
    <w:bookmarkEnd w:id="68"/>
    <w:bookmarkStart w:id="70"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69">
        <w:r>
          <w:rPr>
            <w:rStyle w:val="Hyperlink"/>
          </w:rPr>
          <w:t xml:space="preserve">https://www.cepal.org/es/publicaciones/48641-cuenta-satelite-bioeconomia-costa-rica-propuesta-metodologica-aplicacion</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146/annurev-polisci-050517-124041" TargetMode="External" /><Relationship Type="http://schemas.openxmlformats.org/officeDocument/2006/relationships/hyperlink" Id="rId57" Target="https://statistics.cepal.org/repository/cou-mip/index.html?lang=es" TargetMode="External" /><Relationship Type="http://schemas.openxmlformats.org/officeDocument/2006/relationships/hyperlink" Id="rId67" Target="https://unstats.un.org/unsd/classifications/Econ/cpc" TargetMode="External" /><Relationship Type="http://schemas.openxmlformats.org/officeDocument/2006/relationships/hyperlink" Id="rId65" Target="https://unstats.un.org/unsd/classifications/Econ/isic" TargetMode="External" /><Relationship Type="http://schemas.openxmlformats.org/officeDocument/2006/relationships/hyperlink" Id="rId60" Target="https://unstats.un.org/unsd/nationalaccount/sna2008.asp" TargetMode="External" /><Relationship Type="http://schemas.openxmlformats.org/officeDocument/2006/relationships/hyperlink" Id="rId52" Target="https://www.bccr.fi.cr/indicadores-economicos/cuentas-nacionales-periodo-de-referencia-2017" TargetMode="External" /><Relationship Type="http://schemas.openxmlformats.org/officeDocument/2006/relationships/hyperlink" Id="rId69" Target="https://www.cepal.org/es/publicaciones/48641-cuenta-satelite-bioeconomia-costa-rica-propuesta-metodologica-aplicacion" TargetMode="External" /><Relationship Type="http://schemas.openxmlformats.org/officeDocument/2006/relationships/hyperlink" Id="rId63"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2024-10-07T23:40:33Z</dcterms:created>
  <dcterms:modified xsi:type="dcterms:W3CDTF">2024-10-07T23:40:33Z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