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4.png" ContentType="image/png"/>
  <Override PartName="/word/media/rId42.png" ContentType="image/png"/>
  <Override PartName="/word/media/rId38.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w:t>
      </w:r>
      <w:r>
        <w:t xml:space="preserve"> </w:t>
      </w:r>
      <w:r>
        <w:t xml:space="preserve">of</w:t>
      </w:r>
      <w:r>
        <w:t xml:space="preserve"> </w:t>
      </w:r>
      <w:r>
        <w:t xml:space="preserve">Guatemala</w:t>
      </w:r>
      <w:r>
        <w:t xml:space="preserve"> </w:t>
      </w:r>
      <w:r>
        <w:t xml:space="preserve">and</w:t>
      </w:r>
      <w:r>
        <w:t xml:space="preserve"> </w:t>
      </w:r>
      <w:r>
        <w:t xml:space="preserve">Costa</w:t>
      </w:r>
      <w:r>
        <w:t xml:space="preserve"> </w:t>
      </w:r>
      <w:r>
        <w:t xml:space="preserve">Rica,</w:t>
      </w:r>
      <w:r>
        <w:t xml:space="preserve"> </w:t>
      </w:r>
      <w:r>
        <w:t xml:space="preserve">and</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(German Bioeconomy Council, 2018)</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provide opportunities to build upon what works and understand why it works</w:t>
      </w:r>
      <w:r>
        <w:t xml:space="preserve"> </w:t>
      </w:r>
      <w:r>
        <w:t xml:space="preserve">(Bowers &amp; Testa, 2019)</w:t>
      </w:r>
      <w:r>
        <w:t xml:space="preserve">. While Costa Rica has a long tradition in the production of environmental accounts</w:t>
      </w:r>
      <w:r>
        <w:t xml:space="preserve"> </w:t>
      </w:r>
      <w:r>
        <w:t xml:space="preserve">(BCCR, 2021)</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officials needed to close to design better policies around the subject.</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(Vargas, Alvarado, Rodríguez, Rodríguez, &amp; Wander, 2022)</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(European Commission et al., 2009)</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Cs/>
          <w:i/>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Cs/>
          <w:i/>
        </w:rPr>
        <w:t xml:space="preserve">21111 Fresh or chilled beef</w:t>
      </w:r>
      <w:r>
        <w:t xml:space="preserve"> </w:t>
      </w:r>
      <w:r>
        <w:t xml:space="preserve">or</w:t>
      </w:r>
      <w:r>
        <w:t xml:space="preserve"> </w:t>
      </w:r>
      <w:r>
        <w:rPr>
          <w:iCs/>
          <w:i/>
        </w:rPr>
        <w:t xml:space="preserve">21121 Fresh or chilled chicken</w:t>
      </w:r>
      <w:r>
        <w:t xml:space="preserve"> </w:t>
      </w:r>
      <w:r>
        <w:t xml:space="preserve">one step back in the supply chain, as well as</w:t>
      </w:r>
      <w:r>
        <w:t xml:space="preserve"> </w:t>
      </w:r>
      <w:r>
        <w:rPr>
          <w:iCs/>
          <w:i/>
        </w:rPr>
        <w:t xml:space="preserve">02111 Cattle</w:t>
      </w:r>
      <w:r>
        <w:t xml:space="preserve"> </w:t>
      </w:r>
      <w:r>
        <w:t xml:space="preserve">and</w:t>
      </w:r>
      <w:r>
        <w:t xml:space="preserve"> </w:t>
      </w:r>
      <w:r>
        <w:rPr>
          <w:iCs/>
          <w:i/>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Cs/>
          <w:i/>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Cs/>
          <w:i/>
        </w:rPr>
        <w:t xml:space="preserve">a priori</w:t>
      </w:r>
      <w:r>
        <w:t xml:space="preserve"> </w:t>
      </w:r>
      <w:r>
        <w:t xml:space="preserve">determination of bioeconomic activities has at least three important limitations.</w:t>
      </w:r>
    </w:p>
    <w:p>
      <w:pPr>
        <w:numPr>
          <w:ilvl w:val="0"/>
          <w:numId w:val="1002"/>
        </w:numPr>
        <w:pStyle w:val="Compact"/>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numPr>
          <w:ilvl w:val="0"/>
          <w:numId w:val="1002"/>
        </w:numPr>
        <w:pStyle w:val="Compact"/>
      </w:pPr>
      <w:r>
        <w:t xml:space="preserve">Secondary production of Non-Bioeconomic products within an activity classified as Bioeconomic</w:t>
      </w:r>
      <w:r>
        <w:t xml:space="preserve"> </w:t>
      </w:r>
      <w:r>
        <w:rPr>
          <w:iCs/>
          <w:i/>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numPr>
          <w:ilvl w:val="0"/>
          <w:numId w:val="1002"/>
        </w:numPr>
        <w:pStyle w:val="Compact"/>
      </w:pPr>
      <w:r>
        <w:rPr>
          <w:iCs/>
          <w:i/>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Cs/>
          <w:i/>
        </w:rPr>
        <w:t xml:space="preserve">a priori</w:t>
      </w:r>
      <w:r>
        <w:t xml:space="preserve"> </w:t>
      </w:r>
      <w:r>
        <w:t xml:space="preserve">determined bioeconomic activities. Our original estimates for Costa Rica</w:t>
      </w:r>
      <w:r>
        <w:t xml:space="preserve"> </w:t>
      </w:r>
      <w:r>
        <w:t xml:space="preserve">(Vargas et al.,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53"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—and insights at economic sector level from the Costa Rican case.</w:t>
      </w:r>
    </w:p>
    <w:bookmarkStart w:id="33" w:name="bioeconomy-sut-the-case-of-guatemala"/>
    <w:p>
      <w:pPr>
        <w:pStyle w:val="Heading3"/>
      </w:pPr>
      <w:r>
        <w:t xml:space="preserve">Bioeconomy SUT: The case of Guatemala</w:t>
      </w:r>
    </w:p>
    <w:p>
      <w:pPr>
        <w:pStyle w:val="FirstParagraph"/>
      </w:pPr>
      <w:r>
        <w:t xml:space="preserve">In the Supply Table (</w:t>
      </w:r>
      <w:hyperlink w:anchor="tbl-gtm19-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9-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ook w:firstRow="0" w:lastRow="0" w:firstColumn="0" w:lastColumn="0" w:noHBand="0" w:noVBand="0" w:val="0000"/>
        <w:jc w:val="start"/>
        <w:tblLayout w:type="fixed"/>
      </w:tblPr>
      <w:tblGrid>
        <w:gridCol w:w="7920"/>
      </w:tblGrid>
      <w:tr>
        <w:tc>
          <w:tcPr/>
          <w:bookmarkStart w:id="28" w:name="tbl-gtm19-sup"/>
          <w:p>
            <w:pPr>
              <w:jc w:val="center"/>
            </w:pPr>
            <w:pPr>
              <w:jc w:val="start"/>
              <w:spacing w:before="200"/>
              <w:pStyle w:val="ImageCaption"/>
            </w:pPr>
            <w:r>
              <w:t xml:space="preserve">Table 1: Guatemala: Condensed Bioeconomy Supply Table</w:t>
            </w:r>
            <w:r>
              <w:br/>
            </w:r>
            <w:r>
              <w:t xml:space="preserve">(Million GTQ at current prices, 2019)</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p>
      <w:pPr>
        <w:pStyle w:val="BodyText"/>
      </w:pPr>
      <w:r>
        <w:t xml:space="preserve">The flow of information from left to right in</w:t>
      </w:r>
      <w:r>
        <w:t xml:space="preserve"> </w:t>
      </w:r>
      <w:hyperlink w:anchor="tbl-gtm19-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9-sup">
        <w:r>
          <w:rPr>
            <w:rStyle w:val="Hyperlink"/>
          </w:rPr>
          <w:t xml:space="preserve">Table 1</w:t>
        </w:r>
      </w:hyperlink>
      <w:r>
        <w:t xml:space="preserve">), which is equal to total use (in</w:t>
      </w:r>
      <w:r>
        <w:t xml:space="preserve"> </w:t>
      </w:r>
      <w:hyperlink w:anchor="tbl-gtm19-use">
        <w:r>
          <w:rPr>
            <w:rStyle w:val="Hyperlink"/>
          </w:rPr>
          <w:t xml:space="preserve">Table 2</w:t>
        </w:r>
      </w:hyperlink>
      <w:r>
        <w:t xml:space="preserve">) row by row.</w:t>
      </w:r>
    </w:p>
    <w:p>
      <w:pPr>
        <w:pStyle w:val="BodyText"/>
      </w:pPr>
      <w:hyperlink w:anchor="tbl-gtm19-sup">
        <w:r>
          <w:rPr>
            <w:rStyle w:val="Hyperlink"/>
          </w:rPr>
          <w:t xml:space="preserve">Table 1</w:t>
        </w:r>
      </w:hyperlink>
      <w:r>
        <w:t xml:space="preserve"> </w:t>
      </w:r>
      <w:r>
        <w:t xml:space="preserve">shows an output of 324.2 billion QTQ in bioeconomic products, which corresponds to 28.7% of the total supply at purchaser’s prices, amounting to 1.128 trillion GTQ. Products from the extended bioeconomy accounted for 152.3 billion GTQ, or 13.5% of the total supply, while non-bioeconomic products represented 651.7 billion GTQ, or 57.8% of total supply. Since SNA operates on the economic principle that supply equals demand,</w:t>
      </w:r>
      <w:r>
        <w:t xml:space="preserve"> </w:t>
      </w:r>
      <w:hyperlink w:anchor="tbl-gtm19-use">
        <w:r>
          <w:rPr>
            <w:rStyle w:val="Hyperlink"/>
          </w:rPr>
          <w:t xml:space="preserve">Table 2</w:t>
        </w:r>
      </w:hyperlink>
      <w:r>
        <w:t xml:space="preserve"> </w:t>
      </w:r>
      <w:r>
        <w:t xml:space="preserve">shows that the consumption of each category of products matches those of the Use Table. Taxes (less subsidies) on bioeconomic products amounted to 9.4 billion GTQ and represented 26.1% of total taxes on production (36.1 billion GTQ); extended bioeconomic products accounted for 17.0%, and non-bioeconomic products made up 56.9%.</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production (9.4 billion / (197.9 billion + 7.8 billion + 0.9 billion), 6.8% for extended bioeconomic products, and 3.2%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p>
      <w:pPr>
        <w:pStyle w:val="BodyText"/>
      </w:pPr>
      <w:hyperlink w:anchor="tbl-gtm19-use">
        <w:r>
          <w:rPr>
            <w:rStyle w:val="Hyperlink"/>
          </w:rPr>
          <w:t xml:space="preserve">Table 2</w:t>
        </w:r>
      </w:hyperlink>
      <w:r>
        <w:t xml:space="preserve"> </w:t>
      </w:r>
      <w:r>
        <w:t xml:space="preserve">shows a condensed version of the Bioeconomy Use Table, describing all possible destinations—row by row—for the total availability of products shown in</w:t>
      </w:r>
      <w:r>
        <w:t xml:space="preserve"> </w:t>
      </w:r>
      <w:hyperlink w:anchor="tbl-gtm19-sup">
        <w:r>
          <w:rPr>
            <w:rStyle w:val="Hyperlink"/>
          </w:rPr>
          <w:t xml:space="preserve">Table 1</w:t>
        </w:r>
      </w:hyperlink>
      <w:r>
        <w:t xml:space="preserve">. The first seven columns show Intermediate Consumption, with the eighth column showing the subtotal for that transaction. Intermediate Consumption describes the purchase of inputs for production by economic activities. In 2019, this transaction amounted to a total of 369.7 billion GTQ, of which 24.0% corresponded to the purchase of bioeconomic products, 13.5% to the purchase of extended bioeconomic products, and 62.6% to the purchase of non-bioeconomic products. Exports amounted to 95.3 billion GTQ (net of CIF/FOB adjustments), with 46.4% corresponding to bioeconomic products, 16.7% to extended bioeconomic products, and 36.9% to non-bioeconomic products. This is understandable for a country where a significant portion of exports consists of agricultural products. Finally, out of 578.3 billion GTQ corresponding to final consumption (net of insurance and freight costs), 32.8% accounted for bioeconomic products, 15.0% for extended bioeconomic products, and 52.2% for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2" w:name="tbl-gtm19-use"/>
          <w:p>
            <w:pPr>
              <w:jc w:val="center"/>
            </w:pPr>
            <w:pPr>
              <w:jc w:val="start"/>
              <w:spacing w:before="200"/>
              <w:pStyle w:val="ImageCaption"/>
            </w:pPr>
            <w:r>
              <w:t xml:space="preserve">Table 2: Guatemala: Condensed Bioeconomy Use Table</w:t>
            </w:r>
            <w:r>
              <w:br/>
            </w:r>
            <w:r>
              <w:t xml:space="preserve">(Million GTQ at current prices, 2019)</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remainder that results from subtracting intermediate consumption at purchaser’s prices from production at producer’s prices (which is technically known as gross output) is equal to gross Value Added (see</w:t>
      </w:r>
      <w:r>
        <w:t xml:space="preserve"> </w:t>
      </w:r>
      <w:hyperlink w:anchor="tbl-gtm19-use">
        <w:r>
          <w:rPr>
            <w:rStyle w:val="Hyperlink"/>
          </w:rPr>
          <w:t xml:space="preserve">Table 2</w:t>
        </w:r>
      </w:hyperlink>
      <w:r>
        <w:t xml:space="preserve">). This is calculated for each economic activity (or column). Gross Value Added is similar to the profit that results from subtracting the cost of inputs (excluding labor) from total sales in a company, but at the level of the entire economy. The sum of the value added by all economic activities, plus total taxes on products, minus subsidies on those products, results in the Gross Domestic Product (GDP). In this case, 926.4 billion – 369.7 billion + 36.1 billion quetzales results a GDP of 592.8 billion GTQ for 2019.</w:t>
      </w:r>
    </w:p>
    <w:p>
      <w:pPr>
        <w:pStyle w:val="BodyText"/>
      </w:pPr>
      <w:r>
        <w:t xml:space="preserve">If we were to abide by the</w:t>
      </w:r>
      <w:r>
        <w:t xml:space="preserve"> </w:t>
      </w:r>
      <w:r>
        <w:rPr>
          <w:iCs/>
          <w:i/>
        </w:rPr>
        <w:t xml:space="preserve">a priori</w:t>
      </w:r>
      <w:r>
        <w:t xml:space="preserve"> </w:t>
      </w:r>
      <w:r>
        <w:t xml:space="preserve">selection of Bioeconomic sectors, these would account for 17.0% of gross Value Added—i.e. the Bioeconomy’s GDP—, 4.6% for extended bioeconomic activities, and 78.4% for non-bioeconomic activities. However, we have explained the limitations that come with that approach. That’s why we suggest that biological resources, as the natural resource basis of production across</w:t>
      </w:r>
      <w:r>
        <w:t xml:space="preserve"> </w:t>
      </w:r>
      <w:r>
        <w:rPr>
          <w:iCs/>
          <w:i/>
        </w:rPr>
        <w:t xml:space="preserve">all</w:t>
      </w:r>
      <w:r>
        <w:t xml:space="preserve"> </w:t>
      </w:r>
      <w:r>
        <w:t xml:space="preserve">economic activities (not just some), can be seen as a spectrum. Each activity can make greater or lesser use of biological inputs. In other words, each activity may have a higher or lower share of bioeconomic products in its intermediate consumption structure and can also produce a mix of products with a higher or lower proportion of bioeconomic content. For this reason, estimating a bioeconomic contribution of 17.0% of Value Added, or 94.8 billion GTQ, overlooks in some way the 997.5 million GTQ in bioeconomic products and the 42.2 billion GTQ in extended bioeconomic products produced by non-bioeconomic activities. It would be more accurate to say that the value added across all sectors was based on 24.0% bioeconomic inputs (as explained earlier in the intermediate consumption analysis), which is a calculation that can be done individually for each sector (for example, agriculture, manufacturing, and trade), without relying on the three bioeconomic classification categories in the columns and instead focusing on the bioeconomic content of products in the rows. The conclusion is that all economic activities can be more or less bioeconomic, whether from the perspective of production or intermediate consumption.</w:t>
      </w:r>
    </w:p>
    <w:p>
      <w:pPr>
        <w:pStyle w:val="BodyText"/>
      </w:pPr>
      <w:hyperlink w:anchor="tbl-gtm19-use">
        <w:r>
          <w:rPr>
            <w:rStyle w:val="Hyperlink"/>
          </w:rPr>
          <w:t xml:space="preserve">Table 2</w:t>
        </w:r>
      </w:hyperlink>
      <w:r>
        <w:t xml:space="preserve"> </w:t>
      </w:r>
      <w:r>
        <w:t xml:space="preserve">also shows exports, which total 95.3 billion GTQ (excluding the CIF/FOB adjustments row), with 46.4% corresponding to bioeconomic products, 16.7% to extended bioeconomic products, and 36.9% to non-bioeconomic products. This is reasonable for a country where a significant portion of exports consists of agricultural products. Finally, of the 578.3 billion quetzales corresponding to final consumption (excluding CIF/FOB adjustments), 32.8% corresponds to bioeconomic products, 15.0% to extended bioeconomic products, and 52.2% to non-bioeconomic products.</w:t>
      </w:r>
    </w:p>
    <w:bookmarkEnd w:id="33"/>
    <w:bookmarkStart w:id="51" w:name="disaggregation-by-economic-activity"/>
    <w:p>
      <w:pPr>
        <w:pStyle w:val="Heading3"/>
      </w:pPr>
      <w:r>
        <w:t xml:space="preserve">Disaggregation by Economic Activity</w:t>
      </w:r>
    </w:p>
    <w:p>
      <w:pPr>
        <w:pStyle w:val="FirstParagraph"/>
      </w:pPr>
      <w:r>
        <w:t xml:space="preserve">For a more detailed view of the Bioeconomy, we turn our attention to the example of Costa Rica. Bioeconomic SUTs include detailed information on hundreds of products and economic activities. Policy analysis can benefit from this level of disaggregation when conducting sectoral analyses.</w:t>
      </w:r>
      <w:r>
        <w:t xml:space="preserve"> </w:t>
      </w:r>
      <w:hyperlink w:anchor="tbl-cr18-pharma">
        <w:r>
          <w:rPr>
            <w:rStyle w:val="Hyperlink"/>
          </w:rPr>
          <w:t xml:space="preserve">Table 3</w:t>
        </w:r>
      </w:hyperlink>
      <w:r>
        <w:t xml:space="preserve"> </w:t>
      </w:r>
      <w:r>
        <w:t xml:space="preserve">shows an example of such a detailed view of the Bioeconomy for the case of the pharmaceutical sector of Costa Rica.</w:t>
      </w:r>
      <w:r>
        <w:t xml:space="preserve"> </w:t>
      </w:r>
      <w:hyperlink w:anchor="tbl-cr18-pharma">
        <w:r>
          <w:rPr>
            <w:rStyle w:val="Hyperlink"/>
          </w:rPr>
          <w:t xml:space="preserve">Table 3</w:t>
        </w:r>
      </w:hyperlink>
      <w:r>
        <w:t xml:space="preserve"> </w:t>
      </w:r>
      <w:r>
        <w:t xml:space="preserve">shows that 34.6% of the inputs of this economic activity by value depend on 24 bioeconomic products. An additional 17.5% of its Intermediate Consumption is catalogued as belonging to the extended bioeconomy, while 47.9 percent is accounted for by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7" w:name="tbl-cr18-pharma"/>
          <w:p>
            <w:pPr>
              <w:jc w:val="center"/>
            </w:pPr>
            <w:pPr>
              <w:jc w:val="start"/>
              <w:spacing w:before="200"/>
              <w:pStyle w:val="ImageCaption"/>
            </w:pPr>
            <w:r>
              <w:t xml:space="preserve">Table 3: Costa Rica: Pharmaceutical Sector Bioeconomy Intermediate Consumption</w:t>
            </w:r>
            <w:r>
              <w:br/>
            </w:r>
            <w:r>
              <w:t xml:space="preserve">(Million CRC at current prices and percent, 2018)</w:t>
            </w:r>
          </w:p>
          <w:p>
            <w:pPr>
              <w:pStyle w:val="Compact"/>
              <w:jc w:val="center"/>
            </w:pPr>
            <w:r>
              <w:drawing>
                <wp:inline>
                  <wp:extent cx="5334000" cy="5884464"/>
                  <wp:effectExtent b="0" l="0" r="0" t="0"/>
                  <wp:docPr descr="" title="" id="35" name="Picture"/>
                  <a:graphic>
                    <a:graphicData uri="http://schemas.openxmlformats.org/drawingml/2006/picture">
                      <pic:pic>
                        <pic:nvPicPr>
                          <pic:cNvPr descr="images/clipboard-1645551723.png" id="36" name="Picture"/>
                          <pic:cNvPicPr>
                            <a:picLocks noChangeArrowheads="1" noChangeAspect="1"/>
                          </pic:cNvPicPr>
                        </pic:nvPicPr>
                        <pic:blipFill>
                          <a:blip r:embed="rId34"/>
                          <a:stretch>
                            <a:fillRect/>
                          </a:stretch>
                        </pic:blipFill>
                        <pic:spPr bwMode="auto">
                          <a:xfrm>
                            <a:off x="0" y="0"/>
                            <a:ext cx="5334000" cy="5884464"/>
                          </a:xfrm>
                          <a:prstGeom prst="rect">
                            <a:avLst/>
                          </a:prstGeom>
                          <a:noFill/>
                          <a:ln w="9525">
                            <a:noFill/>
                            <a:headEnd/>
                            <a:tailEnd/>
                          </a:ln>
                        </pic:spPr>
                      </pic:pic>
                    </a:graphicData>
                  </a:graphic>
                </wp:inline>
              </w:drawing>
            </w:r>
          </w:p>
          <w:bookmarkEnd w:id="37"/>
        </w:tc>
      </w:tr>
    </w:tbl>
    <w:p>
      <w:pPr>
        <w:pStyle w:val="BodyText"/>
      </w:pPr>
      <w:r>
        <w:t xml:space="preserve">BSAs can be used to perform this type of exploration for sectors of interest in the context of an economic policy. For example, we can see that biological resources are very important in the case of the processed foods industry, both for</w:t>
      </w:r>
      <w:r>
        <w:t xml:space="preserve"> </w:t>
      </w:r>
      <w:r>
        <w:rPr>
          <w:iCs/>
          <w:i/>
        </w:rPr>
        <w:t xml:space="preserve">Meat Products</w:t>
      </w:r>
      <w:r>
        <w:t xml:space="preserve"> </w:t>
      </w:r>
      <w:r>
        <w:t xml:space="preserve">(</w:t>
      </w:r>
      <w:hyperlink w:anchor="fig-meat-products">
        <w:r>
          <w:rPr>
            <w:rStyle w:val="Hyperlink"/>
          </w:rPr>
          <w:t xml:space="preserve">Figure 1 (a)</w:t>
        </w:r>
      </w:hyperlink>
      <w:r>
        <w:t xml:space="preserve">) and</w:t>
      </w:r>
      <w:r>
        <w:t xml:space="preserve"> </w:t>
      </w:r>
      <w:r>
        <w:rPr>
          <w:iCs/>
          <w:i/>
        </w:rPr>
        <w:t xml:space="preserve">Milk and Dairy</w:t>
      </w:r>
      <w:r>
        <w:t xml:space="preserve"> </w:t>
      </w:r>
      <w:r>
        <w:t xml:space="preserve">(</w:t>
      </w:r>
      <w:hyperlink w:anchor="fig-dairy">
        <w:r>
          <w:rPr>
            <w:rStyle w:val="Hyperlink"/>
          </w:rPr>
          <w:t xml:space="preserve">Figure 1 (b)</w:t>
        </w:r>
      </w:hyperlink>
      <w:r>
        <w:t xml:space="preserve">) where Bioeconomy products make up 81 and 76 percent of their intermediate consumption, respectively. In contrast, Bioeconomic products account for only 4 percent of the value of intermediate consumption in the</w:t>
      </w:r>
      <w:r>
        <w:t xml:space="preserve"> </w:t>
      </w:r>
      <w:r>
        <w:rPr>
          <w:iCs/>
          <w:i/>
        </w:rPr>
        <w:t xml:space="preserve">Residential Construction</w:t>
      </w:r>
      <w:r>
        <w:t xml:space="preserve"> </w:t>
      </w:r>
      <w:r>
        <w:t xml:space="preserve">sector (</w:t>
      </w:r>
      <w:hyperlink w:anchor="fig-construction">
        <w:r>
          <w:rPr>
            <w:rStyle w:val="Hyperlink"/>
          </w:rPr>
          <w:t xml:space="preserve">Figure 1 (c)</w:t>
        </w:r>
      </w:hyperlink>
      <w:r>
        <w:t xml:space="preserve">). Given a policy that provides incentives for the use of innovative biological materials in construction, for example, policy-makers could focus on monitoring the increase or decrease of this share over time.</w:t>
      </w:r>
    </w:p>
    <w:bookmarkStart w:id="50" w:name="fig-cri-sectoral"/>
    <w:tbl>
      <w:tblPr>
        <w:tblStyle w:val="Table"/>
        <w:tblW w:type="pct" w:w="4900"/>
        <w:tblLook w:firstRow="0" w:lastRow="0" w:firstColumn="0" w:lastColumn="0" w:noHBand="0" w:noVBand="0" w:val="0000"/>
        <w:jc w:val="start"/>
        <w:tblLayout w:type="fixed"/>
      </w:tblPr>
      <w:tblGrid>
        <w:gridCol w:w="2587"/>
        <w:gridCol w:w="2587"/>
        <w:gridCol w:w="2587"/>
      </w:tblGrid>
      <w:tr>
        <w:tc>
          <w:tcPr/>
          <w:tbl>
            <w:tblPr>
              <w:tblStyle w:val="Table"/>
              <w:tblW w:type="pct" w:w="4900"/>
              <w:tblLook w:firstRow="0" w:lastRow="0" w:firstColumn="0" w:lastColumn="0" w:noHBand="0" w:noVBand="0" w:val="0000"/>
              <w:jc w:val="start"/>
              <w:tblLayout w:type="fixed"/>
            </w:tblPr>
            <w:tblGrid>
              <w:gridCol w:w="7761"/>
            </w:tblGrid>
            <w:tr>
              <w:tc>
                <w:tcPr/>
                <w:bookmarkStart w:id="41" w:name="fig-meat-products"/>
                <w:p>
                  <w:pPr>
                    <w:pStyle w:val="Compact"/>
                    <w:jc w:val="center"/>
                    <w:jc w:val="left"/>
                  </w:pPr>
                  <w:r>
                    <w:drawing>
                      <wp:inline>
                        <wp:extent cx="1975104" cy="1938796"/>
                        <wp:effectExtent b="0" l="0" r="0" t="0"/>
                        <wp:docPr descr="" title="" id="39" name="Picture"/>
                        <a:graphic>
                          <a:graphicData uri="http://schemas.openxmlformats.org/drawingml/2006/picture">
                            <pic:pic>
                              <pic:nvPicPr>
                                <pic:cNvPr descr="images/clipboard-2928692590.png" id="40" name="Picture"/>
                                <pic:cNvPicPr>
                                  <a:picLocks noChangeArrowheads="1" noChangeAspect="1"/>
                                </pic:cNvPicPr>
                              </pic:nvPicPr>
                              <pic:blipFill>
                                <a:blip r:embed="rId38"/>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Meat products</w:t>
                  </w:r>
                </w:p>
                <w:bookmarkEnd w:id="41"/>
              </w:tc>
            </w:tr>
          </w:tbl>
          <w:p/>
        </w:tc>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5" w:name="fig-dairy"/>
                <w:p>
                  <w:pPr>
                    <w:pStyle w:val="Compact"/>
                    <w:jc w:val="center"/>
                    <w:jc w:val="left"/>
                  </w:pPr>
                  <w:r>
                    <w:drawing>
                      <wp:inline>
                        <wp:extent cx="1975104" cy="1938796"/>
                        <wp:effectExtent b="0" l="0" r="0" t="0"/>
                        <wp:docPr descr="" title="" id="43" name="Picture"/>
                        <a:graphic>
                          <a:graphicData uri="http://schemas.openxmlformats.org/drawingml/2006/picture">
                            <pic:pic>
                              <pic:nvPicPr>
                                <pic:cNvPr descr="images/clipboard-2666308793.png" id="44" name="Picture"/>
                                <pic:cNvPicPr>
                                  <a:picLocks noChangeArrowheads="1" noChangeAspect="1"/>
                                </pic:cNvPicPr>
                              </pic:nvPicPr>
                              <pic:blipFill>
                                <a:blip r:embed="rId42"/>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Milk and Dairy</w:t>
                  </w:r>
                </w:p>
                <w:bookmarkEnd w:id="45"/>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9" w:name="fig-construction"/>
                <w:p>
                  <w:pPr>
                    <w:pStyle w:val="Compact"/>
                    <w:jc w:val="center"/>
                    <w:jc w:val="left"/>
                  </w:pPr>
                  <w:r>
                    <w:drawing>
                      <wp:inline>
                        <wp:extent cx="1975104" cy="1938796"/>
                        <wp:effectExtent b="0" l="0" r="0" t="0"/>
                        <wp:docPr descr="" title="" id="47" name="Picture"/>
                        <a:graphic>
                          <a:graphicData uri="http://schemas.openxmlformats.org/drawingml/2006/picture">
                            <pic:pic>
                              <pic:nvPicPr>
                                <pic:cNvPr descr="images/clipboard-1429514424.png" id="48" name="Picture"/>
                                <pic:cNvPicPr>
                                  <a:picLocks noChangeArrowheads="1" noChangeAspect="1"/>
                                </pic:cNvPicPr>
                              </pic:nvPicPr>
                              <pic:blipFill>
                                <a:blip r:embed="rId46"/>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Construction</w:t>
                  </w:r>
                </w:p>
                <w:bookmarkEnd w:id="49"/>
              </w:tc>
            </w:tr>
          </w:tbl>
          <w:p/>
        </w:tc>
      </w:tr>
    </w:tbl>
    <w:p>
      <w:pPr>
        <w:pStyle w:val="BodyText"/>
      </w:pPr>
      <w:pPr>
        <w:spacing w:before="200"/>
        <w:pStyle w:val="ImageCaption"/>
      </w:pPr>
      <w:r>
        <w:t xml:space="preserve">Figure 1: Sectoral Bioeconomy detail (percent)</w:t>
      </w:r>
    </w:p>
    <w:bookmarkEnd w:id="50"/>
    <w:bookmarkEnd w:id="51"/>
    <w:bookmarkStart w:id="52" w:name="Xb2af0559ac95307f161ce072543771873fb88b4"/>
    <w:p>
      <w:pPr>
        <w:pStyle w:val="Heading3"/>
      </w:pPr>
      <w:r>
        <w:t xml:space="preserve">Comparative analysis for 13 economies of Latin America and The Caribbean</w:t>
      </w:r>
    </w:p>
    <w:bookmarkEnd w:id="52"/>
    <w:bookmarkEnd w:id="53"/>
    <w:bookmarkStart w:id="54" w:name="discussion"/>
    <w:p>
      <w:pPr>
        <w:pStyle w:val="Heading2"/>
      </w:pPr>
      <w:r>
        <w:t xml:space="preserve">Discussion</w:t>
      </w:r>
    </w:p>
    <w:bookmarkEnd w:id="54"/>
    <w:bookmarkStart w:id="73" w:name="references"/>
    <w:p>
      <w:pPr>
        <w:pStyle w:val="Heading2"/>
      </w:pPr>
      <w:r>
        <w:t xml:space="preserve">References</w:t>
      </w:r>
    </w:p>
    <w:bookmarkStart w:id="72" w:name="refs"/>
    <w:bookmarkStart w:id="55" w:name="ref-bccr_cuentas_2021"/>
    <w:p>
      <w:pPr>
        <w:pStyle w:val="Bibliography"/>
      </w:pPr>
      <w:r>
        <w:t xml:space="preserve">BCCR. (2021).</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55"/>
    <w:bookmarkStart w:id="57" w:name="ref-bowers2019"/>
    <w:p>
      <w:pPr>
        <w:pStyle w:val="Bibliography"/>
      </w:pPr>
      <w:r>
        <w:t xml:space="preserve">Bowers, J., &amp; Testa, P. F. (2019). Better Government, Better Science: The Promise of and Challenges Facing the Evidence-Informed Policy Movement.</w:t>
      </w:r>
      <w:r>
        <w:t xml:space="preserve"> </w:t>
      </w:r>
      <w:r>
        <w:rPr>
          <w:iCs/>
          <w:i/>
        </w:rPr>
        <w:t xml:space="preserve">Annual Review of Political Science</w:t>
      </w:r>
      <w:r>
        <w:t xml:space="preserve">,</w:t>
      </w:r>
      <w:r>
        <w:t xml:space="preserve"> </w:t>
      </w:r>
      <w:r>
        <w:rPr>
          <w:iCs/>
          <w:i/>
        </w:rPr>
        <w:t xml:space="preserve">22</w:t>
      </w:r>
      <w:r>
        <w:t xml:space="preserve">(Volume 22, 2019), 521–542.</w:t>
      </w:r>
      <w:r>
        <w:t xml:space="preserve"> </w:t>
      </w:r>
      <w:hyperlink r:id="rId56">
        <w:r>
          <w:rPr>
            <w:rStyle w:val="Hyperlink"/>
          </w:rPr>
          <w:t xml:space="preserve">https://doi.org/10.1146/annurev-polisci-050517-124041</w:t>
        </w:r>
      </w:hyperlink>
    </w:p>
    <w:bookmarkEnd w:id="57"/>
    <w:bookmarkStart w:id="59"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58">
        <w:r>
          <w:rPr>
            <w:rStyle w:val="Hyperlink"/>
          </w:rPr>
          <w:t xml:space="preserve">https://statistics.cepal.org/repository/cou-mip/index.html?lang=es</w:t>
        </w:r>
      </w:hyperlink>
    </w:p>
    <w:bookmarkEnd w:id="59"/>
    <w:bookmarkStart w:id="60" w:name="ref-europeancommission2013"/>
    <w:p>
      <w:pPr>
        <w:pStyle w:val="Bibliography"/>
      </w:pPr>
      <w:r>
        <w:t xml:space="preserve">European Commission, Economic Cooperation, O. for, Development, United Nations, &amp; World Bank. (2013).</w:t>
      </w:r>
      <w:r>
        <w:t xml:space="preserve"> </w:t>
      </w:r>
      <w:r>
        <w:rPr>
          <w:iCs/>
          <w:i/>
        </w:rPr>
        <w:t xml:space="preserve">System</w:t>
      </w:r>
      <w:r>
        <w:rPr>
          <w:iCs/>
          <w:i/>
        </w:rPr>
        <w:t xml:space="preserve"> </w:t>
      </w:r>
      <w:r>
        <w:rPr>
          <w:iCs/>
          <w:i/>
        </w:rPr>
        <w:t xml:space="preserve">of</w:t>
      </w:r>
      <w:r>
        <w:rPr>
          <w:iCs/>
          <w:i/>
        </w:rPr>
        <w:t xml:space="preserve"> </w:t>
      </w:r>
      <w:r>
        <w:rPr>
          <w:iCs/>
          <w:i/>
        </w:rPr>
        <w:t xml:space="preserve">Environmental</w:t>
      </w:r>
      <w:r>
        <w:rPr>
          <w:iCs/>
          <w:i/>
        </w:rPr>
        <w:t xml:space="preserve">-</w:t>
      </w:r>
      <w:r>
        <w:rPr>
          <w:iCs/>
          <w:i/>
        </w:rPr>
        <w:t xml:space="preserve">Economic</w:t>
      </w:r>
      <w:r>
        <w:rPr>
          <w:iCs/>
          <w:i/>
        </w:rPr>
        <w:t xml:space="preserve"> </w:t>
      </w:r>
      <w:r>
        <w:rPr>
          <w:iCs/>
          <w:i/>
        </w:rPr>
        <w:t xml:space="preserve">Accounting</w:t>
      </w:r>
      <w:r>
        <w:rPr>
          <w:iCs/>
          <w:i/>
        </w:rPr>
        <w:t xml:space="preserve"> </w:t>
      </w:r>
      <w:r>
        <w:rPr>
          <w:iCs/>
          <w:i/>
        </w:rPr>
        <w:t xml:space="preserve">2012</w:t>
      </w:r>
      <w:r>
        <w:t xml:space="preserve">. New York.</w:t>
      </w:r>
    </w:p>
    <w:bookmarkEnd w:id="60"/>
    <w:bookmarkStart w:id="62"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w:t>
      </w:r>
      <w:r>
        <w:rPr>
          <w:iCs/>
          <w:i/>
        </w:rPr>
        <w:t xml:space="preserve"> </w:t>
      </w:r>
      <w:r>
        <w:rPr>
          <w:iCs/>
          <w:i/>
        </w:rPr>
        <w:t xml:space="preserve">of</w:t>
      </w:r>
      <w:r>
        <w:rPr>
          <w:iCs/>
          <w:i/>
        </w:rPr>
        <w:t xml:space="preserve"> </w:t>
      </w:r>
      <w:r>
        <w:rPr>
          <w:iCs/>
          <w:i/>
        </w:rPr>
        <w:t xml:space="preserve">National</w:t>
      </w:r>
      <w:r>
        <w:rPr>
          <w:iCs/>
          <w:i/>
        </w:rPr>
        <w:t xml:space="preserve"> </w:t>
      </w:r>
      <w:r>
        <w:rPr>
          <w:iCs/>
          <w:i/>
        </w:rPr>
        <w:t xml:space="preserve">Accounts</w:t>
      </w:r>
      <w:r>
        <w:rPr>
          <w:iCs/>
          <w:i/>
        </w:rPr>
        <w:t xml:space="preserve"> </w:t>
      </w:r>
      <w:r>
        <w:rPr>
          <w:iCs/>
          <w:i/>
        </w:rPr>
        <w:t xml:space="preserve">2008</w:t>
      </w:r>
      <w:r>
        <w:t xml:space="preserve">. Retrieved from</w:t>
      </w:r>
      <w:r>
        <w:t xml:space="preserve"> </w:t>
      </w:r>
      <w:hyperlink r:id="rId61">
        <w:r>
          <w:rPr>
            <w:rStyle w:val="Hyperlink"/>
          </w:rPr>
          <w:t xml:space="preserve">https://unstats.un.org/unsd/nationalaccount/sna2008.asp</w:t>
        </w:r>
      </w:hyperlink>
    </w:p>
    <w:bookmarkEnd w:id="62"/>
    <w:bookmarkStart w:id="63" w:name="ref-germanbioeconomycouncil2018"/>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w:t>
      </w:r>
    </w:p>
    <w:bookmarkEnd w:id="63"/>
    <w:bookmarkStart w:id="65" w:name="ref-gobiernodecostarica2020"/>
    <w:p>
      <w:pPr>
        <w:pStyle w:val="Bibliography"/>
      </w:pPr>
      <w:r>
        <w:t xml:space="preserve">Gobierno de Costa Rica. (2020).</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64">
        <w:r>
          <w:rPr>
            <w:rStyle w:val="Hyperlink"/>
          </w:rPr>
          <w:t xml:space="preserve">https://www.micit.go.cr/sites/default/files/estrategia_nacional_bioeconomia_cr_corregido.pdf</w:t>
        </w:r>
      </w:hyperlink>
    </w:p>
    <w:bookmarkEnd w:id="65"/>
    <w:bookmarkStart w:id="67" w:name="ref-unitednations2008"/>
    <w:p>
      <w:pPr>
        <w:pStyle w:val="Bibliography"/>
      </w:pPr>
      <w:r>
        <w:t xml:space="preserve">United Nations. (2008).</w:t>
      </w:r>
      <w:r>
        <w:t xml:space="preserve"> </w:t>
      </w:r>
      <w:r>
        <w:rPr>
          <w:iCs/>
          <w:i/>
        </w:rPr>
        <w:t xml:space="preserve">International</w:t>
      </w:r>
      <w:r>
        <w:rPr>
          <w:iCs/>
          <w:i/>
        </w:rPr>
        <w:t xml:space="preserve"> </w:t>
      </w:r>
      <w:r>
        <w:rPr>
          <w:iCs/>
          <w:i/>
        </w:rPr>
        <w:t xml:space="preserve">Standard</w:t>
      </w:r>
      <w:r>
        <w:rPr>
          <w:iCs/>
          <w:i/>
        </w:rPr>
        <w:t xml:space="preserve"> </w:t>
      </w:r>
      <w:r>
        <w:rPr>
          <w:iCs/>
          <w:i/>
        </w:rPr>
        <w:t xml:space="preserve">Industrial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All</w:t>
      </w:r>
      <w:r>
        <w:rPr>
          <w:iCs/>
          <w:i/>
        </w:rPr>
        <w:t xml:space="preserve"> </w:t>
      </w:r>
      <w:r>
        <w:rPr>
          <w:iCs/>
          <w:i/>
        </w:rPr>
        <w:t xml:space="preserve">Economic</w:t>
      </w:r>
      <w:r>
        <w:rPr>
          <w:iCs/>
          <w:i/>
        </w:rPr>
        <w:t xml:space="preserve"> </w:t>
      </w:r>
      <w:r>
        <w:rPr>
          <w:iCs/>
          <w:i/>
        </w:rPr>
        <w:t xml:space="preserve">Activities</w:t>
      </w:r>
      <w:r>
        <w:rPr>
          <w:iCs/>
          <w:i/>
        </w:rPr>
        <w:t xml:space="preserve">:</w:t>
      </w:r>
      <w:r>
        <w:rPr>
          <w:iCs/>
          <w:i/>
        </w:rPr>
        <w:t xml:space="preserve"> </w:t>
      </w:r>
      <w:r>
        <w:rPr>
          <w:iCs/>
          <w:i/>
        </w:rPr>
        <w:t xml:space="preserve">Revision</w:t>
      </w:r>
      <w:r>
        <w:rPr>
          <w:iCs/>
          <w:i/>
        </w:rPr>
        <w:t xml:space="preserve"> </w:t>
      </w:r>
      <w:r>
        <w:rPr>
          <w:iCs/>
          <w:i/>
        </w:rPr>
        <w:t xml:space="preserve">4</w:t>
      </w:r>
      <w:r>
        <w:t xml:space="preserve">. New York. Retrieved from</w:t>
      </w:r>
      <w:r>
        <w:t xml:space="preserve"> </w:t>
      </w:r>
      <w:hyperlink r:id="rId66">
        <w:r>
          <w:rPr>
            <w:rStyle w:val="Hyperlink"/>
          </w:rPr>
          <w:t xml:space="preserve">https://unstats.un.org/unsd/classifications/Econ/isic</w:t>
        </w:r>
      </w:hyperlink>
    </w:p>
    <w:bookmarkEnd w:id="67"/>
    <w:bookmarkStart w:id="69" w:name="ref-unitednations2015"/>
    <w:p>
      <w:pPr>
        <w:pStyle w:val="Bibliography"/>
      </w:pPr>
      <w:r>
        <w:t xml:space="preserve">United Nations. (2015).</w:t>
      </w:r>
      <w:r>
        <w:t xml:space="preserve"> </w:t>
      </w:r>
      <w:r>
        <w:rPr>
          <w:iCs/>
          <w:i/>
        </w:rPr>
        <w:t xml:space="preserve">Central</w:t>
      </w:r>
      <w:r>
        <w:rPr>
          <w:iCs/>
          <w:i/>
        </w:rPr>
        <w:t xml:space="preserve"> </w:t>
      </w:r>
      <w:r>
        <w:rPr>
          <w:iCs/>
          <w:i/>
        </w:rPr>
        <w:t xml:space="preserve">Product</w:t>
      </w:r>
      <w:r>
        <w:rPr>
          <w:iCs/>
          <w:i/>
        </w:rPr>
        <w:t xml:space="preserve"> </w:t>
      </w:r>
      <w:r>
        <w:rPr>
          <w:iCs/>
          <w:i/>
        </w:rPr>
        <w:t xml:space="preserve">Classification</w:t>
      </w:r>
      <w:r>
        <w:rPr>
          <w:iCs/>
          <w:i/>
        </w:rPr>
        <w:t xml:space="preserve"> </w:t>
      </w:r>
      <w:r>
        <w:rPr>
          <w:iCs/>
          <w:i/>
        </w:rPr>
        <w:t xml:space="preserve">(CPC)</w:t>
      </w:r>
      <w:r>
        <w:rPr>
          <w:iCs/>
          <w:i/>
        </w:rPr>
        <w:t xml:space="preserve"> </w:t>
      </w:r>
      <w:r>
        <w:rPr>
          <w:iCs/>
          <w:i/>
        </w:rPr>
        <w:t xml:space="preserve">Version</w:t>
      </w:r>
      <w:r>
        <w:rPr>
          <w:iCs/>
          <w:i/>
        </w:rPr>
        <w:t xml:space="preserve"> </w:t>
      </w:r>
      <w:r>
        <w:rPr>
          <w:iCs/>
          <w:i/>
        </w:rPr>
        <w:t xml:space="preserve">2.1</w:t>
      </w:r>
      <w:r>
        <w:t xml:space="preserve">. New York. Retrieved from</w:t>
      </w:r>
      <w:r>
        <w:t xml:space="preserve"> </w:t>
      </w:r>
      <w:hyperlink r:id="rId68">
        <w:r>
          <w:rPr>
            <w:rStyle w:val="Hyperlink"/>
          </w:rPr>
          <w:t xml:space="preserve">https://unstats.un.org/unsd/classifications/Econ/cpc</w:t>
        </w:r>
      </w:hyperlink>
    </w:p>
    <w:bookmarkEnd w:id="69"/>
    <w:bookmarkStart w:id="71" w:name="ref-vargas2022"/>
    <w:p>
      <w:pPr>
        <w:pStyle w:val="Bibliography"/>
      </w:pPr>
      <w:r>
        <w:t xml:space="preserve">Vargas, R., Alvarado, I., Rodríguez, M., Rodríguez, A., &amp; Wander, P. (2022).</w:t>
      </w:r>
      <w:r>
        <w:t xml:space="preserve"> </w:t>
      </w:r>
      <w:r>
        <w:rPr>
          <w:iCs/>
          <w:i/>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70">
        <w:r>
          <w:rPr>
            <w:rStyle w:val="Hyperlink"/>
          </w:rPr>
          <w:t xml:space="preserve">https://www.cepal.org/es/publicaciones/48641-cuenta-satelite-bioeconomia-costa-rica-propuesta-metodologica-aplicacion</w:t>
        </w:r>
      </w:hyperlink>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56" Target="https://doi.org/10.1146/annurev-polisci-050517-124041" TargetMode="External" /><Relationship Type="http://schemas.openxmlformats.org/officeDocument/2006/relationships/hyperlink" Id="rId58" Target="https://statistics.cepal.org/repository/cou-mip/index.html?lang=es" TargetMode="External" /><Relationship Type="http://schemas.openxmlformats.org/officeDocument/2006/relationships/hyperlink" Id="rId68" Target="https://unstats.un.org/unsd/classifications/Econ/cpc" TargetMode="External" /><Relationship Type="http://schemas.openxmlformats.org/officeDocument/2006/relationships/hyperlink" Id="rId66" Target="https://unstats.un.org/unsd/classifications/Econ/isic" TargetMode="External" /><Relationship Type="http://schemas.openxmlformats.org/officeDocument/2006/relationships/hyperlink" Id="rId61" Target="https://unstats.un.org/unsd/nationalaccount/sna2008.asp" TargetMode="External" /><Relationship Type="http://schemas.openxmlformats.org/officeDocument/2006/relationships/hyperlink" Id="rId70" Target="https://www.cepal.org/es/publicaciones/48641-cuenta-satelite-bioeconomia-costa-rica-propuesta-metodologica-aplicacion" TargetMode="External" /><Relationship Type="http://schemas.openxmlformats.org/officeDocument/2006/relationships/hyperlink" Id="rId64"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146/annurev-polisci-050517-124041" TargetMode="External" /><Relationship Type="http://schemas.openxmlformats.org/officeDocument/2006/relationships/hyperlink" Id="rId58" Target="https://statistics.cepal.org/repository/cou-mip/index.html?lang=es" TargetMode="External" /><Relationship Type="http://schemas.openxmlformats.org/officeDocument/2006/relationships/hyperlink" Id="rId68" Target="https://unstats.un.org/unsd/classifications/Econ/cpc" TargetMode="External" /><Relationship Type="http://schemas.openxmlformats.org/officeDocument/2006/relationships/hyperlink" Id="rId66" Target="https://unstats.un.org/unsd/classifications/Econ/isic" TargetMode="External" /><Relationship Type="http://schemas.openxmlformats.org/officeDocument/2006/relationships/hyperlink" Id="rId61" Target="https://unstats.un.org/unsd/nationalaccount/sna2008.asp" TargetMode="External" /><Relationship Type="http://schemas.openxmlformats.org/officeDocument/2006/relationships/hyperlink" Id="rId70" Target="https://www.cepal.org/es/publicaciones/48641-cuenta-satelite-bioeconomia-costa-rica-propuesta-metodologica-aplicacion" TargetMode="External" /><Relationship Type="http://schemas.openxmlformats.org/officeDocument/2006/relationships/hyperlink" Id="rId64"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2024-10-07T22:49:57Z</dcterms:created>
  <dcterms:modified xsi:type="dcterms:W3CDTF">2024-10-07T22:49:57Z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activities and propose direct and indirect methods to rank them according to their importance for bioeconomic policy. We exemplify the methodology with the case of Guatemala and Costa Rica, and we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