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Costa</w:t>
      </w:r>
      <w:r>
        <w:t xml:space="preserve"> </w:t>
      </w:r>
      <w:r>
        <w:t xml:space="preserve">Rica</w:t>
      </w:r>
      <w:r>
        <w:t xml:space="preserve"> </w:t>
      </w:r>
      <w:r>
        <w:t xml:space="preserve">and</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Latin</w:t>
      </w:r>
      <w:r>
        <w:t xml:space="preserve"> </w:t>
      </w:r>
      <w:r>
        <w:t xml:space="preserve">American</w:t>
      </w:r>
      <w:r>
        <w:t xml:space="preserve"> </w:t>
      </w:r>
      <w:r>
        <w:t xml:space="preserve">economies.</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closely an agreed international definition crafted in the context of the German Bioeconomy Council</w:t>
      </w:r>
      <w:r>
        <w:t xml:space="preserve"> </w:t>
      </w:r>
      <w:r>
        <w:t xml:space="preserve">(German Bioeconomy Council, 2018a)</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2020a)</w:t>
      </w:r>
      <w:r>
        <w:t xml:space="preserve">.</w:t>
      </w:r>
      <w:r>
        <w:t xml:space="preserve">”</w:t>
      </w:r>
    </w:p>
    <w:p>
      <w:pPr>
        <w:pStyle w:val="FirstParagraph"/>
      </w:pPr>
      <w:r>
        <w:t xml:space="preserve">Additionally, this strategy details what should be understood as</w:t>
      </w:r>
      <w:r>
        <w:t xml:space="preserve"> </w:t>
      </w:r>
      <w:r>
        <w:t xml:space="preserve">“</w:t>
      </w:r>
      <w:r>
        <w:t xml:space="preserve">biological resources</w:t>
      </w:r>
      <w:r>
        <w:t xml:space="preserve">”</w:t>
      </w:r>
      <w:r>
        <w:t xml:space="preserve"> </w:t>
      </w:r>
      <w:r>
        <w:t xml:space="preserve">within that framework, which includes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be more efficient in reaching their objectives and,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there was a gap in the assessment of the direct and indirect contribution of biological resources to the economy that policymakers needed to close.</w:t>
      </w:r>
    </w:p>
    <w:p>
      <w:pPr>
        <w:pStyle w:val="BodyText"/>
      </w:pPr>
      <w:r>
        <w:t xml:space="preserve">Given the richness of information regarding biological resources that is collected to assess the economic performance of the country, we saw an opportunity to close this gap by extending the System of National Accounts (SNA), the framework with which Gross Domestic Product (GDP) is measured, among many other indicators, to highlight the contribution of those resources. The SNA manual</w:t>
      </w:r>
      <w:r>
        <w:t xml:space="preserve"> </w:t>
      </w:r>
      <w:r>
        <w:t xml:space="preserve">(European Commission et al., 2009a,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that detail the production account of the System.</w:t>
      </w:r>
    </w:p>
    <w:p>
      <w:pPr>
        <w:pStyle w:val="BodyText"/>
      </w:pPr>
      <w:r>
        <w:t xml:space="preserve">This strict adherence to the principles of SNA and the standarization procedure developed to handle Supply and Use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3" w:name="data-and-methods"/>
    <w:p>
      <w:pPr>
        <w:pStyle w:val="Heading2"/>
      </w:pPr>
      <w:r>
        <w:t xml:space="preserve">Data and Methods</w:t>
      </w:r>
    </w:p>
    <w:bookmarkStart w:id="21" w:name="X8f2ebbda8c6e9f7f19a316202954ff23399e740"/>
    <w:p>
      <w:pPr>
        <w:pStyle w:val="Heading3"/>
      </w:pPr>
      <w:r>
        <w:t xml:space="preserve">Supply and Use Tables are used as data sources</w:t>
      </w:r>
    </w:p>
    <w:p>
      <w:pPr>
        <w:pStyle w:val="FirstParagraph"/>
      </w:pPr>
      <w:r>
        <w:t xml:space="preserve">Supply and Use tables from SNA</w:t>
      </w:r>
      <w:r>
        <w:t xml:space="preserve"> </w:t>
      </w:r>
      <w:r>
        <w:t xml:space="preserve">(European Commission et al., 2009b)</w:t>
      </w:r>
      <w:r>
        <w:t xml:space="preserve"> </w:t>
      </w:r>
      <w:r>
        <w:t xml:space="preserve">are multi-dimensional matrices that show in great detail the production and import of goods and services by economic activities in a country and how those are used, either in the production process itself as inputs, or are consumed by other agents in the economy or by the rest of the world. The detail of products is arranged according to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 </w:t>
      </w:r>
      <w:r>
        <w:t xml:space="preserve">or local adaptations thereof. In addition to products and economic activities, these tables have an additional dimension that shows different types of transactions that those products drive in their journey from producers to consumers.</w:t>
      </w:r>
    </w:p>
    <w:p>
      <w:pPr>
        <w:pStyle w:val="BodyText"/>
      </w:pPr>
      <w:r>
        <w:t xml:space="preserve">In the case of the supply table, the sequence of those transactions describes a flow where different products in the rows are produced by economic activities in the columns at basic prices (i.e., the price at the farm gate, factory, or commercial establishment). This output is then combined with imports free of insurance and freight costs to form the supply at basic prices. However, this is not the price paid by economic agents. To reach the market, taxes on products are added to the basic price supply, minus any subsidies received, followed by distribution margins (transportation and trade costs). This results in the total supply at purchaser’s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p>
      <w:pPr>
        <w:pStyle w:val="BodyText"/>
      </w:pPr>
      <w:r>
        <w:t xml:space="preserve">In a first step, our methodology contrasts the different products from the CPC classification against the definition of the Bioeconomy shown in the introductory paragraphs</w:t>
      </w:r>
      <w:r>
        <w:t xml:space="preserve"> </w:t>
      </w:r>
      <w:r>
        <w:t xml:space="preserve">(German Bioeconomy Council, 2018b; Gobierno de Costa Rica, 2020b)</w:t>
      </w:r>
      <w:r>
        <w:t xml:space="preserve">, in general, and that of biological resources in particular, and we decide whether the product matches any of the elements of the</w:t>
      </w:r>
    </w:p>
    <w:bookmarkEnd w:id="21"/>
    <w:bookmarkStart w:id="22" w:name="a-deviation-from-other-studies"/>
    <w:p>
      <w:pPr>
        <w:pStyle w:val="Heading3"/>
      </w:pPr>
      <w:r>
        <w:t xml:space="preserve">A deviation from other studies</w:t>
      </w:r>
    </w:p>
    <w:p>
      <w:pPr>
        <w:pStyle w:val="FirstParagraph"/>
      </w:pPr>
      <w:r>
        <w:t xml:space="preserve">To uncover the contribution of biological inputs to the Economy, we propose a deviation from the existing efforts in the field; hereafter,</w:t>
      </w:r>
      <w:r>
        <w:t xml:space="preserve"> </w:t>
      </w:r>
      <w:r>
        <w:t xml:space="preserve">“</w:t>
      </w:r>
      <w:r>
        <w:t xml:space="preserve">the traditional approach</w:t>
      </w:r>
      <w:r>
        <w:t xml:space="preserve">”</w:t>
      </w:r>
      <w:r>
        <w:t xml:space="preserve">. These first exercises have deemed certain economic activities as</w:t>
      </w:r>
      <w:r>
        <w:t xml:space="preserve"> </w:t>
      </w:r>
      <w:r>
        <w:t xml:space="preserve">“</w:t>
      </w:r>
      <w:r>
        <w:t xml:space="preserve">bioeconomic,</w:t>
      </w:r>
      <w:r>
        <w:t xml:space="preserve">”</w:t>
      </w:r>
      <w:r>
        <w:t xml:space="preserve"> </w:t>
      </w:r>
      <w:r>
        <w:t xml:space="preserve">based on their primary production, and they have added together, either all, or a fraction of their Value Added (VA) as a proxy for the</w:t>
      </w:r>
      <w:r>
        <w:t xml:space="preserve"> </w:t>
      </w:r>
      <w:r>
        <w:t xml:space="preserve">“</w:t>
      </w:r>
      <w:r>
        <w:t xml:space="preserve">Bioeconomic GDP</w:t>
      </w:r>
      <w:r>
        <w:t xml:space="preserve">”</w:t>
      </w:r>
      <w:r>
        <w:t xml:space="preserve">. This has been a necessary compromise, because</w:t>
      </w:r>
      <w:r>
        <w:t xml:space="preserve"> </w:t>
      </w:r>
      <w:r>
        <w:t xml:space="preserve">“</w:t>
      </w:r>
      <w:r>
        <w:t xml:space="preserve">biological</w:t>
      </w:r>
      <w:r>
        <w:t xml:space="preserve">”</w:t>
      </w:r>
      <w:r>
        <w:t xml:space="preserve"> </w:t>
      </w:r>
      <w:r>
        <w:t xml:space="preserve">is a quality of products, but VA and GDP are aggregates that are estimated at the economic activity or total economy level, not from the product perspective. While these first approximations have provided valuable estimates of the size of the Bioeconomy, they have limitations.</w:t>
      </w:r>
    </w:p>
    <w:p>
      <w:pPr>
        <w:pStyle w:val="BodyText"/>
      </w:pPr>
      <w:r>
        <w:t xml:space="preserve">Within the production account of the System of National Accounts, often summarized into Supply and Use Tables (SUTs), economic activities can produce more than one product and, in turn, any product in the Economy can be produced by more than one activity. Activities will normally have a larger fraction of their output devoted to a group of products that share characteristics, which is deemed their primary production, and it will be used to determine the corresponding economic activity classification name. For example, all the production of companies that grow strawberries, cranberries, and blackberries, almonds, cashew nuts, and chestnuts, will be recorded under sector</w:t>
      </w:r>
      <w:r>
        <w:t xml:space="preserve"> </w:t>
      </w:r>
      <w:r>
        <w:t xml:space="preserve">“</w:t>
      </w:r>
      <w:r>
        <w:t xml:space="preserve">0125 - Growing of other tree and bush fruits and nuts</w:t>
      </w:r>
      <w:r>
        <w:t xml:space="preserve">”</w:t>
      </w:r>
      <w:r>
        <w:t xml:space="preserve"> </w:t>
      </w:r>
      <w:r>
        <w:t xml:space="preserve">of the International Standard Industry Classification (ISIC), Revision 4, at four digits. Some activities will also have a smaller fraction of their production that corresponds to the primary production of another sector. For example, it could be common in a certain region for some berries farms to directly sell small batches of fermented drinks that, which would normally be classified as primary production of another activity:</w:t>
      </w:r>
      <w:r>
        <w:t xml:space="preserve"> </w:t>
      </w:r>
      <w:r>
        <w:t xml:space="preserve">“</w:t>
      </w:r>
      <w:r>
        <w:t xml:space="preserve">1102 - Manufacture of wines</w:t>
      </w:r>
      <w:r>
        <w:t xml:space="preserve">”</w:t>
      </w:r>
      <w:r>
        <w:t xml:space="preserve">, but that probably do not go through a formal industrial process.</w:t>
      </w:r>
    </w:p>
    <w:bookmarkEnd w:id="22"/>
    <w:bookmarkEnd w:id="23"/>
    <w:bookmarkStart w:id="24" w:name="data"/>
    <w:p>
      <w:pPr>
        <w:pStyle w:val="Heading2"/>
      </w:pPr>
      <w:r>
        <w:t xml:space="preserve">Data</w:t>
      </w:r>
    </w:p>
    <w:bookmarkEnd w:id="24"/>
    <w:bookmarkStart w:id="25" w:name="results"/>
    <w:p>
      <w:pPr>
        <w:pStyle w:val="Heading2"/>
      </w:pPr>
      <w:r>
        <w:t xml:space="preserve">Results</w:t>
      </w:r>
    </w:p>
    <w:bookmarkEnd w:id="25"/>
    <w:bookmarkStart w:id="26" w:name="discussion"/>
    <w:p>
      <w:pPr>
        <w:pStyle w:val="Heading2"/>
      </w:pPr>
      <w:r>
        <w:t xml:space="preserve">Discussion</w:t>
      </w:r>
    </w:p>
    <w:bookmarkEnd w:id="26"/>
    <w:bookmarkStart w:id="44" w:name="references"/>
    <w:p>
      <w:pPr>
        <w:pStyle w:val="Heading2"/>
      </w:pPr>
      <w:r>
        <w:t xml:space="preserve">References</w:t>
      </w:r>
    </w:p>
    <w:bookmarkStart w:id="43" w:name="refs"/>
    <w:bookmarkStart w:id="27"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27"/>
    <w:bookmarkStart w:id="29"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28">
        <w:r>
          <w:rPr>
            <w:rStyle w:val="Hyperlink"/>
          </w:rPr>
          <w:t xml:space="preserve">https://statistics.cepal.org/repository/cou-mip/index.html?lang=es</w:t>
        </w:r>
      </w:hyperlink>
    </w:p>
    <w:bookmarkEnd w:id="29"/>
    <w:bookmarkStart w:id="30" w:name="ref-europeancommission2013"/>
    <w:p>
      <w:pPr>
        <w:pStyle w:val="Bibliography"/>
      </w:pPr>
      <w:r>
        <w:t xml:space="preserve">European Commission, Economic Cooperation, O. for, Development, United Nations, &amp; World Bank. (2013).</w:t>
      </w:r>
      <w:r>
        <w:t xml:space="preserve"> </w:t>
      </w:r>
      <w:r>
        <w:rPr>
          <w:iCs/>
          <w:i/>
        </w:rPr>
        <w:t xml:space="preserve">System of environmental-economic accounting 2012</w:t>
      </w:r>
      <w:r>
        <w:t xml:space="preserve">. New York.</w:t>
      </w:r>
    </w:p>
    <w:bookmarkEnd w:id="30"/>
    <w:bookmarkStart w:id="32" w:name="ref-europeancommission2009"/>
    <w:p>
      <w:pPr>
        <w:pStyle w:val="Bibliography"/>
      </w:pPr>
      <w:r>
        <w:t xml:space="preserve">European Commission, International Monetary Fund, Economic Co-operation, O. for, Development, United Nations, &amp; World Bank. (2009a).</w:t>
      </w:r>
      <w:r>
        <w:t xml:space="preserve"> </w:t>
      </w:r>
      <w:r>
        <w:rPr>
          <w:iCs/>
          <w:i/>
        </w:rPr>
        <w:t xml:space="preserve">System of national accounts 2008</w:t>
      </w:r>
      <w:r>
        <w:t xml:space="preserve">. Retrieved from</w:t>
      </w:r>
      <w:r>
        <w:t xml:space="preserve"> </w:t>
      </w:r>
      <w:hyperlink r:id="rId31">
        <w:r>
          <w:rPr>
            <w:rStyle w:val="Hyperlink"/>
          </w:rPr>
          <w:t xml:space="preserve">https://unstats.un.org/unsd/nationalaccount/sna2008.asp</w:t>
        </w:r>
      </w:hyperlink>
    </w:p>
    <w:bookmarkEnd w:id="32"/>
    <w:bookmarkStart w:id="33" w:name="ref-europeancommission2009a"/>
    <w:p>
      <w:pPr>
        <w:pStyle w:val="Bibliography"/>
      </w:pPr>
      <w:r>
        <w:t xml:space="preserve">European Commission, International Monetary Fund, Economic Co-operation, O. for, Development, United Nations, &amp; World Bank. (2009b).</w:t>
      </w:r>
      <w:r>
        <w:t xml:space="preserve"> </w:t>
      </w:r>
      <w:r>
        <w:rPr>
          <w:iCs/>
          <w:i/>
        </w:rPr>
        <w:t xml:space="preserve">System of national accounts 2008</w:t>
      </w:r>
      <w:r>
        <w:t xml:space="preserve">. Retrieved from</w:t>
      </w:r>
      <w:r>
        <w:t xml:space="preserve"> </w:t>
      </w:r>
      <w:hyperlink r:id="rId31">
        <w:r>
          <w:rPr>
            <w:rStyle w:val="Hyperlink"/>
          </w:rPr>
          <w:t xml:space="preserve">https://unstats.un.org/unsd/nationalaccount/sna2008.asp</w:t>
        </w:r>
      </w:hyperlink>
    </w:p>
    <w:bookmarkEnd w:id="33"/>
    <w:bookmarkStart w:id="34" w:name="Xdf0f9e5a2b613253cf445ff4f2dac80438a5bba"/>
    <w:p>
      <w:pPr>
        <w:pStyle w:val="Bibliography"/>
      </w:pPr>
      <w:r>
        <w:t xml:space="preserve">German Bioeconomy Council. (2018a).</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 Bioökonomie Rat, Federal Ministry of Education; Research, Germany.</w:t>
      </w:r>
    </w:p>
    <w:bookmarkEnd w:id="34"/>
    <w:bookmarkStart w:id="35" w:name="ref-germanbioeconomycouncil2018"/>
    <w:p>
      <w:pPr>
        <w:pStyle w:val="Bibliography"/>
      </w:pPr>
      <w:r>
        <w:t xml:space="preserve">German Bioeconomy Council. (2018b).</w:t>
      </w:r>
      <w:r>
        <w:t xml:space="preserve"> </w:t>
      </w:r>
      <w:r>
        <w:rPr>
          <w:iCs/>
          <w:i/>
        </w:rPr>
        <w:t xml:space="preserve">Global bioeconomy summit: Conference report. Innovation in the global bioeconomy for sustainable and inclusive transformation and wellbeing</w:t>
      </w:r>
      <w:r>
        <w:t xml:space="preserve">. Berlin.</w:t>
      </w:r>
    </w:p>
    <w:bookmarkEnd w:id="35"/>
    <w:bookmarkStart w:id="37" w:name="ref-gobiernodecostarica2020"/>
    <w:p>
      <w:pPr>
        <w:pStyle w:val="Bibliography"/>
      </w:pPr>
      <w:r>
        <w:t xml:space="preserve">Gobierno de Costa Rica. (2020a).</w:t>
      </w:r>
      <w:r>
        <w:t xml:space="preserve"> </w:t>
      </w:r>
      <w:r>
        <w:rPr>
          <w:iCs/>
          <w:i/>
        </w:rPr>
        <w:t xml:space="preserve">Estrategia nacional de bioeconomía costa rica 2020 - 2030: Hacia una economía con descarbonización fósil, competitividad, sostenibilidad e inclusión</w:t>
      </w:r>
      <w:r>
        <w:t xml:space="preserve">. San José de Costa Rica. Retrieved from</w:t>
      </w:r>
      <w:r>
        <w:t xml:space="preserve"> </w:t>
      </w:r>
      <w:hyperlink r:id="rId36">
        <w:r>
          <w:rPr>
            <w:rStyle w:val="Hyperlink"/>
          </w:rPr>
          <w:t xml:space="preserve">https://www.micit.go.cr/sites/default/files/estrategia_nacional_bioeconomia_cr_corregido.pdf</w:t>
        </w:r>
      </w:hyperlink>
    </w:p>
    <w:bookmarkEnd w:id="37"/>
    <w:bookmarkStart w:id="38" w:name="ref-gobiernodecostarica2020a"/>
    <w:p>
      <w:pPr>
        <w:pStyle w:val="Bibliography"/>
      </w:pPr>
      <w:r>
        <w:t xml:space="preserve">Gobierno de Costa Rica. (2020b).</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36">
        <w:r>
          <w:rPr>
            <w:rStyle w:val="Hyperlink"/>
          </w:rPr>
          <w:t xml:space="preserve">https://www.micit.go.cr/sites/default/files/estrategia_nacional_bioeconomia_cr_corregido.pdf</w:t>
        </w:r>
      </w:hyperlink>
    </w:p>
    <w:bookmarkEnd w:id="38"/>
    <w:bookmarkStart w:id="40" w:name="ref-unitednations2008"/>
    <w:p>
      <w:pPr>
        <w:pStyle w:val="Bibliography"/>
      </w:pPr>
      <w:r>
        <w:t xml:space="preserve">United Nations. (2008).</w:t>
      </w:r>
      <w:r>
        <w:t xml:space="preserve"> </w:t>
      </w:r>
      <w:r>
        <w:rPr>
          <w:iCs/>
          <w:i/>
        </w:rPr>
        <w:t xml:space="preserve">International standard industrial classification of all economic activities: Revision 4</w:t>
      </w:r>
      <w:r>
        <w:t xml:space="preserve">. New York. Retrieved from</w:t>
      </w:r>
      <w:r>
        <w:t xml:space="preserve"> </w:t>
      </w:r>
      <w:hyperlink r:id="rId39">
        <w:r>
          <w:rPr>
            <w:rStyle w:val="Hyperlink"/>
          </w:rPr>
          <w:t xml:space="preserve">https://unstats.un.org/unsd/classifications/Econ/isic</w:t>
        </w:r>
      </w:hyperlink>
    </w:p>
    <w:bookmarkEnd w:id="40"/>
    <w:bookmarkStart w:id="42" w:name="ref-unitednations2015"/>
    <w:p>
      <w:pPr>
        <w:pStyle w:val="Bibliography"/>
      </w:pPr>
      <w:r>
        <w:t xml:space="preserve">United Nations. (2015).</w:t>
      </w:r>
      <w:r>
        <w:t xml:space="preserve"> </w:t>
      </w:r>
      <w:r>
        <w:rPr>
          <w:iCs/>
          <w:i/>
        </w:rPr>
        <w:t xml:space="preserve">Central product classification (CPC) version 2.1</w:t>
      </w:r>
      <w:r>
        <w:t xml:space="preserve">. New York. Retrieved from</w:t>
      </w:r>
      <w:r>
        <w:t xml:space="preserve"> </w:t>
      </w:r>
      <w:hyperlink r:id="rId41">
        <w:r>
          <w:rPr>
            <w:rStyle w:val="Hyperlink"/>
          </w:rPr>
          <w:t xml:space="preserve">https://unstats.un.org/unsd/classifications/Econ/cpc</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statistics.cepal.org/repository/cou-mip/index.html?lang=es" TargetMode="External" /><Relationship Type="http://schemas.openxmlformats.org/officeDocument/2006/relationships/hyperlink" Id="rId41" Target="https://unstats.un.org/unsd/classifications/Econ/cpc" TargetMode="External" /><Relationship Type="http://schemas.openxmlformats.org/officeDocument/2006/relationships/hyperlink" Id="rId39" Target="https://unstats.un.org/unsd/classifications/Econ/isic" TargetMode="External" /><Relationship Type="http://schemas.openxmlformats.org/officeDocument/2006/relationships/hyperlink" Id="rId31" Target="https://unstats.un.org/unsd/nationalaccount/sna2008.asp" TargetMode="External" /><Relationship Type="http://schemas.openxmlformats.org/officeDocument/2006/relationships/hyperlink" Id="rId36"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28" Target="https://statistics.cepal.org/repository/cou-mip/index.html?lang=es" TargetMode="External" /><Relationship Type="http://schemas.openxmlformats.org/officeDocument/2006/relationships/hyperlink" Id="rId41" Target="https://unstats.un.org/unsd/classifications/Econ/cpc" TargetMode="External" /><Relationship Type="http://schemas.openxmlformats.org/officeDocument/2006/relationships/hyperlink" Id="rId39" Target="https://unstats.un.org/unsd/classifications/Econ/isic" TargetMode="External" /><Relationship Type="http://schemas.openxmlformats.org/officeDocument/2006/relationships/hyperlink" Id="rId31" Target="https://unstats.un.org/unsd/nationalaccount/sna2008.asp" TargetMode="External" /><Relationship Type="http://schemas.openxmlformats.org/officeDocument/2006/relationships/hyperlink" Id="rId36"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2024-10-01T03:42:10Z</dcterms:created>
  <dcterms:modified xsi:type="dcterms:W3CDTF">2024-10-01T03:42:10Z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Costa Rica and provide estimates for 13 Latin American economies.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