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43.png" ContentType="image/png"/>
  <Override PartName="/word/media/rId73.png" ContentType="image/png"/>
  <Override PartName="/word/media/rId61.png" ContentType="image/png"/>
  <Override PartName="/word/media/rId65.png" ContentType="image/png"/>
  <Override PartName="/word/media/rId39.png" ContentType="image/png"/>
  <Override PartName="/word/media/rId35.png" ContentType="image/png"/>
  <Override PartName="/word/media/rId78.png" ContentType="image/png"/>
  <Override PartName="/word/media/rId25.png" ContentType="image/png"/>
  <Override PartName="/word/media/rId52.png" ContentType="image/png"/>
  <Override PartName="/word/media/rId29.png" ContentType="image/png"/>
  <Override PartName="/word/media/rId82.png" ContentType="image/png"/>
  <Override PartName="/word/media/rId49.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Cs/>
          <w:i/>
        </w:rPr>
        <w:t xml:space="preserve">a</w:t>
      </w:r>
      <w:r>
        <w:rPr>
          <w:iCs/>
          <w:i/>
        </w:rPr>
        <w:t xml:space="preserve"> </w:t>
      </w:r>
      <w:r>
        <w:rPr>
          <w:iCs/>
          <w:i/>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cases</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(German Bioeconomy Council, 2018)</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Cs/>
          <w:b/>
        </w:rPr>
        <w:t xml:space="preserve">i)</w:t>
      </w:r>
      <w:r>
        <w:t xml:space="preserve"> </w:t>
      </w:r>
      <w:r>
        <w:t xml:space="preserve">biomass cultivated to produce food, fodder, fibers, and energy;</w:t>
      </w:r>
      <w:r>
        <w:t xml:space="preserve"> </w:t>
      </w:r>
      <w:r>
        <w:rPr>
          <w:bCs/>
          <w:b/>
        </w:rPr>
        <w:t xml:space="preserve">ii)</w:t>
      </w:r>
      <w:r>
        <w:t xml:space="preserve"> </w:t>
      </w:r>
      <w:r>
        <w:t xml:space="preserve">biomass from marine resources and that produced through aquaculture;</w:t>
      </w:r>
      <w:r>
        <w:t xml:space="preserve"> </w:t>
      </w:r>
      <w:r>
        <w:rPr>
          <w:bCs/>
          <w:b/>
        </w:rPr>
        <w:t xml:space="preserve">iii)</w:t>
      </w:r>
      <w:r>
        <w:t xml:space="preserve"> </w:t>
      </w:r>
      <w:r>
        <w:t xml:space="preserve">forest biomass, especially that cultivated for use in the forestry and paper industries, as well as that legally extracted from natural ecosystems;</w:t>
      </w:r>
      <w:r>
        <w:t xml:space="preserve"> </w:t>
      </w:r>
      <w:r>
        <w:rPr>
          <w:bCs/>
          <w:b/>
        </w:rPr>
        <w:t xml:space="preserve">iv)</w:t>
      </w:r>
      <w:r>
        <w:t xml:space="preserve"> </w:t>
      </w:r>
      <w:r>
        <w:t xml:space="preserve">residual biomass from the agricultural, fishing and aquaculture, forestry, and agro-industrial sectors;</w:t>
      </w:r>
      <w:r>
        <w:t xml:space="preserve"> </w:t>
      </w:r>
      <w:r>
        <w:rPr>
          <w:bCs/>
          <w:b/>
        </w:rPr>
        <w:t xml:space="preserve">v)</w:t>
      </w:r>
      <w:r>
        <w:t xml:space="preserve"> </w:t>
      </w:r>
      <w:r>
        <w:t xml:space="preserve">biomass that can be recovered from urban waste;</w:t>
      </w:r>
      <w:r>
        <w:t xml:space="preserve"> </w:t>
      </w:r>
      <w:r>
        <w:rPr>
          <w:bCs/>
          <w:b/>
        </w:rPr>
        <w:t xml:space="preserve">vi)</w:t>
      </w:r>
      <w:r>
        <w:t xml:space="preserve"> </w:t>
      </w:r>
      <w:r>
        <w:t xml:space="preserve">liquid waste from livestock and human activities; and</w:t>
      </w:r>
      <w:r>
        <w:t xml:space="preserve"> </w:t>
      </w:r>
      <w:r>
        <w:rPr>
          <w:bCs/>
          <w:b/>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provide opportunities to build upon what works and understand why it works</w:t>
      </w:r>
      <w:r>
        <w:t xml:space="preserve"> </w:t>
      </w:r>
      <w:r>
        <w:t xml:space="preserve">(Bowers &amp; Testa, 2019)</w:t>
      </w:r>
      <w:r>
        <w:t xml:space="preserve">. While Costa Rica has a long tradition in the production of environmental accounts</w:t>
      </w:r>
      <w:r>
        <w:t xml:space="preserve"> </w:t>
      </w:r>
      <w:r>
        <w:t xml:space="preserve">(BCCR, 2021b)</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officials needed to close to design better policies around the subject.</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(Vargas, Alvarado, Rodríguez, Rodríguez, &amp; Wander, 2022)</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Cs/>
          <w:i/>
        </w:rPr>
        <w:t xml:space="preserve">Key Sector Accounts</w:t>
      </w:r>
      <w:r>
        <w:t xml:space="preserve"> </w:t>
      </w:r>
      <w:r>
        <w:t xml:space="preserve">and</w:t>
      </w:r>
      <w:r>
        <w:t xml:space="preserve"> </w:t>
      </w:r>
      <w:r>
        <w:rPr>
          <w:iCs/>
          <w:i/>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(European Commission et al., 2009)</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Cs/>
          <w:i/>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Cs/>
          <w:i/>
        </w:rPr>
        <w:t xml:space="preserve">21111 Fresh or chilled beef</w:t>
      </w:r>
      <w:r>
        <w:t xml:space="preserve"> </w:t>
      </w:r>
      <w:r>
        <w:t xml:space="preserve">or</w:t>
      </w:r>
      <w:r>
        <w:t xml:space="preserve"> </w:t>
      </w:r>
      <w:r>
        <w:rPr>
          <w:iCs/>
          <w:i/>
        </w:rPr>
        <w:t xml:space="preserve">21121 Fresh or chilled chicken</w:t>
      </w:r>
      <w:r>
        <w:t xml:space="preserve"> </w:t>
      </w:r>
      <w:r>
        <w:t xml:space="preserve">one step back in the supply chain, as well as</w:t>
      </w:r>
      <w:r>
        <w:t xml:space="preserve"> </w:t>
      </w:r>
      <w:r>
        <w:rPr>
          <w:iCs/>
          <w:i/>
        </w:rPr>
        <w:t xml:space="preserve">02111 Cattle</w:t>
      </w:r>
      <w:r>
        <w:t xml:space="preserve"> </w:t>
      </w:r>
      <w:r>
        <w:t xml:space="preserve">and</w:t>
      </w:r>
      <w:r>
        <w:t xml:space="preserve"> </w:t>
      </w:r>
      <w:r>
        <w:rPr>
          <w:iCs/>
          <w:i/>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Cs/>
          <w:i/>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Cs/>
          <w:i/>
        </w:rPr>
        <w:t xml:space="preserve">a priori</w:t>
      </w:r>
      <w:r>
        <w:t xml:space="preserve"> </w:t>
      </w:r>
      <w:r>
        <w:t xml:space="preserve">determination of bioeconomic activities has at least three important limitations.</w:t>
      </w:r>
    </w:p>
    <w:p>
      <w:pPr>
        <w:numPr>
          <w:ilvl w:val="0"/>
          <w:numId w:val="1002"/>
        </w:numPr>
        <w:pStyle w:val="Compact"/>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numPr>
          <w:ilvl w:val="0"/>
          <w:numId w:val="1002"/>
        </w:numPr>
        <w:pStyle w:val="Compact"/>
      </w:pPr>
      <w:r>
        <w:t xml:space="preserve">Secondary production of Non-Bioeconomic products within an activity classified as Bioeconomic</w:t>
      </w:r>
      <w:r>
        <w:t xml:space="preserve"> </w:t>
      </w:r>
      <w:r>
        <w:rPr>
          <w:iCs/>
          <w:i/>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numPr>
          <w:ilvl w:val="0"/>
          <w:numId w:val="1002"/>
        </w:numPr>
        <w:pStyle w:val="Compact"/>
      </w:pPr>
      <w:r>
        <w:rPr>
          <w:iCs/>
          <w:i/>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Cs/>
          <w:i/>
        </w:rPr>
        <w:t xml:space="preserve">a priori</w:t>
      </w:r>
      <w:r>
        <w:t xml:space="preserve"> </w:t>
      </w:r>
      <w:r>
        <w:t xml:space="preserve">determined bioeconomic activities. Our original estimates for Costa Rica</w:t>
      </w:r>
      <w:r>
        <w:t xml:space="preserve"> </w:t>
      </w:r>
      <w:r>
        <w:t xml:space="preserve">(Vargas et al.,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87"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—and insights at economic sector level from the Costa Rican case.</w:t>
      </w:r>
    </w:p>
    <w:bookmarkStart w:id="33"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ook w:firstRow="0" w:lastRow="0" w:firstColumn="0" w:lastColumn="0" w:noHBand="0" w:noVBand="0" w:val="0000"/>
        <w:jc w:val="start"/>
        <w:tblLayout w:type="fixed"/>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remainder that results from subtracting intermediate consumption at purchaser’s prices from production at producer’s prices (which is technically known as gross output) is equal to gross Value Added (see</w:t>
      </w:r>
      <w:r>
        <w:t xml:space="preserve"> </w:t>
      </w:r>
      <w:hyperlink w:anchor="tbl-gtm19-use">
        <w:r>
          <w:rPr>
            <w:rStyle w:val="Hyperlink"/>
          </w:rPr>
          <w:t xml:space="preserve">Table 2</w:t>
        </w:r>
      </w:hyperlink>
      <w:r>
        <w:t xml:space="preserve">). This is calculated for each economic activity (or column). Gross Value Added is similar to the profit that results from subtracting the cost of inputs (excluding labor) from total sales in a company, but at the level of the entire economy. The sum of the value added by all economic activities, plus total taxes on products, minus subsidies on those products, results in the Gross Domestic Product (GDP). In this case, 926.4 billion – 369.7 billion + 36.1 billion quetzales results a GDP of 592.8 billion GTQ for 2019.</w:t>
      </w:r>
    </w:p>
    <w:p>
      <w:pPr>
        <w:pStyle w:val="BodyText"/>
      </w:pPr>
      <w:r>
        <w:t xml:space="preserve">If we were to abide by the</w:t>
      </w:r>
      <w:r>
        <w:t xml:space="preserve"> </w:t>
      </w:r>
      <w:r>
        <w:rPr>
          <w:iCs/>
          <w:i/>
        </w:rPr>
        <w:t xml:space="preserve">a priori</w:t>
      </w:r>
      <w:r>
        <w:t xml:space="preserve"> </w:t>
      </w:r>
      <w:r>
        <w:t xml:space="preserve">selection of Bioeconomic sectors, these would account for 17.0% of gross Value Added—i.e. the Bioeconomy’s GDP—, 4.6% for extended bioeconomic activities, and 78.4% for non-bioeconomic activities. However, we have explained the limitations that come with that approach. That’s why we suggest that biological resources, as the natural resource basis of production across</w:t>
      </w:r>
      <w:r>
        <w:t xml:space="preserve"> </w:t>
      </w:r>
      <w:r>
        <w:rPr>
          <w:iCs/>
          <w:i/>
        </w:rPr>
        <w:t xml:space="preserve">all</w:t>
      </w:r>
      <w:r>
        <w:t xml:space="preserve"> </w:t>
      </w:r>
      <w:r>
        <w:t xml:space="preserve">economic activities (not just some), can be seen as a spectrum. Each activity can make greater or lesser use of biological inputs. In other words, each activity may have a higher or lower share of bioeconomic products in its intermediate consumption structure and can also produce a mix of products with a higher or lower proportion of bioeconomic content. For this reason, estimating a bioeconomic contribution of 17.0% of Value Added, or 94.8 billion GTQ, overlooks in some way the 997.5 million GTQ in bioeconomic products and the 42.2 billion GTQ in extended bioeconomic products produced by non-bioeconomic activities. It would be more accurate to say that the value added across all sectors was based on 24.0% bioeconomic inputs (as explained earlier in the intermediate consumption analysis), which is a calculation that can be done individually for each sector (for example, agriculture, manufacturing, and trade), without relying on the three bioeconomic classification categories in the columns and instead focusing on the bioeconomic content of products in the rows. The conclusion is that all economic activities can be more or less bioeconomic, whether from the perspective of production or intermediate consumption.</w:t>
      </w:r>
    </w:p>
    <w:p>
      <w:pPr>
        <w:pStyle w:val="BodyText"/>
      </w:pPr>
      <w:hyperlink w:anchor="tbl-gtm19-use">
        <w:r>
          <w:rPr>
            <w:rStyle w:val="Hyperlink"/>
          </w:rPr>
          <w:t xml:space="preserve">Table 2</w:t>
        </w:r>
      </w:hyperlink>
      <w:r>
        <w:t xml:space="preserve"> </w:t>
      </w:r>
      <w:r>
        <w:t xml:space="preserve">also shows exports, which total 95.3 billion GTQ (excluding the CIF/FOB adjustments row), with 46.4% corresponding to bioeconomic products, 16.7% to extended bioeconomic products, and 36.9% to non-bioeconomic products. This is reasonable for a country where a significant portion of exports consists of agricultural products. Finally, of the 578.3 billion quetzales corresponding to final consumption (excluding CIF/FOB adjustments), 32.8% corresponds to bioeconomic products, 15.0% to extended bioeconomic products, and 52.2% to non-bioeconomic products.</w:t>
      </w:r>
    </w:p>
    <w:bookmarkEnd w:id="33"/>
    <w:bookmarkStart w:id="48" w:name="disaggregation-by-economic-activity"/>
    <w:p>
      <w:pPr>
        <w:pStyle w:val="Heading3"/>
      </w:pPr>
      <w:r>
        <w:t xml:space="preserve">Disaggregation by Economic Activity</w:t>
      </w:r>
    </w:p>
    <w:p>
      <w:pPr>
        <w:pStyle w:val="FirstParagraph"/>
      </w:pPr>
      <w:r>
        <w:t xml:space="preserve">For a more detailed view of the Bioeconomy, we turn our attention to the example of Costa Rica. 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for the case of the pharmaceutical sector of Costa Rica.</w:t>
      </w:r>
      <w:r>
        <w:t xml:space="preserve"> </w:t>
      </w:r>
      <w:hyperlink w:anchor="tbl-cr18-pharma">
        <w:r>
          <w:rPr>
            <w:rStyle w:val="Hyperlink"/>
          </w:rPr>
          <w:t xml:space="preserve">Table 3</w:t>
        </w:r>
      </w:hyperlink>
      <w:r>
        <w:t xml:space="preserve"> </w:t>
      </w:r>
      <w:r>
        <w:t xml:space="preserve">shows that 34.6% of the inputs of this economic activity by value depend on 24 bioeconomic products. An additional 17.5% of its Intermediate Consumption is catalogued as belonging to the extended bioeconomy, while 47.9 percent is accounted for by non-bioeconomic products.</w:t>
      </w:r>
    </w:p>
    <w:tbl>
      <w:tblPr>
        <w:tblStyle w:val="Table"/>
        <w:tblW w:type="pct" w:w="5000"/>
        <w:tblLook w:firstRow="0" w:lastRow="0" w:firstColumn="0" w:lastColumn="0" w:noHBand="0" w:noVBand="0" w:val="0000"/>
        <w:jc w:val="start"/>
        <w:tblLayout w:type="fixed"/>
      </w:tblPr>
      <w:tblGrid>
        <w:gridCol w:w="7920"/>
      </w:tblGrid>
      <w:tr>
        <w:tc>
          <w:tcPr/>
          <w:bookmarkStart w:id="34"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tbl>
            <w:tblPr>
              <w:tblStyle w:val="Table"/>
              <w:tblW w:type="pct" w:w="5000"/>
              <w:tblLook w:firstRow="1" w:lastRow="0" w:firstColumn="0" w:lastColumn="0" w:noHBand="0" w:noVBand="0" w:val="0020"/>
              <w:jc w:val="start"/>
              <w:tblLayout w:type="fixed"/>
            </w:tblPr>
            <w:tblGrid>
              <w:gridCol w:w="4014"/>
              <w:gridCol w:w="1952"/>
              <w:gridCol w:w="1952"/>
            </w:tblGrid>
            <w:tr>
              <w:trPr>
                <w:tblHeader w:val="true"/>
              </w:trPr>
              <w:tc>
                <w:tcPr/>
                <w:p>
                  <w:pPr>
                    <w:pStyle w:val="Compact"/>
                    <w:jc w:val="left"/>
                    <w:jc w:val="center"/>
                  </w:pPr>
                  <w:r>
                    <w:rPr>
                      <w:bCs/>
                      <w:b/>
                    </w:rPr>
                    <w:t xml:space="preserve">Products</w:t>
                  </w:r>
                </w:p>
              </w:tc>
              <w:tc>
                <w:tcPr/>
                <w:p>
                  <w:pPr>
                    <w:pStyle w:val="Compact"/>
                    <w:jc w:val="right"/>
                    <w:jc w:val="center"/>
                  </w:pPr>
                  <w:r>
                    <w:rPr>
                      <w:bCs/>
                      <w:b/>
                    </w:rPr>
                    <w:t xml:space="preserve">Value (CRC)</w:t>
                  </w:r>
                </w:p>
              </w:tc>
              <w:tc>
                <w:tcPr/>
                <w:p>
                  <w:pPr>
                    <w:pStyle w:val="Compact"/>
                    <w:jc w:val="right"/>
                    <w:jc w:val="center"/>
                  </w:pPr>
                  <w:r>
                    <w:rPr>
                      <w:bCs/>
                      <w:b/>
                    </w:rPr>
                    <w:t xml:space="preserve">Percent</w:t>
                  </w:r>
                </w:p>
              </w:tc>
            </w:tr>
            <w:tr>
              <w:tc>
                <w:tcPr/>
                <w:p>
                  <w:pPr>
                    <w:pStyle w:val="Compact"/>
                    <w:jc w:val="left"/>
                    <w:jc w:val="center"/>
                  </w:pPr>
                  <w:r>
                    <w:rPr>
                      <w:bCs/>
                      <w:b/>
                    </w:rPr>
                    <w:t xml:space="preserve">Bioeconomy (subtotal)</w:t>
                  </w:r>
                </w:p>
              </w:tc>
              <w:tc>
                <w:tcPr/>
                <w:p>
                  <w:pPr>
                    <w:pStyle w:val="Compact"/>
                    <w:jc w:val="right"/>
                    <w:jc w:val="center"/>
                  </w:pPr>
                  <w:r>
                    <w:rPr>
                      <w:bCs/>
                      <w:b/>
                    </w:rPr>
                    <w:t xml:space="preserve">30,307.1</w:t>
                  </w:r>
                </w:p>
              </w:tc>
              <w:tc>
                <w:tcPr/>
                <w:p>
                  <w:pPr>
                    <w:pStyle w:val="Compact"/>
                    <w:jc w:val="right"/>
                    <w:jc w:val="center"/>
                  </w:pPr>
                  <w:r>
                    <w:rPr>
                      <w:bCs/>
                      <w:b/>
                    </w:rPr>
                    <w:t xml:space="preserve">34.61%</w:t>
                  </w:r>
                </w:p>
              </w:tc>
            </w:tr>
            <w:tr>
              <w:tc>
                <w:tcPr/>
                <w:p>
                  <w:pPr>
                    <w:pStyle w:val="Compact"/>
                    <w:jc w:val="left"/>
                    <w:jc w:val="center"/>
                  </w:pPr>
                  <w:r>
                    <w:t xml:space="preserve">Pharmaceutical and medicinal products</w:t>
                  </w:r>
                </w:p>
              </w:tc>
              <w:tc>
                <w:tcPr/>
                <w:p>
                  <w:pPr>
                    <w:pStyle w:val="Compact"/>
                    <w:jc w:val="right"/>
                    <w:jc w:val="center"/>
                  </w:pPr>
                  <w:r>
                    <w:t xml:space="preserve">18,845.6</w:t>
                  </w:r>
                </w:p>
              </w:tc>
              <w:tc>
                <w:tcPr/>
                <w:p>
                  <w:pPr>
                    <w:pStyle w:val="Compact"/>
                    <w:jc w:val="right"/>
                    <w:jc w:val="center"/>
                  </w:pPr>
                  <w:r>
                    <w:t xml:space="preserve">21.52%</w:t>
                  </w:r>
                </w:p>
              </w:tc>
            </w:tr>
            <w:tr>
              <w:tc>
                <w:tcPr/>
                <w:p>
                  <w:pPr>
                    <w:pStyle w:val="Compact"/>
                    <w:jc w:val="left"/>
                    <w:jc w:val="center"/>
                  </w:pPr>
                  <w:r>
                    <w:t xml:space="preserve">Other food products n.e.c.</w:t>
                  </w:r>
                </w:p>
              </w:tc>
              <w:tc>
                <w:tcPr/>
                <w:p>
                  <w:pPr>
                    <w:pStyle w:val="Compact"/>
                    <w:jc w:val="right"/>
                    <w:jc w:val="center"/>
                  </w:pPr>
                  <w:r>
                    <w:t xml:space="preserve">4,011.2</w:t>
                  </w:r>
                </w:p>
              </w:tc>
              <w:tc>
                <w:tcPr/>
                <w:p>
                  <w:pPr>
                    <w:pStyle w:val="Compact"/>
                    <w:jc w:val="right"/>
                    <w:jc w:val="center"/>
                  </w:pPr>
                  <w:r>
                    <w:t xml:space="preserve">4.58%</w:t>
                  </w:r>
                </w:p>
              </w:tc>
            </w:tr>
            <w:tr>
              <w:tc>
                <w:tcPr/>
                <w:p>
                  <w:pPr>
                    <w:pStyle w:val="Compact"/>
                    <w:jc w:val="left"/>
                    <w:jc w:val="center"/>
                  </w:pPr>
                  <w:r>
                    <w:t xml:space="preserve">Prepared animal feed</w:t>
                  </w:r>
                </w:p>
              </w:tc>
              <w:tc>
                <w:tcPr/>
                <w:p>
                  <w:pPr>
                    <w:pStyle w:val="Compact"/>
                    <w:jc w:val="right"/>
                    <w:jc w:val="center"/>
                  </w:pPr>
                  <w:r>
                    <w:t xml:space="preserve">2,624.9</w:t>
                  </w:r>
                </w:p>
              </w:tc>
              <w:tc>
                <w:tcPr/>
                <w:p>
                  <w:pPr>
                    <w:pStyle w:val="Compact"/>
                    <w:jc w:val="right"/>
                    <w:jc w:val="center"/>
                  </w:pPr>
                  <w:r>
                    <w:t xml:space="preserve">3.00%</w:t>
                  </w:r>
                </w:p>
              </w:tc>
            </w:tr>
            <w:tr>
              <w:tc>
                <w:tcPr/>
                <w:p>
                  <w:pPr>
                    <w:pStyle w:val="Compact"/>
                    <w:jc w:val="left"/>
                    <w:jc w:val="center"/>
                  </w:pPr>
                  <w:r>
                    <w:t xml:space="preserve">Paper and paper products</w:t>
                  </w:r>
                </w:p>
              </w:tc>
              <w:tc>
                <w:tcPr/>
                <w:p>
                  <w:pPr>
                    <w:pStyle w:val="Compact"/>
                    <w:jc w:val="right"/>
                    <w:jc w:val="center"/>
                  </w:pPr>
                  <w:r>
                    <w:t xml:space="preserve">1,124.2</w:t>
                  </w:r>
                </w:p>
              </w:tc>
              <w:tc>
                <w:tcPr/>
                <w:p>
                  <w:pPr>
                    <w:pStyle w:val="Compact"/>
                    <w:jc w:val="right"/>
                    <w:jc w:val="center"/>
                  </w:pPr>
                  <w:r>
                    <w:t xml:space="preserve">1.28%</w:t>
                  </w:r>
                </w:p>
              </w:tc>
            </w:tr>
            <w:tr>
              <w:tc>
                <w:tcPr/>
                <w:p>
                  <w:pPr>
                    <w:pStyle w:val="Compact"/>
                    <w:jc w:val="left"/>
                    <w:jc w:val="center"/>
                  </w:pPr>
                  <w:r>
                    <w:t xml:space="preserve">Garments</w:t>
                  </w:r>
                </w:p>
              </w:tc>
              <w:tc>
                <w:tcPr/>
                <w:p>
                  <w:pPr>
                    <w:pStyle w:val="Compact"/>
                    <w:jc w:val="right"/>
                    <w:jc w:val="center"/>
                  </w:pPr>
                  <w:r>
                    <w:t xml:space="preserve">1,063.4</w:t>
                  </w:r>
                </w:p>
              </w:tc>
              <w:tc>
                <w:tcPr/>
                <w:p>
                  <w:pPr>
                    <w:pStyle w:val="Compact"/>
                    <w:jc w:val="right"/>
                    <w:jc w:val="center"/>
                  </w:pPr>
                  <w:r>
                    <w:t xml:space="preserve">1.21%</w:t>
                  </w:r>
                </w:p>
              </w:tc>
            </w:tr>
            <w:tr>
              <w:tc>
                <w:tcPr/>
                <w:p>
                  <w:pPr>
                    <w:pStyle w:val="Compact"/>
                    <w:jc w:val="left"/>
                    <w:jc w:val="center"/>
                  </w:pPr>
                  <w:r>
                    <w:t xml:space="preserve">Food and beverage supply services</w:t>
                  </w:r>
                </w:p>
              </w:tc>
              <w:tc>
                <w:tcPr/>
                <w:p>
                  <w:pPr>
                    <w:pStyle w:val="Compact"/>
                    <w:jc w:val="right"/>
                    <w:jc w:val="center"/>
                  </w:pPr>
                  <w:r>
                    <w:t xml:space="preserve">996.0</w:t>
                  </w:r>
                </w:p>
              </w:tc>
              <w:tc>
                <w:tcPr/>
                <w:p>
                  <w:pPr>
                    <w:pStyle w:val="Compact"/>
                    <w:jc w:val="right"/>
                    <w:jc w:val="center"/>
                  </w:pPr>
                  <w:r>
                    <w:t xml:space="preserve">1.14%</w:t>
                  </w:r>
                </w:p>
              </w:tc>
            </w:tr>
            <w:tr>
              <w:tc>
                <w:tcPr/>
                <w:p>
                  <w:pPr>
                    <w:pStyle w:val="Compact"/>
                    <w:jc w:val="left"/>
                    <w:jc w:val="center"/>
                  </w:pPr>
                  <w:r>
                    <w:t xml:space="preserve">Other milling products n.e.c., starches, and starch derivatives</w:t>
                  </w:r>
                </w:p>
              </w:tc>
              <w:tc>
                <w:tcPr/>
                <w:p>
                  <w:pPr>
                    <w:pStyle w:val="Compact"/>
                    <w:jc w:val="right"/>
                    <w:jc w:val="center"/>
                  </w:pPr>
                  <w:r>
                    <w:t xml:space="preserve">582.7</w:t>
                  </w:r>
                </w:p>
              </w:tc>
              <w:tc>
                <w:tcPr/>
                <w:p>
                  <w:pPr>
                    <w:pStyle w:val="Compact"/>
                    <w:jc w:val="right"/>
                    <w:jc w:val="center"/>
                  </w:pPr>
                  <w:r>
                    <w:t xml:space="preserve">0.67%</w:t>
                  </w:r>
                </w:p>
              </w:tc>
            </w:tr>
            <w:tr>
              <w:tc>
                <w:tcPr/>
                <w:p>
                  <w:pPr>
                    <w:pStyle w:val="Compact"/>
                    <w:jc w:val="left"/>
                    <w:jc w:val="center"/>
                  </w:pPr>
                  <w:r>
                    <w:t xml:space="preserve">Soaps, detergents, perfumes, and toiletries</w:t>
                  </w:r>
                </w:p>
              </w:tc>
              <w:tc>
                <w:tcPr/>
                <w:p>
                  <w:pPr>
                    <w:pStyle w:val="Compact"/>
                    <w:jc w:val="right"/>
                    <w:jc w:val="center"/>
                  </w:pPr>
                  <w:r>
                    <w:t xml:space="preserve">253.7</w:t>
                  </w:r>
                </w:p>
              </w:tc>
              <w:tc>
                <w:tcPr/>
                <w:p>
                  <w:pPr>
                    <w:pStyle w:val="Compact"/>
                    <w:jc w:val="right"/>
                    <w:jc w:val="center"/>
                  </w:pPr>
                  <w:r>
                    <w:t xml:space="preserve">0.29%</w:t>
                  </w:r>
                </w:p>
              </w:tc>
            </w:tr>
            <w:tr>
              <w:tc>
                <w:tcPr/>
                <w:p>
                  <w:pPr>
                    <w:pStyle w:val="Compact"/>
                    <w:jc w:val="left"/>
                    <w:jc w:val="center"/>
                  </w:pPr>
                  <w:r>
                    <w:t xml:space="preserve">Products from non-perennial and perennial plants</w:t>
                  </w:r>
                </w:p>
              </w:tc>
              <w:tc>
                <w:tcPr/>
                <w:p>
                  <w:pPr>
                    <w:pStyle w:val="Compact"/>
                    <w:jc w:val="right"/>
                    <w:jc w:val="center"/>
                  </w:pPr>
                  <w:r>
                    <w:t xml:space="preserve">198.5</w:t>
                  </w:r>
                </w:p>
              </w:tc>
              <w:tc>
                <w:tcPr/>
                <w:p>
                  <w:pPr>
                    <w:pStyle w:val="Compact"/>
                    <w:jc w:val="right"/>
                    <w:jc w:val="center"/>
                  </w:pPr>
                  <w:r>
                    <w:t xml:space="preserve">0.23%</w:t>
                  </w:r>
                </w:p>
              </w:tc>
            </w:tr>
            <w:tr>
              <w:tc>
                <w:tcPr/>
                <w:p>
                  <w:pPr>
                    <w:pStyle w:val="Compact"/>
                    <w:jc w:val="left"/>
                    <w:jc w:val="center"/>
                  </w:pPr>
                  <w:r>
                    <w:t xml:space="preserve">Wood and cork, wood and cork products, except furniture; articles of straw and plaiting materials</w:t>
                  </w:r>
                </w:p>
              </w:tc>
              <w:tc>
                <w:tcPr/>
                <w:p>
                  <w:pPr>
                    <w:pStyle w:val="Compact"/>
                    <w:jc w:val="right"/>
                    <w:jc w:val="center"/>
                  </w:pPr>
                  <w:r>
                    <w:t xml:space="preserve">174.1</w:t>
                  </w:r>
                </w:p>
              </w:tc>
              <w:tc>
                <w:tcPr/>
                <w:p>
                  <w:pPr>
                    <w:pStyle w:val="Compact"/>
                    <w:jc w:val="right"/>
                    <w:jc w:val="center"/>
                  </w:pPr>
                  <w:r>
                    <w:t xml:space="preserve">0.20%</w:t>
                  </w:r>
                </w:p>
              </w:tc>
            </w:tr>
            <w:tr>
              <w:tc>
                <w:tcPr/>
                <w:p>
                  <w:pPr>
                    <w:pStyle w:val="Compact"/>
                    <w:jc w:val="left"/>
                    <w:jc w:val="center"/>
                  </w:pPr>
                  <w:r>
                    <w:t xml:space="preserve">Support services for agriculture, livestock, and post-harvest activities</w:t>
                  </w:r>
                </w:p>
              </w:tc>
              <w:tc>
                <w:tcPr/>
                <w:p>
                  <w:pPr>
                    <w:pStyle w:val="Compact"/>
                    <w:jc w:val="right"/>
                    <w:jc w:val="center"/>
                  </w:pPr>
                  <w:r>
                    <w:t xml:space="preserve">133.8</w:t>
                  </w:r>
                </w:p>
              </w:tc>
              <w:tc>
                <w:tcPr/>
                <w:p>
                  <w:pPr>
                    <w:pStyle w:val="Compact"/>
                    <w:jc w:val="right"/>
                    <w:jc w:val="center"/>
                  </w:pPr>
                  <w:r>
                    <w:t xml:space="preserve">0.15%</w:t>
                  </w:r>
                </w:p>
              </w:tc>
            </w:tr>
            <w:tr>
              <w:tc>
                <w:tcPr/>
                <w:p>
                  <w:pPr>
                    <w:pStyle w:val="Compact"/>
                    <w:jc w:val="left"/>
                    <w:jc w:val="center"/>
                  </w:pPr>
                  <w:r>
                    <w:t xml:space="preserve">Vegetable and animal fats and oils</w:t>
                  </w:r>
                </w:p>
              </w:tc>
              <w:tc>
                <w:tcPr/>
                <w:p>
                  <w:pPr>
                    <w:pStyle w:val="Compact"/>
                    <w:jc w:val="right"/>
                    <w:jc w:val="center"/>
                  </w:pPr>
                  <w:r>
                    <w:t xml:space="preserve">107.9</w:t>
                  </w:r>
                </w:p>
              </w:tc>
              <w:tc>
                <w:tcPr/>
                <w:p>
                  <w:pPr>
                    <w:pStyle w:val="Compact"/>
                    <w:jc w:val="right"/>
                    <w:jc w:val="center"/>
                  </w:pPr>
                  <w:r>
                    <w:t xml:space="preserve">0.12%</w:t>
                  </w:r>
                </w:p>
              </w:tc>
            </w:tr>
            <w:tr>
              <w:tc>
                <w:tcPr/>
                <w:p>
                  <w:pPr>
                    <w:pStyle w:val="Compact"/>
                    <w:jc w:val="left"/>
                    <w:jc w:val="center"/>
                  </w:pPr>
                  <w:r>
                    <w:t xml:space="preserve">Leather and related products, except footwear</w:t>
                  </w:r>
                </w:p>
              </w:tc>
              <w:tc>
                <w:tcPr/>
                <w:p>
                  <w:pPr>
                    <w:pStyle w:val="Compact"/>
                    <w:jc w:val="right"/>
                    <w:jc w:val="center"/>
                  </w:pPr>
                  <w:r>
                    <w:t xml:space="preserve">64.1</w:t>
                  </w:r>
                </w:p>
              </w:tc>
              <w:tc>
                <w:tcPr/>
                <w:p>
                  <w:pPr>
                    <w:pStyle w:val="Compact"/>
                    <w:jc w:val="right"/>
                    <w:jc w:val="center"/>
                  </w:pPr>
                  <w:r>
                    <w:t xml:space="preserve">0.07%</w:t>
                  </w:r>
                </w:p>
              </w:tc>
            </w:tr>
            <w:tr>
              <w:tc>
                <w:tcPr/>
                <w:p>
                  <w:pPr>
                    <w:pStyle w:val="Compact"/>
                    <w:jc w:val="left"/>
                    <w:jc w:val="center"/>
                  </w:pPr>
                  <w:r>
                    <w:t xml:space="preserve">Rubber products</w:t>
                  </w:r>
                </w:p>
              </w:tc>
              <w:tc>
                <w:tcPr/>
                <w:p>
                  <w:pPr>
                    <w:pStyle w:val="Compact"/>
                    <w:jc w:val="right"/>
                    <w:jc w:val="center"/>
                  </w:pPr>
                  <w:r>
                    <w:t xml:space="preserve">41.3</w:t>
                  </w:r>
                </w:p>
              </w:tc>
              <w:tc>
                <w:tcPr/>
                <w:p>
                  <w:pPr>
                    <w:pStyle w:val="Compact"/>
                    <w:jc w:val="right"/>
                    <w:jc w:val="center"/>
                  </w:pPr>
                  <w:r>
                    <w:t xml:space="preserve">0.05%</w:t>
                  </w:r>
                </w:p>
              </w:tc>
            </w:tr>
            <w:tr>
              <w:tc>
                <w:tcPr/>
                <w:p>
                  <w:pPr>
                    <w:pStyle w:val="Compact"/>
                    <w:jc w:val="left"/>
                    <w:jc w:val="center"/>
                  </w:pPr>
                  <w:r>
                    <w:t xml:space="preserve">Cane sugar, molasses, syrups, and other sugars</w:t>
                  </w:r>
                </w:p>
              </w:tc>
              <w:tc>
                <w:tcPr/>
                <w:p>
                  <w:pPr>
                    <w:pStyle w:val="Compact"/>
                    <w:jc w:val="right"/>
                    <w:jc w:val="center"/>
                  </w:pPr>
                  <w:r>
                    <w:t xml:space="preserve">39.3</w:t>
                  </w:r>
                </w:p>
              </w:tc>
              <w:tc>
                <w:tcPr/>
                <w:p>
                  <w:pPr>
                    <w:pStyle w:val="Compact"/>
                    <w:jc w:val="right"/>
                    <w:jc w:val="center"/>
                  </w:pPr>
                  <w:r>
                    <w:t xml:space="preserve">0.04%</w:t>
                  </w:r>
                </w:p>
              </w:tc>
            </w:tr>
            <w:tr>
              <w:tc>
                <w:tcPr/>
                <w:p>
                  <w:pPr>
                    <w:pStyle w:val="Compact"/>
                    <w:jc w:val="left"/>
                    <w:jc w:val="center"/>
                  </w:pPr>
                  <w:r>
                    <w:t xml:space="preserve">Ground coffee, soluble coffee, extracts, and concentrates</w:t>
                  </w:r>
                </w:p>
              </w:tc>
              <w:tc>
                <w:tcPr/>
                <w:p>
                  <w:pPr>
                    <w:pStyle w:val="Compact"/>
                    <w:jc w:val="right"/>
                    <w:jc w:val="center"/>
                  </w:pPr>
                  <w:r>
                    <w:t xml:space="preserve">31.5</w:t>
                  </w:r>
                </w:p>
              </w:tc>
              <w:tc>
                <w:tcPr/>
                <w:p>
                  <w:pPr>
                    <w:pStyle w:val="Compact"/>
                    <w:jc w:val="right"/>
                    <w:jc w:val="center"/>
                  </w:pPr>
                  <w:r>
                    <w:t xml:space="preserve">0.04%</w:t>
                  </w:r>
                </w:p>
              </w:tc>
            </w:tr>
            <w:tr>
              <w:tc>
                <w:tcPr/>
                <w:p>
                  <w:pPr>
                    <w:pStyle w:val="Compact"/>
                    <w:jc w:val="left"/>
                    <w:jc w:val="center"/>
                  </w:pPr>
                  <w:r>
                    <w:t xml:space="preserve">Wastewater evacuation services</w:t>
                  </w:r>
                </w:p>
              </w:tc>
              <w:tc>
                <w:tcPr/>
                <w:p>
                  <w:pPr>
                    <w:pStyle w:val="Compact"/>
                    <w:jc w:val="right"/>
                    <w:jc w:val="center"/>
                  </w:pPr>
                  <w:r>
                    <w:t xml:space="preserve">9.5</w:t>
                  </w:r>
                </w:p>
              </w:tc>
              <w:tc>
                <w:tcPr/>
                <w:p>
                  <w:pPr>
                    <w:pStyle w:val="Compact"/>
                    <w:jc w:val="right"/>
                    <w:jc w:val="center"/>
                  </w:pPr>
                  <w:r>
                    <w:t xml:space="preserve">0.01%</w:t>
                  </w:r>
                </w:p>
              </w:tc>
            </w:tr>
            <w:tr>
              <w:tc>
                <w:tcPr/>
                <w:p>
                  <w:pPr>
                    <w:pStyle w:val="Compact"/>
                    <w:jc w:val="left"/>
                    <w:jc w:val="center"/>
                  </w:pPr>
                  <w:r>
                    <w:t xml:space="preserve">Cocoa, chocolates, and confectionery products</w:t>
                  </w:r>
                </w:p>
              </w:tc>
              <w:tc>
                <w:tcPr/>
                <w:p>
                  <w:pPr>
                    <w:pStyle w:val="Compact"/>
                    <w:jc w:val="right"/>
                    <w:jc w:val="center"/>
                  </w:pPr>
                  <w:r>
                    <w:t xml:space="preserve">1.8</w:t>
                  </w:r>
                </w:p>
              </w:tc>
              <w:tc>
                <w:tcPr/>
                <w:p>
                  <w:pPr>
                    <w:pStyle w:val="Compact"/>
                    <w:jc w:val="right"/>
                    <w:jc w:val="center"/>
                  </w:pPr>
                  <w:r>
                    <w:t xml:space="preserve">0.002%</w:t>
                  </w:r>
                </w:p>
              </w:tc>
            </w:tr>
            <w:tr>
              <w:tc>
                <w:tcPr/>
                <w:p>
                  <w:pPr>
                    <w:pStyle w:val="Compact"/>
                    <w:jc w:val="left"/>
                    <w:jc w:val="center"/>
                  </w:pPr>
                  <w:r>
                    <w:t xml:space="preserve">Wheat flour</w:t>
                  </w:r>
                </w:p>
              </w:tc>
              <w:tc>
                <w:tcPr/>
                <w:p>
                  <w:pPr>
                    <w:pStyle w:val="Compact"/>
                    <w:jc w:val="right"/>
                    <w:jc w:val="center"/>
                  </w:pPr>
                  <w:r>
                    <w:t xml:space="preserve">1.5</w:t>
                  </w:r>
                </w:p>
              </w:tc>
              <w:tc>
                <w:tcPr/>
                <w:p>
                  <w:pPr>
                    <w:pStyle w:val="Compact"/>
                    <w:jc w:val="right"/>
                    <w:jc w:val="center"/>
                  </w:pPr>
                  <w:r>
                    <w:t xml:space="preserve">0.002%</w:t>
                  </w:r>
                </w:p>
              </w:tc>
            </w:tr>
            <w:tr>
              <w:tc>
                <w:tcPr/>
                <w:p>
                  <w:pPr>
                    <w:pStyle w:val="Compact"/>
                    <w:jc w:val="left"/>
                    <w:jc w:val="center"/>
                  </w:pPr>
                  <w:r>
                    <w:t xml:space="preserve">Products from forestry, wood extraction, and hunting</w:t>
                  </w:r>
                </w:p>
              </w:tc>
              <w:tc>
                <w:tcPr/>
                <w:p>
                  <w:pPr>
                    <w:pStyle w:val="Compact"/>
                    <w:jc w:val="right"/>
                    <w:jc w:val="center"/>
                  </w:pPr>
                  <w:r>
                    <w:t xml:space="preserve">1.0</w:t>
                  </w:r>
                </w:p>
              </w:tc>
              <w:tc>
                <w:tcPr/>
                <w:p>
                  <w:pPr>
                    <w:pStyle w:val="Compact"/>
                    <w:jc w:val="right"/>
                    <w:jc w:val="center"/>
                  </w:pPr>
                  <w:r>
                    <w:t xml:space="preserve">0.001%</w:t>
                  </w:r>
                </w:p>
              </w:tc>
            </w:tr>
            <w:tr>
              <w:tc>
                <w:tcPr/>
                <w:p>
                  <w:pPr>
                    <w:pStyle w:val="Compact"/>
                    <w:jc w:val="left"/>
                    <w:jc w:val="center"/>
                  </w:pPr>
                  <w:r>
                    <w:t xml:space="preserve">Eggs</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t xml:space="preserve">Dairy products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t xml:space="preserve">Other fruits, nuts, and other oil-bearing fruits</w:t>
                  </w:r>
                </w:p>
              </w:tc>
              <w:tc>
                <w:tcPr/>
                <w:p>
                  <w:pPr>
                    <w:pStyle w:val="Compact"/>
                    <w:jc w:val="right"/>
                    <w:jc w:val="center"/>
                  </w:pPr>
                  <w:r>
                    <w:t xml:space="preserve">0.1</w:t>
                  </w:r>
                </w:p>
              </w:tc>
              <w:tc>
                <w:tcPr/>
                <w:p>
                  <w:pPr>
                    <w:pStyle w:val="Compact"/>
                    <w:jc w:val="right"/>
                    <w:jc w:val="center"/>
                  </w:pPr>
                  <w:r>
                    <w:t xml:space="preserve">0.0001%</w:t>
                  </w:r>
                </w:p>
              </w:tc>
            </w:tr>
            <w:tr>
              <w:tc>
                <w:tcPr/>
                <w:p>
                  <w:pPr>
                    <w:pStyle w:val="Compact"/>
                    <w:jc w:val="left"/>
                    <w:jc w:val="center"/>
                  </w:pPr>
                  <w:r>
                    <w:rPr>
                      <w:bCs/>
                      <w:b/>
                    </w:rPr>
                    <w:t xml:space="preserve">Extended Bioeconomy (subtotal)</w:t>
                  </w:r>
                </w:p>
              </w:tc>
              <w:tc>
                <w:tcPr/>
                <w:p>
                  <w:pPr>
                    <w:pStyle w:val="Compact"/>
                    <w:jc w:val="right"/>
                    <w:jc w:val="center"/>
                  </w:pPr>
                  <w:r>
                    <w:rPr>
                      <w:bCs/>
                      <w:b/>
                    </w:rPr>
                    <w:t xml:space="preserve">15,298.4</w:t>
                  </w:r>
                </w:p>
              </w:tc>
              <w:tc>
                <w:tcPr/>
                <w:p>
                  <w:pPr>
                    <w:pStyle w:val="Compact"/>
                    <w:jc w:val="right"/>
                    <w:jc w:val="center"/>
                  </w:pPr>
                  <w:r>
                    <w:rPr>
                      <w:bCs/>
                      <w:b/>
                    </w:rPr>
                    <w:t xml:space="preserve">17.47%</w:t>
                  </w:r>
                </w:p>
              </w:tc>
            </w:tr>
            <w:tr>
              <w:tc>
                <w:tcPr/>
                <w:p>
                  <w:pPr>
                    <w:pStyle w:val="Compact"/>
                    <w:jc w:val="left"/>
                    <w:jc w:val="center"/>
                  </w:pPr>
                  <w:r>
                    <w:t xml:space="preserve">Basic chemicals and fertilizers, nitrogen compounds, pesticides, and other agrochemical products</w:t>
                  </w:r>
                </w:p>
              </w:tc>
              <w:tc>
                <w:tcPr/>
                <w:p>
                  <w:pPr>
                    <w:pStyle w:val="Compact"/>
                    <w:jc w:val="right"/>
                    <w:jc w:val="center"/>
                  </w:pPr>
                  <w:r>
                    <w:t xml:space="preserve">14,232.3</w:t>
                  </w:r>
                </w:p>
              </w:tc>
              <w:tc>
                <w:tcPr/>
                <w:p>
                  <w:pPr>
                    <w:pStyle w:val="Compact"/>
                    <w:jc w:val="right"/>
                    <w:jc w:val="center"/>
                  </w:pPr>
                  <w:r>
                    <w:t xml:space="preserve">16.25%</w:t>
                  </w:r>
                </w:p>
              </w:tc>
            </w:tr>
            <w:tr>
              <w:tc>
                <w:tcPr/>
                <w:p>
                  <w:pPr>
                    <w:pStyle w:val="Compact"/>
                    <w:jc w:val="left"/>
                    <w:jc w:val="center"/>
                  </w:pPr>
                  <w:r>
                    <w:t xml:space="preserve">Other manufactured products</w:t>
                  </w:r>
                </w:p>
              </w:tc>
              <w:tc>
                <w:tcPr/>
                <w:p>
                  <w:pPr>
                    <w:pStyle w:val="Compact"/>
                    <w:jc w:val="right"/>
                    <w:jc w:val="center"/>
                  </w:pPr>
                  <w:r>
                    <w:t xml:space="preserve">555.7</w:t>
                  </w:r>
                </w:p>
              </w:tc>
              <w:tc>
                <w:tcPr/>
                <w:p>
                  <w:pPr>
                    <w:pStyle w:val="Compact"/>
                    <w:jc w:val="right"/>
                    <w:jc w:val="center"/>
                  </w:pPr>
                  <w:r>
                    <w:t xml:space="preserve">0.63%</w:t>
                  </w:r>
                </w:p>
              </w:tc>
            </w:tr>
            <w:tr>
              <w:tc>
                <w:tcPr/>
                <w:p>
                  <w:pPr>
                    <w:pStyle w:val="Compact"/>
                    <w:jc w:val="left"/>
                    <w:jc w:val="center"/>
                  </w:pPr>
                  <w:r>
                    <w:t xml:space="preserve">Textile products, except garments</w:t>
                  </w:r>
                </w:p>
              </w:tc>
              <w:tc>
                <w:tcPr/>
                <w:p>
                  <w:pPr>
                    <w:pStyle w:val="Compact"/>
                    <w:jc w:val="right"/>
                    <w:jc w:val="center"/>
                  </w:pPr>
                  <w:r>
                    <w:t xml:space="preserve">237.9</w:t>
                  </w:r>
                </w:p>
              </w:tc>
              <w:tc>
                <w:tcPr/>
                <w:p>
                  <w:pPr>
                    <w:pStyle w:val="Compact"/>
                    <w:jc w:val="right"/>
                    <w:jc w:val="center"/>
                  </w:pPr>
                  <w:r>
                    <w:t xml:space="preserve">0.27%</w:t>
                  </w:r>
                </w:p>
              </w:tc>
            </w:tr>
            <w:tr>
              <w:tc>
                <w:tcPr/>
                <w:p>
                  <w:pPr>
                    <w:pStyle w:val="Compact"/>
                    <w:jc w:val="left"/>
                    <w:jc w:val="center"/>
                  </w:pPr>
                  <w:r>
                    <w:t xml:space="preserve">Waste collection, treatment, and disposal services; material recovery</w:t>
                  </w:r>
                </w:p>
              </w:tc>
              <w:tc>
                <w:tcPr/>
                <w:p>
                  <w:pPr>
                    <w:pStyle w:val="Compact"/>
                    <w:jc w:val="right"/>
                    <w:jc w:val="center"/>
                  </w:pPr>
                  <w:r>
                    <w:t xml:space="preserve">107.4</w:t>
                  </w:r>
                </w:p>
              </w:tc>
              <w:tc>
                <w:tcPr/>
                <w:p>
                  <w:pPr>
                    <w:pStyle w:val="Compact"/>
                    <w:jc w:val="right"/>
                    <w:jc w:val="center"/>
                  </w:pPr>
                  <w:r>
                    <w:t xml:space="preserve">0.12%</w:t>
                  </w:r>
                </w:p>
              </w:tc>
            </w:tr>
            <w:tr>
              <w:tc>
                <w:tcPr/>
                <w:p>
                  <w:pPr>
                    <w:pStyle w:val="Compact"/>
                    <w:jc w:val="left"/>
                    <w:jc w:val="center"/>
                  </w:pPr>
                  <w:r>
                    <w:t xml:space="preserve">Scientific research and development services</w:t>
                  </w:r>
                </w:p>
              </w:tc>
              <w:tc>
                <w:tcPr/>
                <w:p>
                  <w:pPr>
                    <w:pStyle w:val="Compact"/>
                    <w:jc w:val="right"/>
                    <w:jc w:val="center"/>
                  </w:pPr>
                  <w:r>
                    <w:t xml:space="preserve">65.6</w:t>
                  </w:r>
                </w:p>
              </w:tc>
              <w:tc>
                <w:tcPr/>
                <w:p>
                  <w:pPr>
                    <w:pStyle w:val="Compact"/>
                    <w:jc w:val="right"/>
                    <w:jc w:val="center"/>
                  </w:pPr>
                  <w:r>
                    <w:t xml:space="preserve">0.07%</w:t>
                  </w:r>
                </w:p>
              </w:tc>
            </w:tr>
            <w:tr>
              <w:tc>
                <w:tcPr/>
                <w:p>
                  <w:pPr>
                    <w:pStyle w:val="Compact"/>
                    <w:jc w:val="left"/>
                    <w:jc w:val="center"/>
                  </w:pPr>
                  <w:r>
                    <w:t xml:space="preserve">Building cleaning and landscape care and maintenance</w:t>
                  </w:r>
                </w:p>
              </w:tc>
              <w:tc>
                <w:tcPr/>
                <w:p>
                  <w:pPr>
                    <w:pStyle w:val="Compact"/>
                    <w:jc w:val="right"/>
                    <w:jc w:val="center"/>
                  </w:pPr>
                  <w:r>
                    <w:t xml:space="preserve">46.7</w:t>
                  </w:r>
                </w:p>
              </w:tc>
              <w:tc>
                <w:tcPr/>
                <w:p>
                  <w:pPr>
                    <w:pStyle w:val="Compact"/>
                    <w:jc w:val="right"/>
                    <w:jc w:val="center"/>
                  </w:pPr>
                  <w:r>
                    <w:t xml:space="preserve">0.05%</w:t>
                  </w:r>
                </w:p>
              </w:tc>
            </w:tr>
            <w:tr>
              <w:tc>
                <w:tcPr/>
                <w:p>
                  <w:pPr>
                    <w:pStyle w:val="Compact"/>
                    <w:jc w:val="left"/>
                    <w:jc w:val="center"/>
                  </w:pPr>
                  <w:r>
                    <w:t xml:space="preserve">Drinking water</w:t>
                  </w:r>
                </w:p>
              </w:tc>
              <w:tc>
                <w:tcPr/>
                <w:p>
                  <w:pPr>
                    <w:pStyle w:val="Compact"/>
                    <w:jc w:val="right"/>
                    <w:jc w:val="center"/>
                  </w:pPr>
                  <w:r>
                    <w:t xml:space="preserve">45.2</w:t>
                  </w:r>
                </w:p>
              </w:tc>
              <w:tc>
                <w:tcPr/>
                <w:p>
                  <w:pPr>
                    <w:pStyle w:val="Compact"/>
                    <w:jc w:val="right"/>
                    <w:jc w:val="center"/>
                  </w:pPr>
                  <w:r>
                    <w:t xml:space="preserve">0.05%</w:t>
                  </w:r>
                </w:p>
              </w:tc>
            </w:tr>
            <w:tr>
              <w:tc>
                <w:tcPr/>
                <w:p>
                  <w:pPr>
                    <w:pStyle w:val="Compact"/>
                    <w:jc w:val="left"/>
                    <w:jc w:val="center"/>
                  </w:pPr>
                  <w:r>
                    <w:t xml:space="preserve">Waste and scraps</w:t>
                  </w:r>
                </w:p>
              </w:tc>
              <w:tc>
                <w:tcPr/>
                <w:p>
                  <w:pPr>
                    <w:pStyle w:val="Compact"/>
                    <w:jc w:val="right"/>
                    <w:jc w:val="center"/>
                  </w:pPr>
                  <w:r>
                    <w:t xml:space="preserve">6.8</w:t>
                  </w:r>
                </w:p>
              </w:tc>
              <w:tc>
                <w:tcPr/>
                <w:p>
                  <w:pPr>
                    <w:pStyle w:val="Compact"/>
                    <w:jc w:val="right"/>
                    <w:jc w:val="center"/>
                  </w:pPr>
                  <w:r>
                    <w:t xml:space="preserve">0.01%</w:t>
                  </w:r>
                </w:p>
              </w:tc>
            </w:tr>
            <w:tr>
              <w:tc>
                <w:tcPr/>
                <w:p>
                  <w:pPr>
                    <w:pStyle w:val="Compact"/>
                    <w:jc w:val="left"/>
                    <w:jc w:val="center"/>
                  </w:pPr>
                  <w:r>
                    <w:t xml:space="preserve">Footwear</w:t>
                  </w:r>
                </w:p>
              </w:tc>
              <w:tc>
                <w:tcPr/>
                <w:p>
                  <w:pPr>
                    <w:pStyle w:val="Compact"/>
                    <w:jc w:val="right"/>
                    <w:jc w:val="center"/>
                  </w:pPr>
                  <w:r>
                    <w:t xml:space="preserve">0.7</w:t>
                  </w:r>
                </w:p>
              </w:tc>
              <w:tc>
                <w:tcPr/>
                <w:p>
                  <w:pPr>
                    <w:pStyle w:val="Compact"/>
                    <w:jc w:val="right"/>
                    <w:jc w:val="center"/>
                  </w:pPr>
                  <w:r>
                    <w:t xml:space="preserve">0.001%</w:t>
                  </w:r>
                </w:p>
              </w:tc>
            </w:tr>
            <w:tr>
              <w:tc>
                <w:tcPr/>
                <w:p>
                  <w:pPr>
                    <w:pStyle w:val="Compact"/>
                    <w:jc w:val="left"/>
                    <w:jc w:val="center"/>
                  </w:pPr>
                  <w:r>
                    <w:rPr>
                      <w:bCs/>
                      <w:b/>
                    </w:rPr>
                    <w:t xml:space="preserve">Non-Bioeconomy (subtotal)</w:t>
                  </w:r>
                </w:p>
              </w:tc>
              <w:tc>
                <w:tcPr/>
                <w:p>
                  <w:pPr>
                    <w:pStyle w:val="Compact"/>
                    <w:jc w:val="right"/>
                    <w:jc w:val="center"/>
                  </w:pPr>
                  <w:r>
                    <w:rPr>
                      <w:bCs/>
                      <w:b/>
                    </w:rPr>
                    <w:t xml:space="preserve">41,960.0</w:t>
                  </w:r>
                </w:p>
              </w:tc>
              <w:tc>
                <w:tcPr/>
                <w:p>
                  <w:pPr>
                    <w:pStyle w:val="Compact"/>
                    <w:jc w:val="right"/>
                    <w:jc w:val="center"/>
                  </w:pPr>
                  <w:r>
                    <w:rPr>
                      <w:bCs/>
                      <w:b/>
                    </w:rPr>
                    <w:t xml:space="preserve">47.92%</w:t>
                  </w:r>
                </w:p>
              </w:tc>
            </w:tr>
            <w:tr>
              <w:tc>
                <w:tcPr/>
                <w:p>
                  <w:pPr>
                    <w:pStyle w:val="Compact"/>
                    <w:jc w:val="left"/>
                    <w:jc w:val="center"/>
                  </w:pPr>
                  <w:r>
                    <w:t xml:space="preserve">Remaining 68 Non-Bioeconomy products.</w:t>
                  </w:r>
                </w:p>
              </w:tc>
              <w:tc>
                <w:tcPr/>
                <w:p>
                  <w:pPr>
                    <w:pStyle w:val="Compact"/>
                    <w:jc w:val="right"/>
                    <w:jc w:val="center"/>
                  </w:pPr>
                  <w:r>
                    <w:t xml:space="preserve">41,960.0</w:t>
                  </w:r>
                </w:p>
              </w:tc>
              <w:tc>
                <w:tcPr/>
                <w:p>
                  <w:pPr>
                    <w:pStyle w:val="Compact"/>
                    <w:jc w:val="right"/>
                    <w:jc w:val="center"/>
                  </w:pPr>
                  <w:r>
                    <w:t xml:space="preserve">47.92%</w:t>
                  </w:r>
                </w:p>
              </w:tc>
            </w:tr>
            <w:tr>
              <w:tc>
                <w:tcPr/>
                <w:p>
                  <w:pPr>
                    <w:pStyle w:val="Compact"/>
                    <w:jc w:val="left"/>
                    <w:jc w:val="center"/>
                  </w:pPr>
                  <w:r>
                    <w:rPr>
                      <w:bCs/>
                      <w:b/>
                    </w:rPr>
                    <w:t xml:space="preserve">Total Use</w:t>
                  </w:r>
                </w:p>
              </w:tc>
              <w:tc>
                <w:tcPr/>
                <w:p>
                  <w:pPr>
                    <w:pStyle w:val="Compact"/>
                    <w:jc w:val="right"/>
                    <w:jc w:val="center"/>
                  </w:pPr>
                  <w:r>
                    <w:rPr>
                      <w:bCs/>
                      <w:b/>
                    </w:rPr>
                    <w:t xml:space="preserve">87,565.5</w:t>
                  </w:r>
                </w:p>
              </w:tc>
              <w:tc>
                <w:tcPr/>
                <w:p>
                  <w:pPr>
                    <w:pStyle w:val="Compact"/>
                    <w:jc w:val="right"/>
                    <w:jc w:val="center"/>
                  </w:pPr>
                  <w:r>
                    <w:rPr>
                      <w:bCs/>
                      <w:b/>
                    </w:rPr>
                    <w:t xml:space="preserve">100.00%</w:t>
                  </w:r>
                </w:p>
              </w:tc>
            </w:tr>
          </w:tbl>
          <w:bookmarkEnd w:id="34"/>
          <w:p/>
        </w:tc>
      </w:tr>
    </w:tbl>
    <w:p>
      <w:pPr>
        <w:pStyle w:val="BodyText"/>
      </w:pPr>
      <w:r>
        <w:t xml:space="preserve">Source: Own elaboration based on Costa Rica’s SUTs</w:t>
      </w:r>
      <w:r>
        <w:t xml:space="preserve"> </w:t>
      </w:r>
      <w:r>
        <w:t xml:space="preserve">(BCCR, 2021a)</w:t>
      </w:r>
      <w:r>
        <w:t xml:space="preserve">.</w:t>
      </w:r>
    </w:p>
    <w:p>
      <w:pPr>
        <w:pStyle w:val="BodyText"/>
      </w:pPr>
      <w:r>
        <w:t xml:space="preserve">BSAs can be used to perform this type of exploration for sectors of interest in the context of an economic policy. For example, we can see that biological resources are very important in the case of the processed foods industry, both for</w:t>
      </w:r>
      <w:r>
        <w:t xml:space="preserve"> </w:t>
      </w:r>
      <w:r>
        <w:rPr>
          <w:iCs/>
          <w:i/>
        </w:rPr>
        <w:t xml:space="preserve">Meat Products</w:t>
      </w:r>
      <w:r>
        <w:t xml:space="preserve"> </w:t>
      </w:r>
      <w:r>
        <w:t xml:space="preserve">(</w:t>
      </w:r>
      <w:hyperlink w:anchor="fig-meat-products">
        <w:r>
          <w:rPr>
            <w:rStyle w:val="Hyperlink"/>
          </w:rPr>
          <w:t xml:space="preserve">Figure 1 (a)</w:t>
        </w:r>
      </w:hyperlink>
      <w:r>
        <w:t xml:space="preserve">) and</w:t>
      </w:r>
      <w:r>
        <w:t xml:space="preserve"> </w:t>
      </w:r>
      <w:r>
        <w:rPr>
          <w:iCs/>
          <w:i/>
        </w:rPr>
        <w:t xml:space="preserve">Milk and Dairy</w:t>
      </w:r>
      <w:r>
        <w:t xml:space="preserve"> </w:t>
      </w:r>
      <w:r>
        <w:t xml:space="preserve">(</w:t>
      </w:r>
      <w:hyperlink w:anchor="fig-dairy">
        <w:r>
          <w:rPr>
            <w:rStyle w:val="Hyperlink"/>
          </w:rPr>
          <w:t xml:space="preserve">Figure 1 (b)</w:t>
        </w:r>
      </w:hyperlink>
      <w:r>
        <w:t xml:space="preserve">) where Bioeconomy products make up 81 and 76 percent of their intermediate consumption, respectively. In contrast, Bioeconomic products account for only 4 percent of the value of intermediate consumption in the</w:t>
      </w:r>
      <w:r>
        <w:t xml:space="preserve"> </w:t>
      </w:r>
      <w:r>
        <w:rPr>
          <w:iCs/>
          <w:i/>
        </w:rPr>
        <w:t xml:space="preserve">Residential Construction</w:t>
      </w:r>
      <w:r>
        <w:t xml:space="preserve"> </w:t>
      </w:r>
      <w:r>
        <w:t xml:space="preserve">sector (</w:t>
      </w:r>
      <w:hyperlink w:anchor="fig-construction">
        <w:r>
          <w:rPr>
            <w:rStyle w:val="Hyperlink"/>
          </w:rPr>
          <w:t xml:space="preserve">Figure 1 (c)</w:t>
        </w:r>
      </w:hyperlink>
      <w:r>
        <w:t xml:space="preserve">). Given a policy that provides incentives for the use of innovative biological materials in construction, for example, policy-makers could focus on monitoring the increase or decrease of this share over time.</w:t>
      </w:r>
    </w:p>
    <w:bookmarkStart w:id="47" w:name="fig-cri-sectoral"/>
    <w:tbl>
      <w:tblPr>
        <w:tblStyle w:val="Table"/>
        <w:tblW w:type="pct" w:w="4900"/>
        <w:tblLook w:firstRow="0" w:lastRow="0" w:firstColumn="0" w:lastColumn="0" w:noHBand="0" w:noVBand="0" w:val="0000"/>
        <w:jc w:val="start"/>
        <w:tblLayout w:type="fixed"/>
      </w:tblPr>
      <w:tblGrid>
        <w:gridCol w:w="2587"/>
        <w:gridCol w:w="2587"/>
        <w:gridCol w:w="2587"/>
      </w:tblGrid>
      <w:tr>
        <w:tc>
          <w:tcPr/>
          <w:tbl>
            <w:tblPr>
              <w:tblStyle w:val="Table"/>
              <w:tblW w:type="pct" w:w="4900"/>
              <w:tblLook w:firstRow="0" w:lastRow="0" w:firstColumn="0" w:lastColumn="0" w:noHBand="0" w:noVBand="0" w:val="0000"/>
              <w:jc w:val="start"/>
              <w:tblLayout w:type="fixed"/>
            </w:tblPr>
            <w:tblGrid>
              <w:gridCol w:w="7761"/>
            </w:tblGrid>
            <w:tr>
              <w:tc>
                <w:tcPr/>
                <w:bookmarkStart w:id="38" w:name="fig-meat-products"/>
                <w:p>
                  <w:pPr>
                    <w:pStyle w:val="Compact"/>
                    <w:jc w:val="center"/>
                    <w:jc w:val="left"/>
                  </w:pPr>
                  <w:r>
                    <w:drawing>
                      <wp:inline>
                        <wp:extent cx="1975104" cy="1938796"/>
                        <wp:effectExtent b="0" l="0" r="0" t="0"/>
                        <wp:docPr descr="" title="" id="36" name="Picture"/>
                        <a:graphic>
                          <a:graphicData uri="http://schemas.openxmlformats.org/drawingml/2006/picture">
                            <pic:pic>
                              <pic:nvPicPr>
                                <pic:cNvPr descr="images/clipboard-2928692590.png" id="37" name="Picture"/>
                                <pic:cNvPicPr>
                                  <a:picLocks noChangeArrowheads="1" noChangeAspect="1"/>
                                </pic:cNvPicPr>
                              </pic:nvPicPr>
                              <pic:blipFill>
                                <a:blip r:embed="rId35"/>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Meat products</w:t>
                  </w:r>
                </w:p>
                <w:bookmarkEnd w:id="38"/>
              </w:tc>
            </w:tr>
          </w:tbl>
          <w:p/>
        </w:tc>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2" w:name="fig-dairy"/>
                <w:p>
                  <w:pPr>
                    <w:pStyle w:val="Compact"/>
                    <w:jc w:val="center"/>
                    <w:jc w:val="left"/>
                  </w:pPr>
                  <w:r>
                    <w:drawing>
                      <wp:inline>
                        <wp:extent cx="1975104" cy="1938796"/>
                        <wp:effectExtent b="0" l="0" r="0" t="0"/>
                        <wp:docPr descr="" title="" id="40" name="Picture"/>
                        <a:graphic>
                          <a:graphicData uri="http://schemas.openxmlformats.org/drawingml/2006/picture">
                            <pic:pic>
                              <pic:nvPicPr>
                                <pic:cNvPr descr="images/clipboard-2666308793.png" id="41" name="Picture"/>
                                <pic:cNvPicPr>
                                  <a:picLocks noChangeArrowheads="1" noChangeAspect="1"/>
                                </pic:cNvPicPr>
                              </pic:nvPicPr>
                              <pic:blipFill>
                                <a:blip r:embed="rId39"/>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Milk and Dairy</w:t>
                  </w:r>
                </w:p>
                <w:bookmarkEnd w:id="42"/>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46" w:name="fig-construction"/>
                <w:p>
                  <w:pPr>
                    <w:pStyle w:val="Compact"/>
                    <w:jc w:val="center"/>
                    <w:jc w:val="left"/>
                  </w:pPr>
                  <w:r>
                    <w:drawing>
                      <wp:inline>
                        <wp:extent cx="1975104" cy="1938796"/>
                        <wp:effectExtent b="0" l="0" r="0" t="0"/>
                        <wp:docPr descr="" title="" id="44" name="Picture"/>
                        <a:graphic>
                          <a:graphicData uri="http://schemas.openxmlformats.org/drawingml/2006/picture">
                            <pic:pic>
                              <pic:nvPicPr>
                                <pic:cNvPr descr="images/clipboard-1429514424.png" id="45" name="Picture"/>
                                <pic:cNvPicPr>
                                  <a:picLocks noChangeArrowheads="1" noChangeAspect="1"/>
                                </pic:cNvPicPr>
                              </pic:nvPicPr>
                              <pic:blipFill>
                                <a:blip r:embed="rId43"/>
                                <a:stretch>
                                  <a:fillRect/>
                                </a:stretch>
                              </pic:blipFill>
                              <pic:spPr bwMode="auto">
                                <a:xfrm>
                                  <a:off x="0" y="0"/>
                                  <a:ext cx="1975104" cy="193879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Construction</w:t>
                  </w:r>
                </w:p>
                <w:bookmarkEnd w:id="46"/>
              </w:tc>
            </w:tr>
          </w:tbl>
          <w:p/>
        </w:tc>
      </w:tr>
    </w:tbl>
    <w:p>
      <w:pPr>
        <w:pStyle w:val="BodyText"/>
      </w:pPr>
      <w:pPr>
        <w:spacing w:before="200"/>
        <w:pStyle w:val="ImageCaption"/>
      </w:pPr>
      <w:r>
        <w:t xml:space="preserve">Figure 1: Bioeconomy, Extended Bioeconomy, and Non-Bioeconomy inputs for selected economic activities  (Costa Rica, percent, 2018)</w:t>
      </w:r>
    </w:p>
    <w:bookmarkEnd w:id="47"/>
    <w:bookmarkEnd w:id="48"/>
    <w:bookmarkStart w:id="86" w:name="Xb2af0559ac95307f161ce072543771873fb88b4"/>
    <w:p>
      <w:pPr>
        <w:pStyle w:val="Heading3"/>
      </w:pPr>
      <w:r>
        <w:t xml:space="preserve">Comparative analysis for 13 economies of Latin America and The Caribbean</w:t>
      </w:r>
    </w:p>
    <w:p>
      <w:pPr>
        <w:pStyle w:val="FirstParagraph"/>
      </w:pPr>
      <w:r>
        <w:t xml:space="preserve">Following the same analytical approach used in</w:t>
      </w:r>
      <w:r>
        <w:t xml:space="preserve"> </w:t>
      </w:r>
      <w:hyperlink w:anchor="tbl-gtm19-sup">
        <w:r>
          <w:rPr>
            <w:rStyle w:val="Hyperlink"/>
          </w:rPr>
          <w:t xml:space="preserve">Table 1</w:t>
        </w:r>
      </w:hyperlink>
      <w:r>
        <w:t xml:space="preserve"> </w:t>
      </w:r>
      <w:r>
        <w:t xml:space="preserve">for the case of Guatemala, the panels in</w:t>
      </w:r>
      <w:r>
        <w:t xml:space="preserve"> </w:t>
      </w:r>
      <w:hyperlink w:anchor="fig-latam-output">
        <w:r>
          <w:rPr>
            <w:rStyle w:val="Hyperlink"/>
          </w:rPr>
          <w:t xml:space="preserve">Figure 2</w:t>
        </w:r>
      </w:hyperlink>
      <w:r>
        <w:t xml:space="preserve"> </w:t>
      </w:r>
      <w:r>
        <w:t xml:space="preserve">provide a comparative analysis of the percentage contribution of the Bioeconomy to several SNA transactions for Argentina, Brazil, Chile, Colombia, Costa Rica, El Salvador, the Dominican Republic, Ecuador, Guatemala, Honduras, Nicaragua, Panama, and Peru. While the analysis for Guatemala was developed for the year 2019, the focus of this section is the year 2018, since it is the most recent year available for the majority of the countries, with the exception of the Dominican Republic and Panama, where 2016 and 2017 data, respectively, were used.</w:t>
      </w:r>
    </w:p>
    <w:p>
      <w:pPr>
        <w:pStyle w:val="BodyText"/>
      </w:pPr>
      <w:hyperlink w:anchor="fig-latam-imports">
        <w:r>
          <w:rPr>
            <w:rStyle w:val="Hyperlink"/>
          </w:rPr>
          <w:t xml:space="preserve">Figure 2 (a)</w:t>
        </w:r>
      </w:hyperlink>
      <w:r>
        <w:t xml:space="preserve"> </w:t>
      </w:r>
      <w:r>
        <w:t xml:space="preserve">shows that, on average, 17.5% of gross output in the analyzed countries corresponds to bioeconomic products, 10.6% to extended bioeconomic products, and 71.9% to non-bioeconomic products. Nicaragua has the highest proportion of bioeconomic products, with about a third of its output (29.1%) falling into this category. This highlights a broader agricultural base in their economy. Panama, on the other hand, ranks the lowest, with 11.5% of bioeconomic products in its national production structure. However, its proportion of extended bioeconomic products reaches 9.9%, and when combined, these two categories account for one-fifth of its production based on biological resources.</w:t>
      </w:r>
    </w:p>
    <w:p>
      <w:pPr>
        <w:pStyle w:val="BodyText"/>
      </w:pPr>
      <w:r>
        <w:t xml:space="preserve">The importance of the bioeconomy in imports is illustrated in</w:t>
      </w:r>
      <w:r>
        <w:t xml:space="preserve"> </w:t>
      </w:r>
      <w:hyperlink w:anchor="fig-latam-imports">
        <w:r>
          <w:rPr>
            <w:rStyle w:val="Hyperlink"/>
          </w:rPr>
          <w:t xml:space="preserve">Figure 2 (a)</w:t>
        </w:r>
      </w:hyperlink>
      <w:r>
        <w:t xml:space="preserve">, which shows that Costa Rica has the highest level of bioeconomic imports, representing 27.1% of its total imports. In contrast, Argentina and Brazil have the lowest levels, with 6.0% of their imports being bioeconomic products. It’s worth examining the combined participation of bioeconomic and extended bioeconomic products in some cases, though caution is advised when interpreting extended bioeconomic products, as it is not always possible to determine the purely biological share due to the aggregation level of product classification in national accounts. For example, Honduras sits in the middle of the chart with 12.2% of its imports being bioeconomic, but 40.1% of its imports fall under extended bioeconomic products. Combined, half of its imports are based on biological resources (52.3%). On average, across all the countries analyzed, bioeconomic products represent 12.5% of imports, extended bioeconomic products 19.5%, and non-bioeconomic products 68.0%.</w:t>
      </w:r>
    </w:p>
    <w:p>
      <w:pPr>
        <w:pStyle w:val="BodyText"/>
      </w:pPr>
      <w:r>
        <w:t xml:space="preserve">Costa Rica is the country that derives the highest fiscal revenue from bioeconomic products, which account for 32.7% of taxes minus subsidies on products, as shown in</w:t>
      </w:r>
      <w:r>
        <w:t xml:space="preserve"> </w:t>
      </w:r>
      <w:hyperlink w:anchor="fig-latam-tax">
        <w:r>
          <w:rPr>
            <w:rStyle w:val="Hyperlink"/>
          </w:rPr>
          <w:t xml:space="preserve">Figure 2 (b)</w:t>
        </w:r>
      </w:hyperlink>
      <w:r>
        <w:t xml:space="preserve">. At the other end of the spectrum, bioeconomic products in Panama are responsible for 13.9% of that revenue. It’s also worth comparing the combined total for bioeconomic and extended bioeconomic products. In that case, Panama reaches 37.4%, while Costa Rica, which has only 4.3% attributable to extended bioeconomic products, totals 37.0%. On average, across the analyzed countries, 24.5% of taxes come from bioeconomic products, 16.0% from extended bioeconomic products, and 59.5% from non-bioeconomic products.</w:t>
      </w:r>
    </w:p>
    <w:bookmarkStart w:id="60" w:name="fig-latam-output"/>
    <w:tbl>
      <w:tblPr>
        <w:tblStyle w:val="Table"/>
        <w:tblW w:type="pct" w:w="4900"/>
        <w:tblLook w:firstRow="0" w:lastRow="0" w:firstColumn="0" w:lastColumn="0" w:noHBand="0" w:noVBand="0" w:val="0000"/>
        <w:jc w:val="start"/>
        <w:tblLayout w:type="fixed"/>
      </w:tblPr>
      <w:tblGrid>
        <w:gridCol w:w="3880"/>
        <w:gridCol w:w="3880"/>
      </w:tblGrid>
      <w:tr>
        <w:tc>
          <w:tcPr/>
          <w:p>
            <w:pPr>
              <w:pStyle w:val="CaptionedFigure"/>
              <w:jc w:val="left"/>
            </w:pPr>
            <w:r>
              <w:drawing>
                <wp:inline>
                  <wp:extent cx="5334000" cy="3097785"/>
                  <wp:effectExtent b="0" l="0" r="0" t="0"/>
                  <wp:docPr descr="Gross Output" title="" id="50" name="Picture"/>
                  <a:graphic>
                    <a:graphicData uri="http://schemas.openxmlformats.org/drawingml/2006/picture">
                      <pic:pic>
                        <pic:nvPicPr>
                          <pic:cNvPr descr="images/clipboard-641492741.png" id="51" name="Picture"/>
                          <pic:cNvPicPr>
                            <a:picLocks noChangeArrowheads="1" noChangeAspect="1"/>
                          </pic:cNvPicPr>
                        </pic:nvPicPr>
                        <pic:blipFill>
                          <a:blip r:embed="rId49"/>
                          <a:stretch>
                            <a:fillRect/>
                          </a:stretch>
                        </pic:blipFill>
                        <pic:spPr bwMode="auto">
                          <a:xfrm>
                            <a:off x="0" y="0"/>
                            <a:ext cx="5334000" cy="3097785"/>
                          </a:xfrm>
                          <a:prstGeom prst="rect">
                            <a:avLst/>
                          </a:prstGeom>
                          <a:noFill/>
                          <a:ln w="9525">
                            <a:noFill/>
                            <a:headEnd/>
                            <a:tailEnd/>
                          </a:ln>
                        </pic:spPr>
                      </pic:pic>
                    </a:graphicData>
                  </a:graphic>
                </wp:inline>
              </w:drawing>
            </w:r>
          </w:p>
          <w:p>
            <w:pPr>
              <w:pStyle w:val="ImageCaption"/>
              <w:jc w:val="left"/>
            </w:pPr>
            <w:r>
              <w:t xml:space="preserve">Gross Output</w:t>
            </w:r>
          </w:p>
        </w:tc>
        <w:tc>
          <w:tcPr/>
          <w:tbl>
            <w:tblPr>
              <w:tblStyle w:val="Table"/>
              <w:tblW w:type="pct" w:w="4900"/>
              <w:tblLook w:firstRow="0" w:lastRow="0" w:firstColumn="0" w:lastColumn="0" w:noHBand="0" w:noVBand="0" w:val="0000"/>
              <w:jc w:val="start"/>
              <w:tblLayout w:type="fixed"/>
            </w:tblPr>
            <w:tblGrid>
              <w:gridCol w:w="7761"/>
            </w:tblGrid>
            <w:tr>
              <w:tc>
                <w:tcPr/>
                <w:bookmarkStart w:id="55" w:name="fig-latam-imports"/>
                <w:p>
                  <w:pPr>
                    <w:pStyle w:val="Compact"/>
                    <w:jc w:val="center"/>
                    <w:jc w:val="left"/>
                  </w:pPr>
                  <w:r>
                    <w:drawing>
                      <wp:inline>
                        <wp:extent cx="2971800" cy="1725909"/>
                        <wp:effectExtent b="0" l="0" r="0" t="0"/>
                        <wp:docPr descr="" title="" id="53" name="Picture"/>
                        <a:graphic>
                          <a:graphicData uri="http://schemas.openxmlformats.org/drawingml/2006/picture">
                            <pic:pic>
                              <pic:nvPicPr>
                                <pic:cNvPr descr="images/clipboard-4077757569.png" id="54" name="Picture"/>
                                <pic:cNvPicPr>
                                  <a:picLocks noChangeArrowheads="1" noChangeAspect="1"/>
                                </pic:cNvPicPr>
                              </pic:nvPicPr>
                              <pic:blipFill>
                                <a:blip r:embed="rId52"/>
                                <a:stretch>
                                  <a:fillRect/>
                                </a:stretch>
                              </pic:blipFill>
                              <pic:spPr bwMode="auto">
                                <a:xfrm>
                                  <a:off x="0" y="0"/>
                                  <a:ext cx="2971800" cy="172590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Imports</w:t>
                  </w:r>
                </w:p>
                <w:bookmarkEnd w:id="55"/>
              </w:tc>
            </w:tr>
          </w:tbl>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p>
            <w:pPr>
              <w:jc w:val="left"/>
            </w:pPr>
            <w:r>
              <w:t xml:space="preserve"> </w:t>
            </w:r>
          </w:p>
        </w:tc>
        <w:tc>
          <w:tcPr/>
          <w:tbl>
            <w:tblPr>
              <w:tblStyle w:val="Table"/>
              <w:tblW w:type="pct" w:w="4900"/>
              <w:tblLook w:firstRow="0" w:lastRow="0" w:firstColumn="0" w:lastColumn="0" w:noHBand="0" w:noVBand="0" w:val="0000"/>
              <w:jc w:val="start"/>
              <w:tblLayout w:type="fixed"/>
            </w:tblPr>
            <w:tblGrid>
              <w:gridCol w:w="7761"/>
            </w:tblGrid>
            <w:tr>
              <w:tc>
                <w:tcPr/>
                <w:bookmarkStart w:id="59" w:name="fig-latam-tax"/>
                <w:p>
                  <w:pPr>
                    <w:pStyle w:val="Compact"/>
                    <w:jc w:val="center"/>
                    <w:jc w:val="left"/>
                  </w:pPr>
                  <w:r>
                    <w:drawing>
                      <wp:inline>
                        <wp:extent cx="2971800" cy="1731748"/>
                        <wp:effectExtent b="0" l="0" r="0" t="0"/>
                        <wp:docPr descr="" title="" id="57" name="Picture"/>
                        <a:graphic>
                          <a:graphicData uri="http://schemas.openxmlformats.org/drawingml/2006/picture">
                            <pic:pic>
                              <pic:nvPicPr>
                                <pic:cNvPr descr="images/clipboard-1372132090.png" id="58" name="Picture"/>
                                <pic:cNvPicPr>
                                  <a:picLocks noChangeArrowheads="1" noChangeAspect="1"/>
                                </pic:cNvPicPr>
                              </pic:nvPicPr>
                              <pic:blipFill>
                                <a:blip r:embed="rId56"/>
                                <a:stretch>
                                  <a:fillRect/>
                                </a:stretch>
                              </pic:blipFill>
                              <pic:spPr bwMode="auto">
                                <a:xfrm>
                                  <a:off x="0" y="0"/>
                                  <a:ext cx="2971800" cy="1731748"/>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Taxes less subsidies</w:t>
                  </w:r>
                </w:p>
                <w:bookmarkEnd w:id="59"/>
              </w:tc>
            </w:tr>
          </w:tbl>
          <w:p/>
        </w:tc>
      </w:tr>
    </w:tbl>
    <w:p>
      <w:pPr>
        <w:pStyle w:val="BodyText"/>
      </w:pPr>
      <w:pPr>
        <w:spacing w:before="200"/>
        <w:pStyle w:val="ImageCaption"/>
      </w:pPr>
      <w:r>
        <w:t xml:space="preserve">Figure 2: Supply Table Transactions (13 Latin American Economies, percent, 2018)</w:t>
      </w:r>
    </w:p>
    <w:bookmarkEnd w:id="60"/>
    <w:p>
      <w:pPr>
        <w:pStyle w:val="BodyText"/>
      </w:pPr>
      <w:r>
        <w:t xml:space="preserve">At this point, it’s helpful to revisit the concept of the implicit tax rate on bioeconomic products, as explained earlier for the case of Guatemala.</w:t>
      </w:r>
      <w:r>
        <w:t xml:space="preserve"> </w:t>
      </w:r>
      <w:hyperlink w:anchor="fig-latam-implicit-tax">
        <w:r>
          <w:rPr>
            <w:rStyle w:val="Hyperlink"/>
          </w:rPr>
          <w:t xml:space="preserve">Figure 3</w:t>
        </w:r>
      </w:hyperlink>
      <w:r>
        <w:t xml:space="preserve"> </w:t>
      </w:r>
      <w:r>
        <w:t xml:space="preserve">shows these rates, along with the implicit rates for extended bioeconomic products and non-bioeconomic products for the 13 countries analyzed, as well as the group average. These rates are calculated by dividing total tax revenue for a specific type of product by the total production of that same product type. As explained earlier, it’s important to understand that these rates are not the result of a deliberate fiscal policy regarding the bioeconomy but simply the current net outcome across the three product types from various tax instruments implemented at different times for diverse purposes. Argentina has the highest tax rate on bioeconomic products, with an implicit rate of 17.8%, which is 2.4 times higher than the 7.3% rate on non-bioeconomic products. This disparity, which imposes significantly higher taxes on bioeconomic products compared to non-bioeconomic ones, is observed in at least 11 of the 13 countries analyzed (Argentina, Brazil, Chile, El Salvador, the Dominican Republic, Peru, Colombia, Costa Rica, Nicaragua, Guatemala, and Panama), as well as in the overall average, where bioeconomic products have an implicit tax rate of 8.2%, extended bioeconomic products 9.1%, and non-bioeconomic products 4.5%. The case of Honduras is interesting, where the trend is reversed, and bioeconomic products have a lower implicit rate (4.3%) than non-bioeconomic products (5.3%). A similar situation occurs in Ecuador (3.8% and 4.1%, respectively).</w:t>
      </w:r>
    </w:p>
    <w:tbl>
      <w:tblPr>
        <w:tblStyle w:val="Table"/>
        <w:tblW w:type="pct" w:w="5000"/>
        <w:tblLook w:firstRow="0" w:lastRow="0" w:firstColumn="0" w:lastColumn="0" w:noHBand="0" w:noVBand="0" w:val="0000"/>
        <w:jc w:val="start"/>
        <w:tblLayout w:type="fixed"/>
      </w:tblPr>
      <w:tblGrid>
        <w:gridCol w:w="7920"/>
      </w:tblGrid>
      <w:tr>
        <w:tc>
          <w:tcPr/>
          <w:bookmarkStart w:id="64" w:name="fig-latam-implicit-tax"/>
          <w:p>
            <w:pPr>
              <w:pStyle w:val="Compact"/>
              <w:jc w:val="center"/>
            </w:pPr>
            <w:r>
              <w:drawing>
                <wp:inline>
                  <wp:extent cx="5334000" cy="3240969"/>
                  <wp:effectExtent b="0" l="0" r="0" t="0"/>
                  <wp:docPr descr="" title="" id="62" name="Picture"/>
                  <a:graphic>
                    <a:graphicData uri="http://schemas.openxmlformats.org/drawingml/2006/picture">
                      <pic:pic>
                        <pic:nvPicPr>
                          <pic:cNvPr descr="images/clipboard-1492103812.png" id="63" name="Picture"/>
                          <pic:cNvPicPr>
                            <a:picLocks noChangeArrowheads="1" noChangeAspect="1"/>
                          </pic:cNvPicPr>
                        </pic:nvPicPr>
                        <pic:blipFill>
                          <a:blip r:embed="rId61"/>
                          <a:stretch>
                            <a:fillRect/>
                          </a:stretch>
                        </pic:blipFill>
                        <pic:spPr bwMode="auto">
                          <a:xfrm>
                            <a:off x="0" y="0"/>
                            <a:ext cx="5334000" cy="32409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Implicit Tax Rate (13 Latin American Economies, percent, 2018)</w:t>
            </w:r>
          </w:p>
          <w:bookmarkEnd w:id="64"/>
        </w:tc>
      </w:tr>
    </w:tbl>
    <w:p>
      <w:pPr>
        <w:pStyle w:val="BodyText"/>
      </w:pPr>
      <w:hyperlink w:anchor="fig-latam-use">
        <w:r>
          <w:rPr>
            <w:rStyle w:val="Hyperlink"/>
          </w:rPr>
          <w:t xml:space="preserve">Figure 4</w:t>
        </w:r>
      </w:hyperlink>
      <w:r>
        <w:t xml:space="preserve"> </w:t>
      </w:r>
      <w:r>
        <w:t xml:space="preserve">compares three use-side transactions across the analyzed countries. First, in</w:t>
      </w:r>
      <w:r>
        <w:t xml:space="preserve"> </w:t>
      </w:r>
      <w:hyperlink w:anchor="fig-latam-intermediate-consumption">
        <w:r>
          <w:rPr>
            <w:rStyle w:val="Hyperlink"/>
          </w:rPr>
          <w:t xml:space="preserve">Figure 4 (a)</w:t>
        </w:r>
      </w:hyperlink>
      <w:r>
        <w:t xml:space="preserve">, bioeconomic products represent, on average, 18.6% of intermediate consumption, extended bioeconomic products 13.3%, and non-bioeconomic products 68.0%, across the 13 countries analyzed. Nicaragua is the country whose production relies most heavily on a bioeconomic base, with its intermediate consumption of these products reaching 26.5%, followed by Guatemala (24.0%) and Ecuador (23.0%) at the top of the chart. In contrast, Colombia (12.2%), Chile (12.2%), and Panama (12.0%) occupy the last three positions. Once again, it’s worth highlighting the case of Honduras, where the share of extended bioeconomic products (29.3%), combined with bioeconomic products (29.3%), means that more than half of the country’s intermediate consumption (51.9%) is linked to biological resources.</w:t>
      </w:r>
    </w:p>
    <w:p>
      <w:pPr>
        <w:pStyle w:val="BodyText"/>
      </w:pPr>
      <w:r>
        <w:t xml:space="preserve">In the case of exports, shown in</w:t>
      </w:r>
      <w:r>
        <w:t xml:space="preserve"> </w:t>
      </w:r>
      <w:hyperlink w:anchor="fig-latam-exports">
        <w:r>
          <w:rPr>
            <w:rStyle w:val="Hyperlink"/>
          </w:rPr>
          <w:t xml:space="preserve">Figure 4 (b)</w:t>
        </w:r>
      </w:hyperlink>
      <w:r>
        <w:t xml:space="preserve">, Ecuador (47.0%), Argentina (45.8%), and Nicaragua (44.0%) are the three countries with the highest percentage of exports consisting of bioeconomic products, while Colombia (14.2%), the Dominican Republic (13.1%), and Panama (4.0%) have the lowest values. This is closely tied to the importance of agricultural products in the export structure of each country.</w:t>
      </w:r>
    </w:p>
    <w:p>
      <w:pPr>
        <w:pStyle w:val="BodyText"/>
      </w:pPr>
      <w:r>
        <w:t xml:space="preserve">Finally, the final consumption shown in</w:t>
      </w:r>
      <w:r>
        <w:t xml:space="preserve"> </w:t>
      </w:r>
      <w:hyperlink w:anchor="fig-latam-final-consumption">
        <w:r>
          <w:rPr>
            <w:rStyle w:val="Hyperlink"/>
          </w:rPr>
          <w:t xml:space="preserve">Figure 4 (c)</w:t>
        </w:r>
      </w:hyperlink>
      <w:r>
        <w:t xml:space="preserve">, which includes household consumption, government consumption, and nonprofit institutions’ consumption, plays a key role as a driver of the economy, directly and indirectly influencing production and import decisions in economic activities. In this case, Costa Rica has the highest proportion of its consumption attributed to bioeconomic products (36.4%), followed by Guatemala (31.7%) and Honduras (31.7%) at the top. Panama and Brazil (both at 18.9%), Colombia (18.5%), and Chile (18.2%) occupy the lowest positions.</w:t>
      </w:r>
    </w:p>
    <w:bookmarkStart w:id="77" w:name="fig-latam-use"/>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68" w:name="fig-latam-intermediate-consumption"/>
                <w:p>
                  <w:pPr>
                    <w:pStyle w:val="Compact"/>
                    <w:jc w:val="center"/>
                    <w:jc w:val="left"/>
                  </w:pPr>
                  <w:r>
                    <w:drawing>
                      <wp:inline>
                        <wp:extent cx="2971800" cy="1729047"/>
                        <wp:effectExtent b="0" l="0" r="0" t="0"/>
                        <wp:docPr descr="" title="" id="66" name="Picture"/>
                        <a:graphic>
                          <a:graphicData uri="http://schemas.openxmlformats.org/drawingml/2006/picture">
                            <pic:pic>
                              <pic:nvPicPr>
                                <pic:cNvPr descr="images/clipboard-2112192972.png" id="67" name="Picture"/>
                                <pic:cNvPicPr>
                                  <a:picLocks noChangeArrowheads="1" noChangeAspect="1"/>
                                </pic:cNvPicPr>
                              </pic:nvPicPr>
                              <pic:blipFill>
                                <a:blip r:embed="rId65"/>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Intermediate Consumption</w:t>
                  </w:r>
                </w:p>
                <w:bookmarkEnd w:id="68"/>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72" w:name="fig-latam-exports"/>
                <w:p>
                  <w:pPr>
                    <w:pStyle w:val="Compact"/>
                    <w:jc w:val="center"/>
                    <w:jc w:val="left"/>
                  </w:pPr>
                  <w:r>
                    <w:drawing>
                      <wp:inline>
                        <wp:extent cx="2971800" cy="1729047"/>
                        <wp:effectExtent b="0" l="0" r="0" t="0"/>
                        <wp:docPr descr="" title="" id="70" name="Picture"/>
                        <a:graphic>
                          <a:graphicData uri="http://schemas.openxmlformats.org/drawingml/2006/picture">
                            <pic:pic>
                              <pic:nvPicPr>
                                <pic:cNvPr descr="images/clipboard-995186152.png" id="71" name="Picture"/>
                                <pic:cNvPicPr>
                                  <a:picLocks noChangeArrowheads="1" noChangeAspect="1"/>
                                </pic:cNvPicPr>
                              </pic:nvPicPr>
                              <pic:blipFill>
                                <a:blip r:embed="rId69"/>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Exports</w:t>
                  </w:r>
                </w:p>
                <w:bookmarkEnd w:id="72"/>
              </w:tc>
            </w:tr>
          </w:tbl>
          <w:p/>
        </w:tc>
        <w:tc>
          <w:tcPr/>
          <w:p>
            <w:pPr>
              <w:jc w:val="left"/>
            </w:pPr>
            <w:r>
              <w:t xml:space="preserve"> </w:t>
            </w:r>
          </w:p>
        </w:tc>
      </w:tr>
    </w:tbl>
    <w:p>
      <w:pPr>
        <w:framePr w:w="0" w:h="0" w:vAnchor="margin" w:hAnchor="margin" w:xAlign="right" w:yAlign="top"/>
      </w:pPr>
    </w:p>
    <w:tbl>
      <w:tblPr>
        <w:tblStyle w:val="Table"/>
        <w:tblW w:type="pct" w:w="4900"/>
        <w:tblLook w:firstRow="0" w:lastRow="0" w:firstColumn="0" w:lastColumn="0" w:noHBand="0" w:noVBand="0" w:val="0000"/>
        <w:jc w:val="start"/>
        <w:tblLayout w:type="fixed"/>
      </w:tblPr>
      <w:tblGrid>
        <w:gridCol w:w="7761"/>
      </w:tblGrid>
      <w:tr>
        <w:tc>
          <w:tcPr/>
          <w:tbl>
            <w:tblPr>
              <w:tblStyle w:val="Table"/>
              <w:tblW w:type="pct" w:w="4900"/>
              <w:tblLook w:firstRow="0" w:lastRow="0" w:firstColumn="0" w:lastColumn="0" w:noHBand="0" w:noVBand="0" w:val="0000"/>
              <w:jc w:val="start"/>
              <w:tblLayout w:type="fixed"/>
            </w:tblPr>
            <w:tblGrid>
              <w:gridCol w:w="7761"/>
            </w:tblGrid>
            <w:tr>
              <w:tc>
                <w:tcPr/>
                <w:bookmarkStart w:id="76" w:name="fig-latam-final-consumption"/>
                <w:p>
                  <w:pPr>
                    <w:pStyle w:val="Compact"/>
                    <w:jc w:val="center"/>
                    <w:jc w:val="left"/>
                  </w:pPr>
                  <w:r>
                    <w:drawing>
                      <wp:inline>
                        <wp:extent cx="2971800" cy="1729047"/>
                        <wp:effectExtent b="0" l="0" r="0" t="0"/>
                        <wp:docPr descr="" title="" id="74" name="Picture"/>
                        <a:graphic>
                          <a:graphicData uri="http://schemas.openxmlformats.org/drawingml/2006/picture">
                            <pic:pic>
                              <pic:nvPicPr>
                                <pic:cNvPr descr="images/clipboard-1453266958.png" id="75" name="Picture"/>
                                <pic:cNvPicPr>
                                  <a:picLocks noChangeArrowheads="1" noChangeAspect="1"/>
                                </pic:cNvPicPr>
                              </pic:nvPicPr>
                              <pic:blipFill>
                                <a:blip r:embed="rId73"/>
                                <a:stretch>
                                  <a:fillRect/>
                                </a:stretch>
                              </pic:blipFill>
                              <pic:spPr bwMode="auto">
                                <a:xfrm>
                                  <a:off x="0" y="0"/>
                                  <a:ext cx="2971800" cy="172904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(c) Final Consumption</w:t>
                  </w:r>
                </w:p>
                <w:bookmarkEnd w:id="76"/>
              </w:tc>
            </w:tr>
          </w:tbl>
          <w:p/>
        </w:tc>
      </w:tr>
    </w:tbl>
    <w:p>
      <w:pPr>
        <w:pStyle w:val="BodyText"/>
      </w:pPr>
      <w:pPr>
        <w:spacing w:before="200"/>
        <w:pStyle w:val="ImageCaption"/>
      </w:pPr>
      <w:r>
        <w:t xml:space="preserve">Figure 4: Use Table Transactions (13 Latin American Economies, percent, 2018)</w:t>
      </w:r>
    </w:p>
    <w:bookmarkEnd w:id="77"/>
    <w:p>
      <w:pPr>
        <w:pStyle w:val="BodyText"/>
      </w:pPr>
      <w:r>
        <w:t xml:space="preserve">If we consider that intermediate consumption is the input base for producing all the goods and services in the economy, the percentages shown for this transaction suggest that between 12.0% and 26.5% of the value added in the region’s countries is based on biological resources, with an average of 18.6%. This analysis can also be applied at a sectoral level, identifying the shares of intermediate consumption that correspond to the bioeconomy for each major sector group, as shown in</w:t>
      </w:r>
      <w:r>
        <w:t xml:space="preserve"> </w:t>
      </w:r>
      <w:hyperlink w:anchor="fig-latam-avg-sector-biocontent">
        <w:r>
          <w:rPr>
            <w:rStyle w:val="Hyperlink"/>
          </w:rPr>
          <w:t xml:space="preserve">Figure 5</w:t>
        </w:r>
      </w:hyperlink>
      <w:r>
        <w:t xml:space="preserve">. This reveals that, for the years analyzed and on average for the countries, 44.3% of the value added in agriculture is generated based on the intermediate consumption of bioeconomic products. Following this, 34.8% of the value added in manufacturing industries is based on bioeconomic resources. Other services ranks third, with 11.2% of its intermediate consumption corresponding to bioeconomic products, supporting its value-added generation. In contrast, mining, utilities, construction, and trade have between 0.6% and 2.0% of their intermediate consumption made up of bioeconomic products, suggesting that these products play a less direct role in generating value added in these sectors.</w:t>
      </w:r>
    </w:p>
    <w:tbl>
      <w:tblPr>
        <w:tblStyle w:val="Table"/>
        <w:tblW w:type="pct" w:w="5000"/>
        <w:tblLook w:firstRow="0" w:lastRow="0" w:firstColumn="0" w:lastColumn="0" w:noHBand="0" w:noVBand="0" w:val="0000"/>
        <w:jc w:val="start"/>
        <w:tblLayout w:type="fixed"/>
      </w:tblPr>
      <w:tblGrid>
        <w:gridCol w:w="7920"/>
      </w:tblGrid>
      <w:tr>
        <w:tc>
          <w:tcPr/>
          <w:bookmarkStart w:id="81" w:name="fig-latam-avg-sector-biocontent"/>
          <w:p>
            <w:pPr>
              <w:pStyle w:val="Compact"/>
              <w:jc w:val="center"/>
            </w:pPr>
            <w:r>
              <w:drawing>
                <wp:inline>
                  <wp:extent cx="5334000" cy="2883056"/>
                  <wp:effectExtent b="0" l="0" r="0" t="0"/>
                  <wp:docPr descr="" title="" id="79" name="Picture"/>
                  <a:graphic>
                    <a:graphicData uri="http://schemas.openxmlformats.org/drawingml/2006/picture">
                      <pic:pic>
                        <pic:nvPicPr>
                          <pic:cNvPr descr="images/clipboard-3829818055.png" id="80" name="Picture"/>
                          <pic:cNvPicPr>
                            <a:picLocks noChangeArrowheads="1" noChangeAspect="1"/>
                          </pic:cNvPicPr>
                        </pic:nvPicPr>
                        <pic:blipFill>
                          <a:blip r:embed="rId78"/>
                          <a:stretch>
                            <a:fillRect/>
                          </a:stretch>
                        </pic:blipFill>
                        <pic:spPr bwMode="auto">
                          <a:xfrm>
                            <a:off x="0" y="0"/>
                            <a:ext cx="5334000" cy="288305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Average bioeconomic content value in intermediate consumption by aggregated groups of economic activity (13 Latin American Economies, percent, 2018)</w:t>
            </w:r>
          </w:p>
          <w:bookmarkEnd w:id="81"/>
        </w:tc>
      </w:tr>
    </w:tbl>
    <w:p>
      <w:pPr>
        <w:pStyle w:val="BodyText"/>
      </w:pPr>
      <w:r>
        <w:t xml:space="preserve">Finally, we explore the contribution of the bioeconomy to GDP. To provide some context, the sum of the value added by economic activities, plus taxes net of subsidies, makes up the Gross Domestic Product (GDP). Value added is a measure calculated at the level of economic activities, not at the product level. For this reason, it is common for studies determining the contribution of the bioeconomy to the economy to classify economic activities as</w:t>
      </w:r>
      <w:r>
        <w:t xml:space="preserve"> </w:t>
      </w:r>
      <w:r>
        <w:t xml:space="preserve">“</w:t>
      </w:r>
      <w:r>
        <w:t xml:space="preserve">bioeconomic</w:t>
      </w:r>
      <w:r>
        <w:t xml:space="preserve">”</w:t>
      </w:r>
      <w:r>
        <w:t xml:space="preserve"> </w:t>
      </w:r>
      <w:r>
        <w:t xml:space="preserve">a priori and then simply add up their value added to determine their contribution to GDP. In fact, we have also replicated this approach in our own work. However, we have realized that, given that in the national accounts system, products can be produced by more than one activity and each activity can produce more than one product, choosing bioeconomic sectors a priori leads to excluding the contribution of products that we have identified as bioeconomic but are not produced or consumed by activities classified as bioeconomic. In most cases, this leads to an underestimation of the contribution of the bioeconomy.</w:t>
      </w:r>
    </w:p>
    <w:p>
      <w:pPr>
        <w:pStyle w:val="BodyText"/>
      </w:pPr>
      <w:r>
        <w:t xml:space="preserve">As we explained earlier, we suggest it is more useful to consider the bioeconomic status of activities as a spectrum, making them more or less dependent on bioeconomic products depending on the amount of bioeconomic inputs present in their intermediate consumption.</w:t>
      </w:r>
      <w:r>
        <w:t xml:space="preserve"> </w:t>
      </w:r>
      <w:hyperlink w:anchor="fig-latam-value-added-methods">
        <w:r>
          <w:rPr>
            <w:rStyle w:val="Hyperlink"/>
          </w:rPr>
          <w:t xml:space="preserve">Figure 6</w:t>
        </w:r>
      </w:hyperlink>
      <w:r>
        <w:t xml:space="preserve"> </w:t>
      </w:r>
      <w:r>
        <w:t xml:space="preserve">presents a comparative analysis of the percentage of the economy that can be attributed to the bioeconomy, depending on whether the value added is adjusted as a percentage of intermediate consumption, weighted by each sector’s contribution to the total (via Intermediate Consumption in the table), or if the entire value added of sectors considered a priori to be bioeconomic or extended bioeconomic is taken (via sector catalog in the table). What is revealing is that in most cases, except for Chile, Ecuador, and Nicaragua, the estimation obtained by assigning sectors a priori underestimates the contribution of the bioeconomy to GDP by several percentage points.</w:t>
      </w:r>
    </w:p>
    <w:tbl>
      <w:tblPr>
        <w:tblStyle w:val="Table"/>
        <w:tblW w:type="pct" w:w="5000"/>
        <w:tblLook w:firstRow="0" w:lastRow="0" w:firstColumn="0" w:lastColumn="0" w:noHBand="0" w:noVBand="0" w:val="0000"/>
        <w:jc w:val="start"/>
        <w:tblLayout w:type="fixed"/>
      </w:tblPr>
      <w:tblGrid>
        <w:gridCol w:w="7920"/>
      </w:tblGrid>
      <w:tr>
        <w:tc>
          <w:tcPr/>
          <w:bookmarkStart w:id="85" w:name="fig-latam-value-added-methods"/>
          <w:p>
            <w:pPr>
              <w:pStyle w:val="Compact"/>
              <w:jc w:val="center"/>
            </w:pPr>
            <w:r>
              <w:drawing>
                <wp:inline>
                  <wp:extent cx="5334000" cy="3375640"/>
                  <wp:effectExtent b="0" l="0" r="0" t="0"/>
                  <wp:docPr descr="" title="" id="83" name="Picture"/>
                  <a:graphic>
                    <a:graphicData uri="http://schemas.openxmlformats.org/drawingml/2006/picture">
                      <pic:pic>
                        <pic:nvPicPr>
                          <pic:cNvPr descr="images/clipboard-535496738.png" id="84" name="Picture"/>
                          <pic:cNvPicPr>
                            <a:picLocks noChangeArrowheads="1" noChangeAspect="1"/>
                          </pic:cNvPicPr>
                        </pic:nvPicPr>
                        <pic:blipFill>
                          <a:blip r:embed="rId82"/>
                          <a:stretch>
                            <a:fillRect/>
                          </a:stretch>
                        </pic:blipFill>
                        <pic:spPr bwMode="auto">
                          <a:xfrm>
                            <a:off x="0" y="0"/>
                            <a:ext cx="5334000" cy="33756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Comparison of Bioeconomy contribution to Value Added by method of adjustment (13 Latin American Economies, percent, 2018)</w:t>
            </w:r>
          </w:p>
          <w:bookmarkEnd w:id="85"/>
        </w:tc>
      </w:tr>
    </w:tbl>
    <w:bookmarkEnd w:id="86"/>
    <w:bookmarkEnd w:id="87"/>
    <w:bookmarkStart w:id="88" w:name="closing-arguments"/>
    <w:p>
      <w:pPr>
        <w:pStyle w:val="Heading2"/>
      </w:pPr>
      <w:r>
        <w:t xml:space="preserve">Closing arguments</w:t>
      </w:r>
    </w:p>
    <w:p>
      <w:pPr>
        <w:pStyle w:val="FirstParagraph"/>
      </w:pPr>
      <w:r>
        <w:t xml:space="preserve">We have shown the results of applying a standardized methodology for constructing Bioeconomy Satellite Accounts to the Supply and Use Tables of the National Accounts Systems of 13 countries from Latin America and The Caribbean Argentina, Brazil, Chile, Colombia, Costa Rica, El Salvador, the Dominican Republic, Ecuador, Guatemala, Honduras, Nicaragua, Panama, and Peru.</w:t>
      </w:r>
    </w:p>
    <w:p>
      <w:pPr>
        <w:pStyle w:val="BodyText"/>
      </w:pPr>
      <w:r>
        <w:t xml:space="preserve">Among the key findings of this exercise, we find that, in the region, bioeconomic products account for 17.5% of production, 12.5% of imports, 24.5% of product-related taxes, 8.6% of intermediate consumption, 27.9% of exports, and 25% of household final consumption on average.</w:t>
      </w:r>
    </w:p>
    <w:p>
      <w:pPr>
        <w:pStyle w:val="BodyText"/>
      </w:pPr>
      <w:r>
        <w:t xml:space="preserve">A significant share of fiscal revenue from product taxes comes from bioeconomic products (ranging from 13.9% to 32.7% for the countries analyzed). By dividing tax revenue by product type and the gross production value of those goods, it is possible to estimate the implicit tax rate. It’s important to note that for most countries, this implicit rate is considerably higher for bioeconomic products than for non-bioeconomic ones. This disparity is not intentional but rather the combined result of different fiscal policy instruments created at various times for diverse purposes. In the context of developing public policies related to the Bioeconomy, it is crucial to explore this issue further in order to create incentive mechanisms that foster bioeconomic development while balancing public finance objectives.</w:t>
      </w:r>
    </w:p>
    <w:p>
      <w:pPr>
        <w:pStyle w:val="BodyText"/>
      </w:pPr>
      <w:r>
        <w:t xml:space="preserve">One limitation of the National Accounts data for studying the bioeconomy is related to the difficulty in quantifying bioeconomic gross capital formation through economic surveys and business financial statements. A significant portion of innovation in the Bioeconomy is related to intellectual property, and companies in the region still face challenges in tracking their intellectual assets and accurately accounting for them. Another challenge in quantifying bioeconomic Gross Capital Formation arises from the fact that some infrastructure projects may not be easily identified as bioeconomic, such as the construction of bioprocessing plants to reuse biological waste. These would typically appear under construction services and would be excluded by the methodology during the classification process. This indicates that there is still work to be done in developing national accounting standards to address these limitations.</w:t>
      </w:r>
    </w:p>
    <w:bookmarkEnd w:id="88"/>
    <w:bookmarkStart w:id="109" w:name="acknowledgments"/>
    <w:p>
      <w:pPr>
        <w:pStyle w:val="Heading2"/>
      </w:pPr>
      <w:r>
        <w:t xml:space="preserve">Acknowledgments</w:t>
      </w:r>
    </w:p>
    <w:p>
      <w:pPr>
        <w:pStyle w:val="FirstParagraph"/>
      </w:pPr>
      <w:r>
        <w:t xml:space="preserve">The methodology described here was originally developed for Costa Rica through a collaboration between the Central Bank of Costa Rica (BCCR) and the United Nations Economic Commission for Latin America and the Caribbean (ECLAC), at the request of Costa Rica’s National Council of Environmental Accounts. Financing was provided by the German Cooperation (</w:t>
      </w:r>
      <w:r>
        <w:rPr>
          <w:iCs/>
          <w:i/>
        </w:rPr>
        <w:t xml:space="preserve">Deutsche Gesellschaft für Internationale Zusammenarbeit</w:t>
      </w:r>
      <w:r>
        <w:t xml:space="preserve">—GIZ—GmbH) for the lead author’s time. Technical support and oversight, as well as data access, were kindly provided by the Central Bank of Costa Rica and ECLAC who assigned time from the remaining authors to this task. We are particularly grateful for the Costa Rican Council of Environmental and Economic Accounts representative Cynthia Córdoba’s political, institutional, and administrative arrangements to facilitate this work. We also appreciate the insightful comments offered by the anonymous peer reviewers. The views expressed here remain the authors’ responsibility and do not reflect official positions of any of the institutions involved.</w:t>
      </w:r>
    </w:p>
    <w:bookmarkStart w:id="108" w:name="refs"/>
    <w:bookmarkStart w:id="90" w:name="ref-bccr_cuadro_2021"/>
    <w:p>
      <w:pPr>
        <w:pStyle w:val="Bibliography"/>
      </w:pPr>
      <w:r>
        <w:t xml:space="preserve">BCCR. (2021a).</w:t>
      </w:r>
      <w:r>
        <w:t xml:space="preserve"> </w:t>
      </w:r>
      <w:r>
        <w:rPr>
          <w:iCs/>
          <w:i/>
        </w:rPr>
        <w:t xml:space="preserve">Cuadro de oferta y utilización 2018</w:t>
      </w:r>
      <w:r>
        <w:t xml:space="preserve">. San José de Costa Rica: Banco Central de Costa Rica. Retrieved from Banco Central de Costa Rica website:</w:t>
      </w:r>
      <w:r>
        <w:t xml:space="preserve"> </w:t>
      </w:r>
      <w:hyperlink r:id="rId89">
        <w:r>
          <w:rPr>
            <w:rStyle w:val="Hyperlink"/>
          </w:rPr>
          <w:t xml:space="preserve">https://www.bccr.fi.cr/indicadores-economicos/cuentas-nacionales-periodo-de-referencia-2017</w:t>
        </w:r>
      </w:hyperlink>
    </w:p>
    <w:bookmarkEnd w:id="90"/>
    <w:bookmarkStart w:id="91" w:name="ref-bccr_cuentas_2021"/>
    <w:p>
      <w:pPr>
        <w:pStyle w:val="Bibliography"/>
      </w:pPr>
      <w:r>
        <w:t xml:space="preserve">BCCR. (2021b).</w:t>
      </w:r>
      <w:r>
        <w:t xml:space="preserve"> </w:t>
      </w:r>
      <w:r>
        <w:rPr>
          <w:iCs/>
          <w:i/>
        </w:rPr>
        <w:t xml:space="preserve">Cuentas</w:t>
      </w:r>
      <w:r>
        <w:rPr>
          <w:iCs/>
          <w:i/>
        </w:rPr>
        <w:t xml:space="preserve"> </w:t>
      </w:r>
      <w:r>
        <w:rPr>
          <w:iCs/>
          <w:i/>
        </w:rPr>
        <w:t xml:space="preserve">Ambientales</w:t>
      </w:r>
      <w:r>
        <w:rPr>
          <w:iCs/>
          <w:i/>
        </w:rPr>
        <w:t xml:space="preserve"> </w:t>
      </w:r>
      <w:r>
        <w:rPr>
          <w:iCs/>
          <w:i/>
        </w:rPr>
        <w:t xml:space="preserve">de</w:t>
      </w:r>
      <w:r>
        <w:rPr>
          <w:iCs/>
          <w:i/>
        </w:rPr>
        <w:t xml:space="preserve"> </w:t>
      </w:r>
      <w:r>
        <w:rPr>
          <w:iCs/>
          <w:i/>
        </w:rPr>
        <w:t xml:space="preserve">Costa</w:t>
      </w:r>
      <w:r>
        <w:rPr>
          <w:iCs/>
          <w:i/>
        </w:rPr>
        <w:t xml:space="preserve"> </w:t>
      </w:r>
      <w:r>
        <w:rPr>
          <w:iCs/>
          <w:i/>
        </w:rPr>
        <w:t xml:space="preserve">Rica</w:t>
      </w:r>
      <w:r>
        <w:rPr>
          <w:iCs/>
          <w:i/>
        </w:rPr>
        <w:t xml:space="preserve">:</w:t>
      </w:r>
      <w:r>
        <w:rPr>
          <w:iCs/>
          <w:i/>
        </w:rPr>
        <w:t xml:space="preserve"> </w:t>
      </w:r>
      <w:r>
        <w:rPr>
          <w:iCs/>
          <w:i/>
        </w:rPr>
        <w:t xml:space="preserve">Cuadro</w:t>
      </w:r>
      <w:r>
        <w:rPr>
          <w:iCs/>
          <w:i/>
        </w:rPr>
        <w:t xml:space="preserve"> </w:t>
      </w:r>
      <w:r>
        <w:rPr>
          <w:iCs/>
          <w:i/>
        </w:rPr>
        <w:t xml:space="preserve">de</w:t>
      </w:r>
      <w:r>
        <w:rPr>
          <w:iCs/>
          <w:i/>
        </w:rPr>
        <w:t xml:space="preserve"> </w:t>
      </w:r>
      <w:r>
        <w:rPr>
          <w:iCs/>
          <w:i/>
        </w:rPr>
        <w:t xml:space="preserve">Oferta</w:t>
      </w:r>
      <w:r>
        <w:rPr>
          <w:iCs/>
          <w:i/>
        </w:rPr>
        <w:t xml:space="preserve"> </w:t>
      </w:r>
      <w:r>
        <w:rPr>
          <w:iCs/>
          <w:i/>
        </w:rPr>
        <w:t xml:space="preserve">y</w:t>
      </w:r>
      <w:r>
        <w:rPr>
          <w:iCs/>
          <w:i/>
        </w:rPr>
        <w:t xml:space="preserve"> </w:t>
      </w:r>
      <w:r>
        <w:rPr>
          <w:iCs/>
          <w:i/>
        </w:rPr>
        <w:t xml:space="preserve">Utilización</w:t>
      </w:r>
      <w:r>
        <w:rPr>
          <w:iCs/>
          <w:i/>
        </w:rPr>
        <w:t xml:space="preserve"> </w:t>
      </w:r>
      <w:r>
        <w:rPr>
          <w:iCs/>
          <w:i/>
        </w:rPr>
        <w:t xml:space="preserve">de</w:t>
      </w:r>
      <w:r>
        <w:rPr>
          <w:iCs/>
          <w:i/>
        </w:rPr>
        <w:t xml:space="preserve"> </w:t>
      </w:r>
      <w:r>
        <w:rPr>
          <w:iCs/>
          <w:i/>
        </w:rPr>
        <w:t xml:space="preserve">Flujos</w:t>
      </w:r>
      <w:r>
        <w:rPr>
          <w:iCs/>
          <w:i/>
        </w:rPr>
        <w:t xml:space="preserve"> </w:t>
      </w:r>
      <w:r>
        <w:rPr>
          <w:iCs/>
          <w:i/>
        </w:rPr>
        <w:t xml:space="preserve">Físicos</w:t>
      </w:r>
      <w:r>
        <w:rPr>
          <w:iCs/>
          <w:i/>
        </w:rPr>
        <w:t xml:space="preserve"> </w:t>
      </w:r>
      <w:r>
        <w:rPr>
          <w:iCs/>
          <w:i/>
        </w:rPr>
        <w:t xml:space="preserve">de</w:t>
      </w:r>
      <w:r>
        <w:rPr>
          <w:iCs/>
          <w:i/>
        </w:rPr>
        <w:t xml:space="preserve"> </w:t>
      </w:r>
      <w:r>
        <w:rPr>
          <w:iCs/>
          <w:i/>
        </w:rPr>
        <w:t xml:space="preserve">Energía</w:t>
      </w:r>
      <w:r>
        <w:rPr>
          <w:iCs/>
          <w:i/>
        </w:rPr>
        <w:t xml:space="preserve"> </w:t>
      </w:r>
      <w:r>
        <w:rPr>
          <w:iCs/>
          <w:i/>
        </w:rPr>
        <w:t xml:space="preserve">2018</w:t>
      </w:r>
      <w:r>
        <w:t xml:space="preserve">. San José de Costa Rica: Banco Central de Costa Rica.</w:t>
      </w:r>
    </w:p>
    <w:bookmarkEnd w:id="91"/>
    <w:bookmarkStart w:id="93" w:name="ref-bowers2019"/>
    <w:p>
      <w:pPr>
        <w:pStyle w:val="Bibliography"/>
      </w:pPr>
      <w:r>
        <w:t xml:space="preserve">Bowers, J., &amp; Testa, P. F. (2019). Better Government, Better Science: The Promise of and Challenges Facing the Evidence-Informed Policy Movement.</w:t>
      </w:r>
      <w:r>
        <w:t xml:space="preserve"> </w:t>
      </w:r>
      <w:r>
        <w:rPr>
          <w:iCs/>
          <w:i/>
        </w:rPr>
        <w:t xml:space="preserve">Annual Review of Political Science</w:t>
      </w:r>
      <w:r>
        <w:t xml:space="preserve">,</w:t>
      </w:r>
      <w:r>
        <w:t xml:space="preserve"> </w:t>
      </w:r>
      <w:r>
        <w:rPr>
          <w:iCs/>
          <w:i/>
        </w:rPr>
        <w:t xml:space="preserve">22</w:t>
      </w:r>
      <w:r>
        <w:t xml:space="preserve">(Volume 22, 2019), 521–542.</w:t>
      </w:r>
      <w:r>
        <w:t xml:space="preserve"> </w:t>
      </w:r>
      <w:hyperlink r:id="rId92">
        <w:r>
          <w:rPr>
            <w:rStyle w:val="Hyperlink"/>
          </w:rPr>
          <w:t xml:space="preserve">https://doi.org/10.1146/annurev-polisci-050517-124041</w:t>
        </w:r>
      </w:hyperlink>
    </w:p>
    <w:bookmarkEnd w:id="93"/>
    <w:bookmarkStart w:id="95" w:name="ref-eclac2021"/>
    <w:p>
      <w:pPr>
        <w:pStyle w:val="Bibliography"/>
      </w:pPr>
      <w:r>
        <w:t xml:space="preserve">ECLAC. (2021).</w:t>
      </w:r>
      <w:r>
        <w:t xml:space="preserve"> </w:t>
      </w:r>
      <w:r>
        <w:rPr>
          <w:iCs/>
          <w:i/>
        </w:rPr>
        <w:t xml:space="preserve">Repository</w:t>
      </w:r>
      <w:r>
        <w:rPr>
          <w:iCs/>
          <w:i/>
        </w:rPr>
        <w:t xml:space="preserve"> </w:t>
      </w:r>
      <w:r>
        <w:rPr>
          <w:iCs/>
          <w:i/>
        </w:rPr>
        <w:t xml:space="preserve">of</w:t>
      </w:r>
      <w:r>
        <w:rPr>
          <w:iCs/>
          <w:i/>
        </w:rPr>
        <w:t xml:space="preserve"> </w:t>
      </w:r>
      <w:r>
        <w:rPr>
          <w:iCs/>
          <w:i/>
        </w:rPr>
        <w:t xml:space="preserve">Supply</w:t>
      </w:r>
      <w:r>
        <w:rPr>
          <w:iCs/>
          <w:i/>
        </w:rPr>
        <w:t xml:space="preserve"> </w:t>
      </w:r>
      <w:r>
        <w:rPr>
          <w:iCs/>
          <w:i/>
        </w:rPr>
        <w:t xml:space="preserve">and</w:t>
      </w:r>
      <w:r>
        <w:rPr>
          <w:iCs/>
          <w:i/>
        </w:rPr>
        <w:t xml:space="preserve"> </w:t>
      </w:r>
      <w:r>
        <w:rPr>
          <w:iCs/>
          <w:i/>
        </w:rPr>
        <w:t xml:space="preserve">Use Tables</w:t>
      </w:r>
      <w:r>
        <w:rPr>
          <w:iCs/>
          <w:i/>
        </w:rPr>
        <w:t xml:space="preserve"> </w:t>
      </w:r>
      <w:r>
        <w:rPr>
          <w:iCs/>
          <w:i/>
        </w:rPr>
        <w:t xml:space="preserve">and</w:t>
      </w:r>
      <w:r>
        <w:rPr>
          <w:iCs/>
          <w:i/>
        </w:rPr>
        <w:t xml:space="preserve"> </w:t>
      </w:r>
      <w:r>
        <w:rPr>
          <w:iCs/>
          <w:i/>
        </w:rPr>
        <w:t xml:space="preserve">Input-Output Matrices</w:t>
      </w:r>
      <w:r>
        <w:rPr>
          <w:iCs/>
          <w:i/>
        </w:rPr>
        <w:t xml:space="preserve"> </w:t>
      </w:r>
      <w:r>
        <w:rPr>
          <w:iCs/>
          <w:i/>
        </w:rPr>
        <w:t xml:space="preserve">from</w:t>
      </w:r>
      <w:r>
        <w:rPr>
          <w:iCs/>
          <w:i/>
        </w:rPr>
        <w:t xml:space="preserve"> </w:t>
      </w:r>
      <w:r>
        <w:rPr>
          <w:iCs/>
          <w:i/>
        </w:rPr>
        <w:t xml:space="preserve">Latin America</w:t>
      </w:r>
      <w:r>
        <w:rPr>
          <w:iCs/>
          <w:i/>
        </w:rPr>
        <w:t xml:space="preserve"> </w:t>
      </w:r>
      <w:r>
        <w:rPr>
          <w:iCs/>
          <w:i/>
        </w:rPr>
        <w:t xml:space="preserve">and</w:t>
      </w:r>
      <w:r>
        <w:rPr>
          <w:iCs/>
          <w:i/>
        </w:rPr>
        <w:t xml:space="preserve"> </w:t>
      </w:r>
      <w:r>
        <w:rPr>
          <w:iCs/>
          <w:i/>
        </w:rPr>
        <w:t xml:space="preserve">The Caribbean</w:t>
      </w:r>
      <w:r>
        <w:t xml:space="preserve">. Retrieved from</w:t>
      </w:r>
      <w:r>
        <w:t xml:space="preserve"> </w:t>
      </w:r>
      <w:hyperlink r:id="rId94">
        <w:r>
          <w:rPr>
            <w:rStyle w:val="Hyperlink"/>
          </w:rPr>
          <w:t xml:space="preserve">https://statistics.cepal.org/repository/cou-mip/index.html?lang=es</w:t>
        </w:r>
      </w:hyperlink>
    </w:p>
    <w:bookmarkEnd w:id="95"/>
    <w:bookmarkStart w:id="96" w:name="ref-europeancommission2013"/>
    <w:p>
      <w:pPr>
        <w:pStyle w:val="Bibliography"/>
      </w:pPr>
      <w:r>
        <w:t xml:space="preserve">European Commission, Economic Cooperation, O. for, Development, United Nations, &amp; World Bank. (2013).</w:t>
      </w:r>
      <w:r>
        <w:t xml:space="preserve"> </w:t>
      </w:r>
      <w:r>
        <w:rPr>
          <w:iCs/>
          <w:i/>
        </w:rPr>
        <w:t xml:space="preserve">System</w:t>
      </w:r>
      <w:r>
        <w:rPr>
          <w:iCs/>
          <w:i/>
        </w:rPr>
        <w:t xml:space="preserve"> </w:t>
      </w:r>
      <w:r>
        <w:rPr>
          <w:iCs/>
          <w:i/>
        </w:rPr>
        <w:t xml:space="preserve">of</w:t>
      </w:r>
      <w:r>
        <w:rPr>
          <w:iCs/>
          <w:i/>
        </w:rPr>
        <w:t xml:space="preserve"> </w:t>
      </w:r>
      <w:r>
        <w:rPr>
          <w:iCs/>
          <w:i/>
        </w:rPr>
        <w:t xml:space="preserve">Environmental</w:t>
      </w:r>
      <w:r>
        <w:rPr>
          <w:iCs/>
          <w:i/>
        </w:rPr>
        <w:t xml:space="preserve">-</w:t>
      </w:r>
      <w:r>
        <w:rPr>
          <w:iCs/>
          <w:i/>
        </w:rPr>
        <w:t xml:space="preserve">Economic</w:t>
      </w:r>
      <w:r>
        <w:rPr>
          <w:iCs/>
          <w:i/>
        </w:rPr>
        <w:t xml:space="preserve"> </w:t>
      </w:r>
      <w:r>
        <w:rPr>
          <w:iCs/>
          <w:i/>
        </w:rPr>
        <w:t xml:space="preserve">Accounting</w:t>
      </w:r>
      <w:r>
        <w:rPr>
          <w:iCs/>
          <w:i/>
        </w:rPr>
        <w:t xml:space="preserve"> </w:t>
      </w:r>
      <w:r>
        <w:rPr>
          <w:iCs/>
          <w:i/>
        </w:rPr>
        <w:t xml:space="preserve">2012</w:t>
      </w:r>
      <w:r>
        <w:t xml:space="preserve">. New York.</w:t>
      </w:r>
    </w:p>
    <w:bookmarkEnd w:id="96"/>
    <w:bookmarkStart w:id="98" w:name="ref-europeancommission2009"/>
    <w:p>
      <w:pPr>
        <w:pStyle w:val="Bibliography"/>
      </w:pPr>
      <w:r>
        <w:t xml:space="preserve">European Commission, International Monetary Fund, Economic Co-operation, O. for, Development, United Nations, &amp; World Bank. (2009).</w:t>
      </w:r>
      <w:r>
        <w:t xml:space="preserve"> </w:t>
      </w:r>
      <w:r>
        <w:rPr>
          <w:iCs/>
          <w:i/>
        </w:rPr>
        <w:t xml:space="preserve">System</w:t>
      </w:r>
      <w:r>
        <w:rPr>
          <w:iCs/>
          <w:i/>
        </w:rPr>
        <w:t xml:space="preserve"> </w:t>
      </w:r>
      <w:r>
        <w:rPr>
          <w:iCs/>
          <w:i/>
        </w:rPr>
        <w:t xml:space="preserve">of</w:t>
      </w:r>
      <w:r>
        <w:rPr>
          <w:iCs/>
          <w:i/>
        </w:rPr>
        <w:t xml:space="preserve"> </w:t>
      </w:r>
      <w:r>
        <w:rPr>
          <w:iCs/>
          <w:i/>
        </w:rPr>
        <w:t xml:space="preserve">National</w:t>
      </w:r>
      <w:r>
        <w:rPr>
          <w:iCs/>
          <w:i/>
        </w:rPr>
        <w:t xml:space="preserve"> </w:t>
      </w:r>
      <w:r>
        <w:rPr>
          <w:iCs/>
          <w:i/>
        </w:rPr>
        <w:t xml:space="preserve">Accounts</w:t>
      </w:r>
      <w:r>
        <w:rPr>
          <w:iCs/>
          <w:i/>
        </w:rPr>
        <w:t xml:space="preserve"> </w:t>
      </w:r>
      <w:r>
        <w:rPr>
          <w:iCs/>
          <w:i/>
        </w:rPr>
        <w:t xml:space="preserve">2008</w:t>
      </w:r>
      <w:r>
        <w:t xml:space="preserve">. Retrieved from</w:t>
      </w:r>
      <w:r>
        <w:t xml:space="preserve"> </w:t>
      </w:r>
      <w:hyperlink r:id="rId97">
        <w:r>
          <w:rPr>
            <w:rStyle w:val="Hyperlink"/>
          </w:rPr>
          <w:t xml:space="preserve">https://unstats.un.org/unsd/nationalaccount/sna2008.asp</w:t>
        </w:r>
      </w:hyperlink>
    </w:p>
    <w:bookmarkEnd w:id="98"/>
    <w:bookmarkStart w:id="99" w:name="ref-germanbioeconomycouncil2018"/>
    <w:p>
      <w:pPr>
        <w:pStyle w:val="Bibliography"/>
      </w:pPr>
      <w:r>
        <w:t xml:space="preserve">German Bioeconomy Council. (2018).</w:t>
      </w:r>
      <w:r>
        <w:t xml:space="preserve"> </w:t>
      </w:r>
      <w:r>
        <w:rPr>
          <w:iCs/>
          <w:i/>
        </w:rPr>
        <w:t xml:space="preserve">Global</w:t>
      </w:r>
      <w:r>
        <w:rPr>
          <w:iCs/>
          <w:i/>
        </w:rPr>
        <w:t xml:space="preserve"> </w:t>
      </w:r>
      <w:r>
        <w:rPr>
          <w:iCs/>
          <w:i/>
        </w:rPr>
        <w:t xml:space="preserve">Bioeconomy</w:t>
      </w:r>
      <w:r>
        <w:rPr>
          <w:iCs/>
          <w:i/>
        </w:rPr>
        <w:t xml:space="preserve"> </w:t>
      </w:r>
      <w:r>
        <w:rPr>
          <w:iCs/>
          <w:i/>
        </w:rPr>
        <w:t xml:space="preserve">Summit</w:t>
      </w:r>
      <w:r>
        <w:rPr>
          <w:iCs/>
          <w:i/>
        </w:rPr>
        <w:t xml:space="preserve">:</w:t>
      </w:r>
      <w:r>
        <w:rPr>
          <w:iCs/>
          <w:i/>
        </w:rPr>
        <w:t xml:space="preserve"> </w:t>
      </w:r>
      <w:r>
        <w:rPr>
          <w:iCs/>
          <w:i/>
        </w:rPr>
        <w:t xml:space="preserve">Conference</w:t>
      </w:r>
      <w:r>
        <w:rPr>
          <w:iCs/>
          <w:i/>
        </w:rPr>
        <w:t xml:space="preserve"> </w:t>
      </w:r>
      <w:r>
        <w:rPr>
          <w:iCs/>
          <w:i/>
        </w:rPr>
        <w:t xml:space="preserve">Report</w:t>
      </w:r>
      <w:r>
        <w:rPr>
          <w:iCs/>
          <w:i/>
        </w:rPr>
        <w:t xml:space="preserve">.</w:t>
      </w:r>
      <w:r>
        <w:rPr>
          <w:iCs/>
          <w:i/>
        </w:rPr>
        <w:t xml:space="preserve"> </w:t>
      </w:r>
      <w:r>
        <w:rPr>
          <w:iCs/>
          <w:i/>
        </w:rPr>
        <w:t xml:space="preserve">Innovation</w:t>
      </w:r>
      <w:r>
        <w:rPr>
          <w:iCs/>
          <w:i/>
        </w:rPr>
        <w:t xml:space="preserve"> </w:t>
      </w:r>
      <w:r>
        <w:rPr>
          <w:iCs/>
          <w:i/>
        </w:rPr>
        <w:t xml:space="preserve">in the</w:t>
      </w:r>
      <w:r>
        <w:rPr>
          <w:iCs/>
          <w:i/>
        </w:rPr>
        <w:t xml:space="preserve"> </w:t>
      </w:r>
      <w:r>
        <w:rPr>
          <w:iCs/>
          <w:i/>
        </w:rPr>
        <w:t xml:space="preserve">Global</w:t>
      </w:r>
      <w:r>
        <w:rPr>
          <w:iCs/>
          <w:i/>
        </w:rPr>
        <w:t xml:space="preserve"> </w:t>
      </w:r>
      <w:r>
        <w:rPr>
          <w:iCs/>
          <w:i/>
        </w:rPr>
        <w:t xml:space="preserve">Bioeconomy</w:t>
      </w:r>
      <w:r>
        <w:rPr>
          <w:iCs/>
          <w:i/>
        </w:rPr>
        <w:t xml:space="preserve"> </w:t>
      </w:r>
      <w:r>
        <w:rPr>
          <w:iCs/>
          <w:i/>
        </w:rPr>
        <w:t xml:space="preserve">for</w:t>
      </w:r>
      <w:r>
        <w:rPr>
          <w:iCs/>
          <w:i/>
        </w:rPr>
        <w:t xml:space="preserve"> </w:t>
      </w:r>
      <w:r>
        <w:rPr>
          <w:iCs/>
          <w:i/>
        </w:rPr>
        <w:t xml:space="preserve">Sustainable</w:t>
      </w:r>
      <w:r>
        <w:rPr>
          <w:iCs/>
          <w:i/>
        </w:rPr>
        <w:t xml:space="preserve"> </w:t>
      </w:r>
      <w:r>
        <w:rPr>
          <w:iCs/>
          <w:i/>
        </w:rPr>
        <w:t xml:space="preserve">and</w:t>
      </w:r>
      <w:r>
        <w:rPr>
          <w:iCs/>
          <w:i/>
        </w:rPr>
        <w:t xml:space="preserve"> </w:t>
      </w:r>
      <w:r>
        <w:rPr>
          <w:iCs/>
          <w:i/>
        </w:rPr>
        <w:t xml:space="preserve">Inclusive</w:t>
      </w:r>
      <w:r>
        <w:rPr>
          <w:iCs/>
          <w:i/>
        </w:rPr>
        <w:t xml:space="preserve"> </w:t>
      </w:r>
      <w:r>
        <w:rPr>
          <w:iCs/>
          <w:i/>
        </w:rPr>
        <w:t xml:space="preserve">Transformation</w:t>
      </w:r>
      <w:r>
        <w:rPr>
          <w:iCs/>
          <w:i/>
        </w:rPr>
        <w:t xml:space="preserve"> </w:t>
      </w:r>
      <w:r>
        <w:rPr>
          <w:iCs/>
          <w:i/>
        </w:rPr>
        <w:t xml:space="preserve">and</w:t>
      </w:r>
      <w:r>
        <w:rPr>
          <w:iCs/>
          <w:i/>
        </w:rPr>
        <w:t xml:space="preserve"> </w:t>
      </w:r>
      <w:r>
        <w:rPr>
          <w:iCs/>
          <w:i/>
        </w:rPr>
        <w:t xml:space="preserve">Wellbeing</w:t>
      </w:r>
      <w:r>
        <w:t xml:space="preserve">. Berlin.</w:t>
      </w:r>
    </w:p>
    <w:bookmarkEnd w:id="99"/>
    <w:bookmarkStart w:id="101" w:name="ref-gobiernodecostarica2020"/>
    <w:p>
      <w:pPr>
        <w:pStyle w:val="Bibliography"/>
      </w:pPr>
      <w:r>
        <w:t xml:space="preserve">Gobierno de Costa Rica. (2020).</w:t>
      </w:r>
      <w:r>
        <w:t xml:space="preserve"> </w:t>
      </w:r>
      <w:r>
        <w:rPr>
          <w:iCs/>
          <w:i/>
        </w:rPr>
        <w:t xml:space="preserve">Estrategia</w:t>
      </w:r>
      <w:r>
        <w:rPr>
          <w:iCs/>
          <w:i/>
        </w:rPr>
        <w:t xml:space="preserve"> </w:t>
      </w:r>
      <w:r>
        <w:rPr>
          <w:iCs/>
          <w:i/>
        </w:rPr>
        <w:t xml:space="preserve">Nacional</w:t>
      </w:r>
      <w:r>
        <w:rPr>
          <w:iCs/>
          <w:i/>
        </w:rPr>
        <w:t xml:space="preserve"> </w:t>
      </w:r>
      <w:r>
        <w:rPr>
          <w:iCs/>
          <w:i/>
        </w:rPr>
        <w:t xml:space="preserve">de</w:t>
      </w:r>
      <w:r>
        <w:rPr>
          <w:iCs/>
          <w:i/>
        </w:rPr>
        <w:t xml:space="preserve"> </w:t>
      </w:r>
      <w:r>
        <w:rPr>
          <w:iCs/>
          <w:i/>
        </w:rPr>
        <w:t xml:space="preserve">Bioeconomía Costa Rica</w:t>
      </w:r>
      <w:r>
        <w:rPr>
          <w:iCs/>
          <w:i/>
        </w:rPr>
        <w:t xml:space="preserve"> </w:t>
      </w:r>
      <w:r>
        <w:rPr>
          <w:iCs/>
          <w:i/>
        </w:rPr>
        <w:t xml:space="preserve">2020 - 2030:</w:t>
      </w:r>
      <w:r>
        <w:rPr>
          <w:iCs/>
          <w:i/>
        </w:rPr>
        <w:t xml:space="preserve"> </w:t>
      </w:r>
      <w:r>
        <w:rPr>
          <w:iCs/>
          <w:i/>
        </w:rPr>
        <w:t xml:space="preserve">Hacia</w:t>
      </w:r>
      <w:r>
        <w:rPr>
          <w:iCs/>
          <w:i/>
        </w:rPr>
        <w:t xml:space="preserve"> </w:t>
      </w:r>
      <w:r>
        <w:rPr>
          <w:iCs/>
          <w:i/>
        </w:rPr>
        <w:t xml:space="preserve">una economía con descarbonización fósil, competitividad, sostenibilidad e inclusión</w:t>
      </w:r>
      <w:r>
        <w:t xml:space="preserve">. San José de Costa Rica. Retrieved from</w:t>
      </w:r>
      <w:r>
        <w:t xml:space="preserve"> </w:t>
      </w:r>
      <w:hyperlink r:id="rId100">
        <w:r>
          <w:rPr>
            <w:rStyle w:val="Hyperlink"/>
          </w:rPr>
          <w:t xml:space="preserve">https://www.micit.go.cr/sites/default/files/estrategia_nacional_bioeconomia_cr_corregido.pdf</w:t>
        </w:r>
      </w:hyperlink>
    </w:p>
    <w:bookmarkEnd w:id="101"/>
    <w:bookmarkStart w:id="103" w:name="ref-unitednations2008"/>
    <w:p>
      <w:pPr>
        <w:pStyle w:val="Bibliography"/>
      </w:pPr>
      <w:r>
        <w:t xml:space="preserve">United Nations. (2008).</w:t>
      </w:r>
      <w:r>
        <w:t xml:space="preserve"> </w:t>
      </w:r>
      <w:r>
        <w:rPr>
          <w:iCs/>
          <w:i/>
        </w:rPr>
        <w:t xml:space="preserve">International</w:t>
      </w:r>
      <w:r>
        <w:rPr>
          <w:iCs/>
          <w:i/>
        </w:rPr>
        <w:t xml:space="preserve"> </w:t>
      </w:r>
      <w:r>
        <w:rPr>
          <w:iCs/>
          <w:i/>
        </w:rPr>
        <w:t xml:space="preserve">Standard</w:t>
      </w:r>
      <w:r>
        <w:rPr>
          <w:iCs/>
          <w:i/>
        </w:rPr>
        <w:t xml:space="preserve"> </w:t>
      </w:r>
      <w:r>
        <w:rPr>
          <w:iCs/>
          <w:i/>
        </w:rPr>
        <w:t xml:space="preserve">Industrial</w:t>
      </w:r>
      <w:r>
        <w:rPr>
          <w:iCs/>
          <w:i/>
        </w:rPr>
        <w:t xml:space="preserve"> </w:t>
      </w:r>
      <w:r>
        <w:rPr>
          <w:iCs/>
          <w:i/>
        </w:rPr>
        <w:t xml:space="preserve">Classification</w:t>
      </w:r>
      <w:r>
        <w:rPr>
          <w:iCs/>
          <w:i/>
        </w:rPr>
        <w:t xml:space="preserve"> </w:t>
      </w:r>
      <w:r>
        <w:rPr>
          <w:iCs/>
          <w:i/>
        </w:rPr>
        <w:t xml:space="preserve">of</w:t>
      </w:r>
      <w:r>
        <w:rPr>
          <w:iCs/>
          <w:i/>
        </w:rPr>
        <w:t xml:space="preserve"> </w:t>
      </w:r>
      <w:r>
        <w:rPr>
          <w:iCs/>
          <w:i/>
        </w:rPr>
        <w:t xml:space="preserve">All</w:t>
      </w:r>
      <w:r>
        <w:rPr>
          <w:iCs/>
          <w:i/>
        </w:rPr>
        <w:t xml:space="preserve"> </w:t>
      </w:r>
      <w:r>
        <w:rPr>
          <w:iCs/>
          <w:i/>
        </w:rPr>
        <w:t xml:space="preserve">Economic</w:t>
      </w:r>
      <w:r>
        <w:rPr>
          <w:iCs/>
          <w:i/>
        </w:rPr>
        <w:t xml:space="preserve"> </w:t>
      </w:r>
      <w:r>
        <w:rPr>
          <w:iCs/>
          <w:i/>
        </w:rPr>
        <w:t xml:space="preserve">Activities</w:t>
      </w:r>
      <w:r>
        <w:rPr>
          <w:iCs/>
          <w:i/>
        </w:rPr>
        <w:t xml:space="preserve">:</w:t>
      </w:r>
      <w:r>
        <w:rPr>
          <w:iCs/>
          <w:i/>
        </w:rPr>
        <w:t xml:space="preserve"> </w:t>
      </w:r>
      <w:r>
        <w:rPr>
          <w:iCs/>
          <w:i/>
        </w:rPr>
        <w:t xml:space="preserve">Revision</w:t>
      </w:r>
      <w:r>
        <w:rPr>
          <w:iCs/>
          <w:i/>
        </w:rPr>
        <w:t xml:space="preserve"> </w:t>
      </w:r>
      <w:r>
        <w:rPr>
          <w:iCs/>
          <w:i/>
        </w:rPr>
        <w:t xml:space="preserve">4</w:t>
      </w:r>
      <w:r>
        <w:t xml:space="preserve">. New York. Retrieved from</w:t>
      </w:r>
      <w:r>
        <w:t xml:space="preserve"> </w:t>
      </w:r>
      <w:hyperlink r:id="rId102">
        <w:r>
          <w:rPr>
            <w:rStyle w:val="Hyperlink"/>
          </w:rPr>
          <w:t xml:space="preserve">https://unstats.un.org/unsd/classifications/Econ/isic</w:t>
        </w:r>
      </w:hyperlink>
    </w:p>
    <w:bookmarkEnd w:id="103"/>
    <w:bookmarkStart w:id="105" w:name="ref-unitednations2015"/>
    <w:p>
      <w:pPr>
        <w:pStyle w:val="Bibliography"/>
      </w:pPr>
      <w:r>
        <w:t xml:space="preserve">United Nations. (2015).</w:t>
      </w:r>
      <w:r>
        <w:t xml:space="preserve"> </w:t>
      </w:r>
      <w:r>
        <w:rPr>
          <w:iCs/>
          <w:i/>
        </w:rPr>
        <w:t xml:space="preserve">Central</w:t>
      </w:r>
      <w:r>
        <w:rPr>
          <w:iCs/>
          <w:i/>
        </w:rPr>
        <w:t xml:space="preserve"> </w:t>
      </w:r>
      <w:r>
        <w:rPr>
          <w:iCs/>
          <w:i/>
        </w:rPr>
        <w:t xml:space="preserve">Product</w:t>
      </w:r>
      <w:r>
        <w:rPr>
          <w:iCs/>
          <w:i/>
        </w:rPr>
        <w:t xml:space="preserve"> </w:t>
      </w:r>
      <w:r>
        <w:rPr>
          <w:iCs/>
          <w:i/>
        </w:rPr>
        <w:t xml:space="preserve">Classification</w:t>
      </w:r>
      <w:r>
        <w:rPr>
          <w:iCs/>
          <w:i/>
        </w:rPr>
        <w:t xml:space="preserve"> </w:t>
      </w:r>
      <w:r>
        <w:rPr>
          <w:iCs/>
          <w:i/>
        </w:rPr>
        <w:t xml:space="preserve">(CPC)</w:t>
      </w:r>
      <w:r>
        <w:rPr>
          <w:iCs/>
          <w:i/>
        </w:rPr>
        <w:t xml:space="preserve"> </w:t>
      </w:r>
      <w:r>
        <w:rPr>
          <w:iCs/>
          <w:i/>
        </w:rPr>
        <w:t xml:space="preserve">Version</w:t>
      </w:r>
      <w:r>
        <w:rPr>
          <w:iCs/>
          <w:i/>
        </w:rPr>
        <w:t xml:space="preserve"> </w:t>
      </w:r>
      <w:r>
        <w:rPr>
          <w:iCs/>
          <w:i/>
        </w:rPr>
        <w:t xml:space="preserve">2.1</w:t>
      </w:r>
      <w:r>
        <w:t xml:space="preserve">. New York. Retrieved from</w:t>
      </w:r>
      <w:r>
        <w:t xml:space="preserve"> </w:t>
      </w:r>
      <w:hyperlink r:id="rId104">
        <w:r>
          <w:rPr>
            <w:rStyle w:val="Hyperlink"/>
          </w:rPr>
          <w:t xml:space="preserve">https://unstats.un.org/unsd/classifications/Econ/cpc</w:t>
        </w:r>
      </w:hyperlink>
    </w:p>
    <w:bookmarkEnd w:id="105"/>
    <w:bookmarkStart w:id="107" w:name="ref-vargas2022"/>
    <w:p>
      <w:pPr>
        <w:pStyle w:val="Bibliography"/>
      </w:pPr>
      <w:r>
        <w:t xml:space="preserve">Vargas, R., Alvarado, I., Rodríguez, M., Rodríguez, A., &amp; Wander, P. (2022).</w:t>
      </w:r>
      <w:r>
        <w:t xml:space="preserve"> </w:t>
      </w:r>
      <w:r>
        <w:rPr>
          <w:iCs/>
          <w:i/>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106">
        <w:r>
          <w:rPr>
            <w:rStyle w:val="Hyperlink"/>
          </w:rPr>
          <w:t xml:space="preserve">https://www.cepal.org/es/publicaciones/48641-cuenta-satelite-bioeconomia-costa-rica-propuesta-metodologica-aplicacion</w:t>
        </w:r>
      </w:hyperlink>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78" Target="media/rId78.png" /><Relationship Type="http://schemas.openxmlformats.org/officeDocument/2006/relationships/image" Id="rId25" Target="media/rId25.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82" Target="media/rId8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146/annurev-polisci-050517-124041" TargetMode="External" /><Relationship Type="http://schemas.openxmlformats.org/officeDocument/2006/relationships/hyperlink" Id="rId94" Target="https://statistics.cepal.org/repository/cou-mip/index.html?lang=es" TargetMode="External" /><Relationship Type="http://schemas.openxmlformats.org/officeDocument/2006/relationships/hyperlink" Id="rId104" Target="https://unstats.un.org/unsd/classifications/Econ/cpc" TargetMode="External" /><Relationship Type="http://schemas.openxmlformats.org/officeDocument/2006/relationships/hyperlink" Id="rId102" Target="https://unstats.un.org/unsd/classifications/Econ/isic" TargetMode="External" /><Relationship Type="http://schemas.openxmlformats.org/officeDocument/2006/relationships/hyperlink" Id="rId97" Target="https://unstats.un.org/unsd/nationalaccount/sna2008.asp" TargetMode="External" /><Relationship Type="http://schemas.openxmlformats.org/officeDocument/2006/relationships/hyperlink" Id="rId89" Target="https://www.bccr.fi.cr/indicadores-economicos/cuentas-nacionales-periodo-de-referencia-2017" TargetMode="External" /><Relationship Type="http://schemas.openxmlformats.org/officeDocument/2006/relationships/hyperlink" Id="rId106" Target="https://www.cepal.org/es/publicaciones/48641-cuenta-satelite-bioeconomia-costa-rica-propuesta-metodologica-aplicacion" TargetMode="External" /><Relationship Type="http://schemas.openxmlformats.org/officeDocument/2006/relationships/hyperlink" Id="rId100"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2024-10-10T15:55:30Z</dcterms:created>
  <dcterms:modified xsi:type="dcterms:W3CDTF">2024-10-10T15:55:30Z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economic activities and propose direct and indirect methods to rank them according to their importance for bioeconomic policy. We exemplify the methodology with the cases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