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 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39"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w:t>
      </w:r>
    </w:p>
    <w:bookmarkStart w:id="37"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p>
      <w:pPr>
        <w:pStyle w:val="BodyText"/>
      </w:pPr>
      <w:r>
        <w:t xml:space="preserve">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within individual economic activities for the case of Costa Rica.</w:t>
      </w:r>
      <w:r>
        <w:t xml:space="preserve"> </w:t>
      </w:r>
      <w:hyperlink w:anchor="tbl-cr18-pharma">
        <w:r>
          <w:rPr>
            <w:rStyle w:val="Hyperlink"/>
          </w:rPr>
          <w:t xml:space="preserve">Table 3</w:t>
        </w:r>
      </w:hyperlink>
      <w:r>
        <w:t xml:space="preserve"> </w:t>
      </w:r>
      <w:r>
        <w:t xml:space="preserve">shows that 34.6 percent of the inputs of this economic activity by value depend on 24 bioeconomic products. An additional 17.5% of its Intermediate Consumption is catalogued as belonging to the extended bioeconomy, while a 47.9 percent are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6"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4" name="Picture"/>
                  <a:graphic>
                    <a:graphicData uri="http://schemas.openxmlformats.org/drawingml/2006/picture">
                      <pic:pic>
                        <pic:nvPicPr>
                          <pic:cNvPr descr="images/clipboard-1645551723.png" id="35" name="Picture"/>
                          <pic:cNvPicPr>
                            <a:picLocks noChangeArrowheads="1" noChangeAspect="1"/>
                          </pic:cNvPicPr>
                        </pic:nvPicPr>
                        <pic:blipFill>
                          <a:blip r:embed="rId33"/>
                          <a:stretch>
                            <a:fillRect/>
                          </a:stretch>
                        </pic:blipFill>
                        <pic:spPr bwMode="auto">
                          <a:xfrm>
                            <a:off x="0" y="0"/>
                            <a:ext cx="5334000" cy="5884464"/>
                          </a:xfrm>
                          <a:prstGeom prst="rect">
                            <a:avLst/>
                          </a:prstGeom>
                          <a:noFill/>
                          <a:ln w="9525">
                            <a:noFill/>
                            <a:headEnd/>
                            <a:tailEnd/>
                          </a:ln>
                        </pic:spPr>
                      </pic:pic>
                    </a:graphicData>
                  </a:graphic>
                </wp:inline>
              </w:drawing>
            </w:r>
          </w:p>
          <w:bookmarkEnd w:id="36"/>
        </w:tc>
      </w:tr>
    </w:tbl>
    <w:bookmarkEnd w:id="37"/>
    <w:bookmarkStart w:id="38" w:name="Xb2af0559ac95307f161ce072543771873fb88b4"/>
    <w:p>
      <w:pPr>
        <w:pStyle w:val="Heading3"/>
      </w:pPr>
      <w:r>
        <w:t xml:space="preserve">Comparative analysis for 13 economies of Latin America and The Caribbean</w:t>
      </w:r>
    </w:p>
    <w:bookmarkEnd w:id="38"/>
    <w:bookmarkEnd w:id="39"/>
    <w:bookmarkStart w:id="40" w:name="discussion"/>
    <w:p>
      <w:pPr>
        <w:pStyle w:val="Heading2"/>
      </w:pPr>
      <w:r>
        <w:t xml:space="preserve">Discussion</w:t>
      </w:r>
    </w:p>
    <w:bookmarkEnd w:id="40"/>
    <w:bookmarkStart w:id="57" w:name="references"/>
    <w:p>
      <w:pPr>
        <w:pStyle w:val="Heading2"/>
      </w:pPr>
      <w:r>
        <w:t xml:space="preserve">References</w:t>
      </w:r>
    </w:p>
    <w:bookmarkStart w:id="56" w:name="refs"/>
    <w:bookmarkStart w:id="41"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41"/>
    <w:bookmarkStart w:id="43"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42">
        <w:r>
          <w:rPr>
            <w:rStyle w:val="Hyperlink"/>
          </w:rPr>
          <w:t xml:space="preserve">https://statistics.cepal.org/repository/cou-mip/index.html?lang=es</w:t>
        </w:r>
      </w:hyperlink>
    </w:p>
    <w:bookmarkEnd w:id="43"/>
    <w:bookmarkStart w:id="44"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44"/>
    <w:bookmarkStart w:id="46"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45">
        <w:r>
          <w:rPr>
            <w:rStyle w:val="Hyperlink"/>
          </w:rPr>
          <w:t xml:space="preserve">https://unstats.un.org/unsd/nationalaccount/sna2008.asp</w:t>
        </w:r>
      </w:hyperlink>
    </w:p>
    <w:bookmarkEnd w:id="46"/>
    <w:bookmarkStart w:id="47"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47"/>
    <w:bookmarkStart w:id="49"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48">
        <w:r>
          <w:rPr>
            <w:rStyle w:val="Hyperlink"/>
          </w:rPr>
          <w:t xml:space="preserve">https://www.micit.go.cr/sites/default/files/estrategia_nacional_bioeconomia_cr_corregido.pdf</w:t>
        </w:r>
      </w:hyperlink>
    </w:p>
    <w:bookmarkEnd w:id="49"/>
    <w:bookmarkStart w:id="51"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50">
        <w:r>
          <w:rPr>
            <w:rStyle w:val="Hyperlink"/>
          </w:rPr>
          <w:t xml:space="preserve">https://unstats.un.org/unsd/classifications/Econ/isic</w:t>
        </w:r>
      </w:hyperlink>
    </w:p>
    <w:bookmarkEnd w:id="51"/>
    <w:bookmarkStart w:id="53"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52">
        <w:r>
          <w:rPr>
            <w:rStyle w:val="Hyperlink"/>
          </w:rPr>
          <w:t xml:space="preserve">https://unstats.un.org/unsd/classifications/Econ/cpc</w:t>
        </w:r>
      </w:hyperlink>
    </w:p>
    <w:bookmarkEnd w:id="53"/>
    <w:bookmarkStart w:id="55"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4">
        <w:r>
          <w:rPr>
            <w:rStyle w:val="Hyperlink"/>
          </w:rPr>
          <w:t xml:space="preserve">https://www.cepal.org/es/publicaciones/48641-cuenta-satelite-bioeconomia-costa-rica-propuesta-metodologica-aplicacion</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2024-10-05T14:34:10Z</dcterms:created>
  <dcterms:modified xsi:type="dcterms:W3CDTF">2024-10-05T14:34:10Z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