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 Describir estructura de paper "Economics of Food Security: Selected Issues")</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con el cual se mide el desempeño de la economía con medidas como el Producto Interno Bruto, entre otras. Esta extensión de la contabilidad nacional básica se hace siguiendo los preceptos de la familia de manuales del Sistema de Contabilidad Ambiental y Económica (SEEA), estándar estadístico propuesto por Naciones Unidas y otros, y toma elementos conceptuales propios de la seguridad alimentaria del Sistema de Contabilidad Ambiental y Económica para la Agricultura, Silvicultura y Pesca (SEEA Agri),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comparabilidad internacional y a través del tiempo.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cuentas de flujos, las cuales muestran cómo se mueven los diferentes insumos y productos relacionados con la seguridad alimentaria y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Tradicionalmente, el período de análisis ha correspondido a un año, pero en años recientes el Sistema de Cuentas Nacionales</w:t>
      </w:r>
      <w:r>
        <w:t xml:space="preserve"> </w:t>
      </w:r>
      <w:r>
        <w:rPr>
          <w:i/>
          <w:b/>
        </w:rPr>
        <w:t xml:space="preserve">(Cita BANGUAT Cuentas Trimestrales)</w:t>
      </w:r>
      <w:r>
        <w:t xml:space="preserve">, con el cual se mide el desempeño económico, ha incursionado en el desarrollo de cuentas trimestrales. Estas tienen un alcance más limitado en cuanto a desagregación de actividades económicas, pero muestran gran potencial para dar signos de alerta temprana respecto de tendencias macroeconómicas que puedan tener impacto en la Seguridad Alimentaria en el corto y mediano plazo.</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no se compra ni vende en mercados tradicionales o es sujeto de compensación. Esto hace que necesariamente exista una desconexión entre la cifra monetaria del valor que agregan a la riqueza del país y valoraciones de dichos recursos (a través de cualquier método económico). Por eso en estos casos, nos quedamos con el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 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y activos relacionados.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Activos de cultivos.</w:t>
      </w:r>
    </w:p>
    <w:p>
      <w:pPr>
        <w:pStyle w:val="Compact"/>
        <w:numPr>
          <w:numId w:val="1003"/>
          <w:ilvl w:val="1"/>
        </w:numPr>
      </w:pPr>
      <w:r>
        <w:t xml:space="preserve">Activos de ganado.</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Heading3"/>
      </w:pPr>
      <w:bookmarkStart w:id="29" w:name="presentaciones-combinadas"/>
      <w:bookmarkEnd w:id="29"/>
      <w:r>
        <w:t xml:space="preserve">Presentaciones combinadas</w:t>
      </w:r>
    </w:p>
    <w:p>
      <w:pPr>
        <w:pStyle w:val="FirstParagraph"/>
      </w:pPr>
      <w:r>
        <w:t xml:space="preserve">Una de las ventajas de un sistema integrado de información macroeconómica es la posibilidad del desarrollo de presentaciones combinadas en las cuales puede coexistir información de diferentes ámbitos. Esto es particularmente importante para apreciar los diferentes impactos naturales y sociales que ocurren de manera conectada con el desempeño económico, pero que no son evidentes en la formas en que se evalúa el mismo. De esta forma, existe una variedad de temas que se pueden analizar para encontrar contrastes relevantes para la política pública.</w:t>
      </w:r>
    </w:p>
    <w:p>
      <w:pPr>
        <w:pStyle w:val="BodyText"/>
      </w:pPr>
      <w:r>
        <w:t xml:space="preserve">Dada la consistencia entre reglas contables, definiciones y clasificaciones estándar que existen en el sistema, el número de combinaciones entre rubros de información crece exponencialmente con la riqueza que exista en las cuentas de activos y flujos. No obstante, existen temas naturalmente relevantes para la seguridad alimentaria como son los insumos específicos para los diferentes productos relacionados con la seguridad alimentaria como son:</w:t>
      </w:r>
    </w:p>
    <w:p>
      <w:pPr>
        <w:pStyle w:val="Compact"/>
        <w:numPr>
          <w:numId w:val="1008"/>
          <w:ilvl w:val="0"/>
        </w:numPr>
      </w:pPr>
      <w:r>
        <w:t xml:space="preserve">Insumos específicos a cada actividad económica relacionadas con SAN.</w:t>
      </w:r>
    </w:p>
    <w:p>
      <w:pPr>
        <w:pStyle w:val="Compact"/>
        <w:numPr>
          <w:numId w:val="1008"/>
          <w:ilvl w:val="0"/>
        </w:numPr>
      </w:pPr>
      <w:r>
        <w:t xml:space="preserve">Producción alimentaria y desperdicio.</w:t>
      </w:r>
    </w:p>
    <w:p>
      <w:pPr>
        <w:pStyle w:val="Compact"/>
        <w:numPr>
          <w:numId w:val="1008"/>
          <w:ilvl w:val="0"/>
        </w:numPr>
      </w:pPr>
      <w:r>
        <w:t xml:space="preserve">Perspectivas económicas por actividad.</w:t>
      </w:r>
    </w:p>
    <w:p>
      <w:pPr>
        <w:pStyle w:val="FirstParagraph"/>
      </w:pPr>
      <w:r>
        <w:t xml:space="preserve">Estas combinaciones son sugerencias las cuales pueden ser expandidas por las necesidades de política pública y disponibilidad de información relevante o valiosa para cierto tema particular.</w:t>
      </w:r>
    </w:p>
    <w:p>
      <w:pPr>
        <w:pStyle w:val="Heading2"/>
      </w:pPr>
      <w:bookmarkStart w:id="30" w:name="resultados-preliminares"/>
      <w:bookmarkEnd w:id="30"/>
      <w:r>
        <w:t xml:space="preserve">Resultados preliminares</w:t>
      </w:r>
    </w:p>
    <w:p>
      <w:pPr>
        <w:pStyle w:val="FirstParagraph"/>
      </w:pPr>
      <w:r>
        <w:t xml:space="preserve">A pesar que este documento tiene como objetivo la descripción de un marco que permita el análisis macroeconómico de aspectos relacionados con la seguridad alimentaria, la información disponible en el Sistema de Contabilidad Ambiental y Económica de Guatemala (SCAE) y el Sistema de Cuentas Nacionales, así como algunas otras fuentes, permite hacer una evaluación de lo que es posible realizar en este momento. De esta manera también es posible describir las brechas que son posibles de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2"/>
      </w:pPr>
      <w:bookmarkStart w:id="31" w:name="discusión-y-conclusiones"/>
      <w:bookmarkEnd w:id="31"/>
      <w:r>
        <w:t xml:space="preserve">Discusión y conclusiones</w:t>
      </w:r>
    </w:p>
    <w:p>
      <w:pPr>
        <w:pStyle w:val="Heading2"/>
      </w:pPr>
      <w:bookmarkStart w:id="32" w:name="bibliografía"/>
      <w:bookmarkEnd w:id="32"/>
      <w:r>
        <w:t xml:space="preserve">Bibliografía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0a9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f3db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9def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coreProperties>
</file>