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44.png" ContentType="image/png"/>
  <Override PartName="/word/media/rId2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Wood Provision: Monetary Valuation</w:t>
      </w:r>
    </w:p>
    <w:p>
      <w:pPr>
        <w:pStyle w:val="Subtitle"/>
      </w:pPr>
      <w:r>
        <w:t xml:space="preserve">Unit values, constant prices and spatially explicit monetary flow: annotated R processing routine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page is the second phase of the wood provision update. The first phase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physical accounts</w:t>
        </w:r>
      </w:hyperlink>
      <w:r>
        <w:t xml:space="preserve">) produced the net annual increment (NAI) of forest</w:t>
      </w:r>
      <w:r>
        <w:t xml:space="preserve"> </w:t>
      </w:r>
      <w:r>
        <w:t xml:space="preserve">available for wood supply (FAWS) by country and year, and mapped it. This page gives that flow a</w:t>
      </w:r>
      <w:r>
        <w:t xml:space="preserve"> </w:t>
      </w:r>
      <w:r>
        <w:t xml:space="preserve">monetary value, expresses it in constant prices and maps it.</w:t>
      </w:r>
    </w:p>
    <w:p>
      <w:pPr>
        <w:pStyle w:val="BodyText"/>
      </w:pPr>
      <w:r>
        <w:t xml:space="preserve">The method is the one of INCA Part III</w:t>
      </w:r>
      <w:r>
        <w:t xml:space="preserve"> </w:t>
      </w:r>
      <w:r>
        <w:t xml:space="preserve">(La Notte et al., 2021)</w:t>
      </w:r>
      <w:r>
        <w:t xml:space="preserve"> </w:t>
      </w:r>
      <w:r>
        <w:t xml:space="preserve">as implemented in the INCA plugin, so that</w:t>
      </w:r>
      <w:r>
        <w:t xml:space="preserve"> </w:t>
      </w:r>
      <w:r>
        <w:t xml:space="preserve">results are comparable with it. It needs three Eurostat inputs and one deflator.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Value of standing timber.</w:t>
      </w:r>
      <w:r>
        <w:t xml:space="preserve"> </w:t>
      </w:r>
      <w:r>
        <w:rPr>
          <w:rStyle w:val="VerbatimChar"/>
        </w:rPr>
        <w:t xml:space="preserve">for_sup_cp</w:t>
      </w:r>
      <w:r>
        <w:t xml:space="preserve"> </w:t>
      </w:r>
      <w:r>
        <w:t xml:space="preserve">reports the output of forest trees (</w:t>
      </w:r>
      <w:r>
        <w:rPr>
          <w:rStyle w:val="VerbatimChar"/>
        </w:rPr>
        <w:t xml:space="preserve">P1_TR</w:t>
      </w:r>
      <w:r>
        <w:t xml:space="preserve">) in</w:t>
      </w:r>
      <w:r>
        <w:t xml:space="preserve"> </w:t>
      </w:r>
      <w:r>
        <w:t xml:space="preserve">million euro</w:t>
      </w:r>
      <w:r>
        <w:t xml:space="preserve"> </w:t>
      </w:r>
      <w:r>
        <w:t xml:space="preserve">(Eurostat, 2026c)</w:t>
      </w:r>
      <w:r>
        <w:t xml:space="preserve">. Dividing it by NAI gives a unit value in euro per cubic metre.</w:t>
      </w:r>
      <w:r>
        <w:t xml:space="preserve"> </w:t>
      </w:r>
      <w:r>
        <w:t xml:space="preserve">It is reported by few countries in the early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value of roundwood exports.</w:t>
      </w:r>
      <w:r>
        <w:t xml:space="preserve"> </w:t>
      </w:r>
      <w:r>
        <w:rPr>
          <w:rStyle w:val="VerbatimChar"/>
        </w:rPr>
        <w:t xml:space="preserve">for_basic</w:t>
      </w:r>
      <w:r>
        <w:t xml:space="preserve"> </w:t>
      </w:r>
      <w:r>
        <w:t xml:space="preserve">reports export value and volume of roundwood</w:t>
      </w:r>
      <w:r>
        <w:t xml:space="preserve"> </w:t>
      </w:r>
      <w:r>
        <w:t xml:space="preserve">(Eurostat, 2026b)</w:t>
      </w:r>
      <w:r>
        <w:t xml:space="preserve">. It is reported by almost every country and year.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 between the two.</w:t>
      </w:r>
      <w:r>
        <w:t xml:space="preserve"> </w:t>
      </w:r>
      <w:r>
        <w:t xml:space="preserve">Where both unit values exist, their ratio links the well-covered</w:t>
      </w:r>
      <w:r>
        <w:t xml:space="preserve"> </w:t>
      </w:r>
      <w:r>
        <w:t xml:space="preserve">export price to the sparse timber price. The ratio is completed with averages and applied</w:t>
      </w:r>
      <w:r>
        <w:t xml:space="preserve"> </w:t>
      </w:r>
      <w:r>
        <w:t xml:space="preserve">backwards: unit value of NAI = export unit value / ratio.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Deflator.</w:t>
      </w:r>
      <w:r>
        <w:t xml:space="preserve"> </w:t>
      </w:r>
      <w:r>
        <w:t xml:space="preserve">The EU27 Harmonised Index of Consumer Prices (HICP) converts nominal values to</w:t>
      </w:r>
      <w:r>
        <w:t xml:space="preserve"> </w:t>
      </w:r>
      <w:r>
        <w:t xml:space="preserve">constant prices</w:t>
      </w:r>
      <w:r>
        <w:t xml:space="preserve"> </w:t>
      </w:r>
      <w:r>
        <w:t xml:space="preserve">(Eurostat, 2026a)</w:t>
      </w:r>
      <w:r>
        <w:t xml:space="preserve">.</w:t>
      </w:r>
    </w:p>
    <w:p>
      <w:pPr>
        <w:pStyle w:val="FirstParagraph"/>
      </w:pPr>
      <w:r>
        <w:t xml:space="preserve">The physical flow is not recomputed here. The page reads the tables that the first phase</w:t>
      </w:r>
      <w:r>
        <w:t xml:space="preserve"> </w:t>
      </w:r>
      <w:r>
        <w:t xml:space="preserve">exported to</w:t>
      </w:r>
      <w:r>
        <w:t xml:space="preserve"> </w:t>
      </w:r>
      <w:r>
        <w:rPr>
          <w:rStyle w:val="VerbatimChar"/>
        </w:rPr>
        <w:t xml:space="preserve">data/outputs/results/</w:t>
      </w:r>
      <w:r>
        <w:t xml:space="preserve">, so both documents stay consistent.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 the physical document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page reads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data/outputs/results/wood_nai_faws_country_year.rds</w:t>
            </w:r>
            <w:r>
              <w:t xml:space="preserve"> </w:t>
            </w:r>
            <w:r>
              <w:t xml:space="preserve">and the 1 km FAWS shares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data/inputs/faws/</w:t>
            </w:r>
            <w:r>
              <w:t xml:space="preserve">. Both are committed to the repository, so nothing needs to be rerun unless</w:t>
            </w:r>
            <w:r>
              <w:t xml:space="preserve"> </w:t>
            </w:r>
            <w:r>
              <w:t xml:space="preserve">the physical series changes.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Constant prices use a single base year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base year is</w:t>
            </w:r>
            <w:r>
              <w:t xml:space="preserve"> </w:t>
            </w:r>
            <w:r>
              <w:rPr>
                <w:rStyle w:val="VerbatimChar"/>
              </w:rPr>
              <w:t xml:space="preserve">base_year</w:t>
            </w:r>
            <w:r>
              <w:t xml:space="preserve"> </w:t>
            </w:r>
            <w:r>
              <w:t xml:space="preserve">in the parameters chunk. It is set to 2010, the base year of the fish provision</w:t>
            </w:r>
            <w:r>
              <w:t xml:space="preserve"> </w:t>
            </w:r>
            <w:r>
              <w:t xml:space="preserve">accounts, so that the services share one price level (the INCA plugin uses 2000). Changing it does not touch the nominal</w:t>
            </w:r>
            <w:r>
              <w:t xml:space="preserve"> </w:t>
            </w:r>
            <w:r>
              <w:t xml:space="preserve">values, because the deflator is applied in one step at the end.</w:t>
            </w:r>
          </w:p>
          <w:p/>
        </w:tc>
      </w:tr>
    </w:tbl>
    <w:bookmarkEnd w:id="16"/>
    <w:bookmarkStart w:id="20" w:name="preliminaries"/>
    <w:p>
      <w:pPr>
        <w:pStyle w:val="Heading1"/>
      </w:pPr>
      <w:r>
        <w:t xml:space="preserve">Preliminaries</w:t>
      </w:r>
    </w:p>
    <w:bookmarkStart w:id="17" w:name="packages-and-helper-functions"/>
    <w:p>
      <w:pPr>
        <w:pStyle w:val="Heading2"/>
      </w:pPr>
      <w:r>
        <w:t xml:space="preserve">Packages and 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"scripts/helpers_wood.R"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"scripts/helpers_monetary.R"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17"/>
    <w:bookmarkStart w:id="18" w:name="parameters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The averages that complete the gaps use the same windows as the INCA plugin: the country mean over</w:t>
      </w:r>
      <w:r>
        <w:t xml:space="preserve"> </w:t>
      </w:r>
      <w:r>
        <w:t xml:space="preserve">the whole series, and the EU mean over the more recent years, where coverage is better. The</w:t>
      </w:r>
      <w:r>
        <w:t xml:space="preserve"> </w:t>
      </w:r>
      <w:r>
        <w:t xml:space="preserve">plugin stops at 2021 because of the data it had; the window here runs to 2023, the last year</w:t>
      </w:r>
      <w:r>
        <w:t xml:space="preserve"> </w:t>
      </w:r>
      <w:r>
        <w:t xml:space="preserve">with broad coverage.</w:t>
      </w:r>
    </w:p>
    <w:p>
      <w:pPr>
        <w:pStyle w:val="SourceCode"/>
      </w:pPr>
      <w:r>
        <w:rPr>
          <w:rStyle w:val="NormalTok"/>
        </w:rPr>
        <w:t xml:space="preserve">years_all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br/>
      </w:r>
      <w:r>
        <w:rPr>
          <w:rStyle w:val="NormalTok"/>
        </w:rPr>
        <w:t xml:space="preserve">years_report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br/>
      </w:r>
      <w:r>
        <w:rPr>
          <w:rStyle w:val="CommentTok"/>
        </w:rPr>
        <w:t xml:space="preserve"># Windows for the averages that fill gaps</w:t>
      </w:r>
      <w:r>
        <w:br/>
      </w:r>
      <w:r>
        <w:rPr>
          <w:rStyle w:val="NormalTok"/>
        </w:rPr>
        <w:t xml:space="preserve">country_years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2023</w:t>
      </w:r>
      <w:r>
        <w:br/>
      </w:r>
      <w:r>
        <w:rPr>
          <w:rStyle w:val="NormalTok"/>
        </w:rPr>
        <w:t xml:space="preserve">eu_years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2023</w:t>
      </w:r>
      <w:r>
        <w:br/>
      </w:r>
      <w:r>
        <w:br/>
      </w:r>
      <w:r>
        <w:rPr>
          <w:rStyle w:val="CommentTok"/>
        </w:rPr>
        <w:t xml:space="preserve"># Inputs</w:t>
      </w:r>
      <w:r>
        <w:br/>
      </w:r>
      <w:r>
        <w:rPr>
          <w:rStyle w:val="NormalTok"/>
        </w:rPr>
        <w:t xml:space="preserve">nai_file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"data/outputs/results/wood_nai_faws_country_year.rds"</w:t>
      </w:r>
      <w:r>
        <w:br/>
      </w:r>
      <w:r>
        <w:rPr>
          <w:rStyle w:val="NormalTok"/>
        </w:rPr>
        <w:t xml:space="preserve">sup_file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"data/inputs/eurostat/for_sup_cp_p1tr.rds"</w:t>
      </w:r>
      <w:r>
        <w:br/>
      </w:r>
      <w:r>
        <w:rPr>
          <w:rStyle w:val="NormalTok"/>
        </w:rPr>
        <w:t xml:space="preserve">basic_file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"data/inputs/eurostat/for_basic_rw_exports.rds"</w:t>
      </w:r>
      <w:r>
        <w:br/>
      </w:r>
      <w:r>
        <w:rPr>
          <w:rStyle w:val="NormalTok"/>
        </w:rPr>
        <w:t xml:space="preserve">hicp_file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"data/inputs/eurostat/hicp_eu27.rds"</w:t>
      </w:r>
      <w:r>
        <w:br/>
      </w:r>
      <w:r>
        <w:rPr>
          <w:rStyle w:val="NormalTok"/>
        </w:rPr>
        <w:t xml:space="preserve">countries_file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"data/inputs/gis/NUTS_RG_01M_2024_3035_LEVL0.gpkg"</w:t>
      </w:r>
      <w:r>
        <w:br/>
      </w:r>
      <w:r>
        <w:rPr>
          <w:rStyle w:val="NormalTok"/>
        </w:rPr>
        <w:t xml:space="preserve">faws_share_file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"data/inputs/faws/FAWS_2020_EU27_1km.tif"</w:t>
      </w:r>
      <w:r>
        <w:br/>
      </w:r>
      <w:r>
        <w:br/>
      </w:r>
      <w:r>
        <w:rPr>
          <w:rStyle w:val="CommentTok"/>
        </w:rPr>
        <w:t xml:space="preserve"># Outputs</w:t>
      </w:r>
      <w:r>
        <w:br/>
      </w:r>
      <w:r>
        <w:rPr>
          <w:rStyle w:val="NormalTok"/>
        </w:rPr>
        <w:t xml:space="preserve">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"data/outputs/results"</w:t>
      </w:r>
      <w:r>
        <w:br/>
      </w:r>
      <w:r>
        <w:rPr>
          <w:rStyle w:val="NormalTok"/>
        </w:rPr>
        <w:t xml:space="preserve">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"data/outputs/gis"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8"/>
    <w:bookmarkStart w:id="19" w:name="preparing-the-eurostat-inputs"/>
    <w:p>
      <w:pPr>
        <w:pStyle w:val="Heading2"/>
      </w:pPr>
      <w:r>
        <w:t xml:space="preserve">Preparing the Eurostat inputs</w:t>
      </w:r>
    </w:p>
    <w:p>
      <w:pPr>
        <w:pStyle w:val="FirstParagraph"/>
      </w:pPr>
      <w:r>
        <w:t xml:space="preserve">The script</w:t>
      </w:r>
      <w:r>
        <w:t xml:space="preserve"> </w:t>
      </w:r>
      <w:r>
        <w:rPr>
          <w:rStyle w:val="VerbatimChar"/>
        </w:rPr>
        <w:t xml:space="preserve">scripts/04_download_eurostat_monetary.R</w:t>
      </w:r>
      <w:r>
        <w:t xml:space="preserve"> </w:t>
      </w:r>
      <w:r>
        <w:t xml:space="preserve">downloads the three Eurostat extracts and</w:t>
      </w:r>
      <w:r>
        <w:t xml:space="preserve"> </w:t>
      </w:r>
      <w:r>
        <w:t xml:space="preserve">saves compact files in</w:t>
      </w:r>
      <w:r>
        <w:t xml:space="preserve"> </w:t>
      </w:r>
      <w:r>
        <w:rPr>
          <w:rStyle w:val="VerbatimChar"/>
        </w:rPr>
        <w:t xml:space="preserve">data/inputs/eurostat/</w:t>
      </w:r>
      <w:r>
        <w:t xml:space="preserve">. It is run once and needs internet access.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"scripts/04_download_eurostat_monetary.R"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19"/>
    <w:bookmarkEnd w:id="20"/>
    <w:bookmarkStart w:id="22" w:name="loading-the-inputs"/>
    <w:p>
      <w:pPr>
        <w:pStyle w:val="Heading1"/>
      </w:pPr>
      <w:r>
        <w:t xml:space="preserve">Loading the inputs</w:t>
      </w:r>
    </w:p>
    <w:p>
      <w:pPr>
        <w:pStyle w:val="FirstParagraph"/>
      </w:pPr>
      <w:r>
        <w:t xml:space="preserve">All series are placed on a complete grid of the 27 member states and the years 2000 to 2024, so</w:t>
      </w:r>
      <w:r>
        <w:t xml:space="preserve"> </w:t>
      </w:r>
      <w:r>
        <w:t xml:space="preserve">that every missing value is visible as a missing cell.</w:t>
      </w:r>
    </w:p>
    <w:p>
      <w:pPr>
        <w:pStyle w:val="SourceCode"/>
      </w:pP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(countries_file,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eu27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geo[countries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eu27]</w:t>
      </w:r>
      <w:r>
        <w:br/>
      </w:r>
      <w:r>
        <w:br/>
      </w:r>
      <w:r>
        <w:rPr>
          <w:rStyle w:val="NormalTok"/>
        </w:rPr>
        <w:t xml:space="preserve">nai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(nai_file)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"nai_faws_1000m3"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timber_value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(sup_file)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"value_mio_eur"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exports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(basic_file)</w:t>
      </w:r>
      <w:r>
        <w:br/>
      </w:r>
      <w:r>
        <w:br/>
      </w:r>
      <w:r>
        <w:rPr>
          <w:rStyle w:val="NormalTok"/>
        </w:rPr>
        <w:t xml:space="preserve">hicp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(hicp_file)</w:t>
      </w:r>
    </w:p>
    <w:bookmarkStart w:id="21" w:name="how-much-was-reported"/>
    <w:p>
      <w:pPr>
        <w:pStyle w:val="Heading2"/>
      </w:pPr>
      <w:r>
        <w:t xml:space="preserve">How much was reported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Timber value (for_sup_cp)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(years_report, \(y)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(timber_value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value[timber_value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Export value and volume (for_basic)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(years_report, \(y)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exports_ths_eur[exports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exports_ths_m3[exports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1"/>
        <w:gridCol w:w="2512"/>
        <w:gridCol w:w="3292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Timber value (for_sup_cp)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Export value and volume (for_basic)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</w:tbl>
    <w:p>
      <w:pPr>
        <w:pStyle w:val="FirstParagraph"/>
      </w:pPr>
      <w:r>
        <w:t xml:space="preserve">The table counts member states out of 27. Timber value is reported by only a few countries in 2000</w:t>
      </w:r>
      <w:r>
        <w:t xml:space="preserve"> </w:t>
      </w:r>
      <w:r>
        <w:t xml:space="preserve">and 2006, and by almost all of them from 2012 on, so the method has to lean on the export price</w:t>
      </w:r>
      <w:r>
        <w:t xml:space="preserve"> </w:t>
      </w:r>
      <w:r>
        <w:t xml:space="preserve">in the early years.</w:t>
      </w:r>
    </w:p>
    <w:bookmarkEnd w:id="21"/>
    <w:bookmarkEnd w:id="22"/>
    <w:bookmarkStart w:id="30" w:name="unit-values"/>
    <w:p>
      <w:pPr>
        <w:pStyle w:val="Heading1"/>
      </w:pPr>
      <w:r>
        <w:t xml:space="preserve">Unit values</w:t>
      </w:r>
    </w:p>
    <w:bookmarkStart w:id="23" w:name="unit-value-of-nai"/>
    <w:p>
      <w:pPr>
        <w:pStyle w:val="Heading2"/>
      </w:pPr>
      <w:r>
        <w:t xml:space="preserve">Unit value of NAI</w:t>
      </w:r>
    </w:p>
    <w:p>
      <w:pPr>
        <w:pStyle w:val="FirstParagraph"/>
      </w:pPr>
      <w:r>
        <w:t xml:space="preserve">The timber value is divided by NAI, and the unit is converted from million euro per thousand cubic</w:t>
      </w:r>
      <w:r>
        <w:t xml:space="preserve"> </w:t>
      </w:r>
      <w:r>
        <w:t xml:space="preserve">metres to euro per cubic metre. A country-year without NAI gets no unit value.</w:t>
      </w:r>
    </w:p>
    <w:p>
      <w:pPr>
        <w:pStyle w:val="SourceCode"/>
      </w:pPr>
      <w:r>
        <w:rPr>
          <w:rStyle w:val="NormalTok"/>
        </w:rPr>
        <w:t xml:space="preserve">unit_value_nai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(timber_value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timber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(nai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timber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nai,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value)</w:t>
      </w:r>
    </w:p>
    <w:bookmarkEnd w:id="23"/>
    <w:bookmarkStart w:id="24" w:name="unit-value-of-roundwood-exports"/>
    <w:p>
      <w:pPr>
        <w:pStyle w:val="Heading2"/>
      </w:pPr>
      <w:r>
        <w:t xml:space="preserve">Unit value of roundwood exports</w:t>
      </w:r>
    </w:p>
    <w:p>
      <w:pPr>
        <w:pStyle w:val="FirstParagraph"/>
      </w:pPr>
      <w:r>
        <w:t xml:space="preserve">Export value (thousand euro) divided by export volume (thousand cubic metres) gives euro per cubic</w:t>
      </w:r>
      <w:r>
        <w:t xml:space="preserve"> </w:t>
      </w:r>
      <w:r>
        <w:t xml:space="preserve">metre. Gaps are filled with the country mean, or with the EU mean when a country never reports.</w:t>
      </w:r>
    </w:p>
    <w:p>
      <w:pPr>
        <w:pStyle w:val="SourceCode"/>
      </w:pPr>
      <w:r>
        <w:rPr>
          <w:rStyle w:val="NormalTok"/>
        </w:rPr>
        <w:t xml:space="preserve">unit_value_exports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exports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(exports_ths_m3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exports_ths_eur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exports_ths_m3,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unit_value_exports_filled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fill_with_means</w:t>
      </w:r>
      <w:r>
        <w:rPr>
          <w:rStyle w:val="NormalTok"/>
        </w:rPr>
        <w:t xml:space="preserve">(unit_value_exports, country_years, eu_years)</w:t>
      </w:r>
    </w:p>
    <w:bookmarkEnd w:id="24"/>
    <w:bookmarkStart w:id="25" w:name="ratio-of-export-price-to-timber-price"/>
    <w:p>
      <w:pPr>
        <w:pStyle w:val="Heading2"/>
      </w:pPr>
      <w:r>
        <w:t xml:space="preserve">Ratio of export price to timber price</w:t>
      </w:r>
    </w:p>
    <w:p>
      <w:pPr>
        <w:pStyle w:val="FirstParagraph"/>
      </w:pPr>
      <w:r>
        <w:t xml:space="preserve">The ratio is computed from the reported values only, before any filling. Infinite values, which come</w:t>
      </w:r>
      <w:r>
        <w:t xml:space="preserve"> </w:t>
      </w:r>
      <w:r>
        <w:t xml:space="preserve">from a zero timber value, are treated as missing. The gaps are then filled with the same averages.</w:t>
      </w:r>
    </w:p>
    <w:p>
      <w:pPr>
        <w:pStyle w:val="SourceCode"/>
      </w:pPr>
      <w:r>
        <w:rPr>
          <w:rStyle w:val="NormalTok"/>
        </w:rPr>
        <w:t xml:space="preserve">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unit_value_exports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exports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(unit_value_nai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nai_uv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exports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nai_uv,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(value), value,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value)</w:t>
      </w:r>
      <w:r>
        <w:br/>
      </w:r>
      <w:r>
        <w:br/>
      </w:r>
      <w:r>
        <w:rPr>
          <w:rStyle w:val="NormalTok"/>
        </w:rPr>
        <w:t xml:space="preserve">ratio_filled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fill_with_means</w:t>
      </w:r>
      <w:r>
        <w:rPr>
          <w:rStyle w:val="NormalTok"/>
        </w:rPr>
        <w:t xml:space="preserve">(ratio, country_years, eu_years)</w:t>
      </w:r>
    </w:p>
    <w:p>
      <w:pPr>
        <w:pStyle w:val="FirstParagraph"/>
      </w:pPr>
      <w:r>
        <w:t xml:space="preserve">The share of the 27 ratios that are observed in each reporting year shows how much of the result</w:t>
      </w:r>
      <w:r>
        <w:t xml:space="preserve"> </w:t>
      </w:r>
      <w:r>
        <w:t xml:space="preserve">rests on averages.</w:t>
      </w:r>
    </w:p>
    <w:p>
      <w:pPr>
        <w:pStyle w:val="SourceCode"/>
      </w:pPr>
      <w:r>
        <w:rPr>
          <w:rStyle w:val="NormalTok"/>
        </w:rPr>
        <w:t xml:space="preserve">ratio_filled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(year, fill)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fill,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551"/>
        <w:gridCol w:w="1161"/>
        <w:gridCol w:w="115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5"/>
    <w:bookmarkStart w:id="29" w:name="completed-unit-value-of-nai"/>
    <w:p>
      <w:pPr>
        <w:pStyle w:val="Heading2"/>
      </w:pPr>
      <w:r>
        <w:t xml:space="preserve">Completed unit value of NAI</w:t>
      </w:r>
    </w:p>
    <w:p>
      <w:pPr>
        <w:pStyle w:val="FirstParagraph"/>
      </w:pPr>
      <w:r>
        <w:t xml:space="preserve">The completed unit value divides the export unit value by the ratio. Where the ratio is observed,</w:t>
      </w:r>
      <w:r>
        <w:t xml:space="preserve"> </w:t>
      </w:r>
      <w:r>
        <w:t xml:space="preserve">this returns the observed timber unit value.</w:t>
      </w:r>
    </w:p>
    <w:p>
      <w:pPr>
        <w:pStyle w:val="SourceCode"/>
      </w:pPr>
      <w:r>
        <w:rPr>
          <w:rStyle w:val="NormalTok"/>
        </w:rPr>
        <w:t xml:space="preserve">unit_value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unit_value_exports_filled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</w:t>
      </w:r>
      <w:r>
        <w:rPr>
          <w:rStyle w:val="AttributeTok"/>
        </w:rPr>
        <w:t xml:space="preserve">export_uv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ratio_filled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</w:t>
      </w:r>
      <w:r>
        <w:rPr>
          <w:rStyle w:val="AttributeTok"/>
        </w:rPr>
        <w:t xml:space="preserve">ratio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ratio_fill =</w:t>
      </w:r>
      <w:r>
        <w:rPr>
          <w:rStyle w:val="NormalTok"/>
        </w:rPr>
        <w:t xml:space="preserve"> fill),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unit_value_eur_m3 =</w:t>
      </w:r>
      <w:r>
        <w:rPr>
          <w:rStyle w:val="NormalTok"/>
        </w:rPr>
        <w:t xml:space="preserve"> export_uv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ratio)</w:t>
      </w:r>
    </w:p>
    <w:p>
      <w:pPr>
        <w:pStyle w:val="FirstParagraph"/>
      </w:pPr>
      <w:r>
        <w:t xml:space="preserve">The chart shows the completed unit value for every country in the reporting years. A few countries</w:t>
      </w:r>
      <w:r>
        <w:t xml:space="preserve"> </w:t>
      </w:r>
      <w:r>
        <w:t xml:space="preserve">sit far above the rest, and they are the ones whose ratio comes from the average of a small</w:t>
      </w:r>
      <w:r>
        <w:t xml:space="preserve"> </w:t>
      </w:r>
      <w:r>
        <w:t xml:space="preserve">number of observations.</w:t>
      </w:r>
    </w:p>
    <w:p>
      <w:pPr>
        <w:pStyle w:val="SourceCode"/>
      </w:pPr>
      <w:r>
        <w:rPr>
          <w:rStyle w:val="NormalTok"/>
        </w:rPr>
        <w:t xml:space="preserve">unit_value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unit_value_eur_m3,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unit_value_eur_m3,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ratio_fill))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 value of NAI (euro per m3, current prices)"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unit-value-char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4" w:name="monetary-flow"/>
    <w:p>
      <w:pPr>
        <w:pStyle w:val="Heading1"/>
      </w:pPr>
      <w:r>
        <w:t xml:space="preserve">Monetary flow</w:t>
      </w:r>
    </w:p>
    <w:bookmarkStart w:id="31" w:name="nominal-value"/>
    <w:p>
      <w:pPr>
        <w:pStyle w:val="Heading2"/>
      </w:pPr>
      <w:r>
        <w:t xml:space="preserve">Nominal value</w:t>
      </w:r>
    </w:p>
    <w:p>
      <w:pPr>
        <w:pStyle w:val="FirstParagraph"/>
      </w:pPr>
      <w:r>
        <w:t xml:space="preserve">The monetary flow is NAI times the completed unit value, in million euro at current prices.</w:t>
      </w:r>
    </w:p>
    <w:p>
      <w:pPr>
        <w:pStyle w:val="SourceCode"/>
      </w:pPr>
      <w:r>
        <w:rPr>
          <w:rStyle w:val="NormalTok"/>
        </w:rPr>
        <w:t xml:space="preserve">monetary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nai_1000m3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(unit_value,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value_mio_eur_current =</w:t>
      </w:r>
      <w:r>
        <w:rPr>
          <w:rStyle w:val="NormalTok"/>
        </w:rPr>
        <w:t xml:space="preserve"> nai_1000m3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unit_value_eur_m3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31"/>
    <w:bookmarkStart w:id="32" w:name="constant-prices"/>
    <w:p>
      <w:pPr>
        <w:pStyle w:val="Heading2"/>
      </w:pPr>
      <w:r>
        <w:t xml:space="preserve">Constant prices</w:t>
      </w:r>
    </w:p>
    <w:p>
      <w:pPr>
        <w:pStyle w:val="FirstParagraph"/>
      </w:pPr>
      <w:r>
        <w:t xml:space="preserve">The HICP index is rebased so that the base year equals 1, and each nominal value is multiplied</w:t>
      </w:r>
      <w:r>
        <w:t xml:space="preserve"> </w:t>
      </w:r>
      <w:r>
        <w:t xml:space="preserve">by the deflator of its year. The result is in million euro of the base year.</w:t>
      </w:r>
    </w:p>
    <w:p>
      <w:pPr>
        <w:pStyle w:val="SourceCode"/>
      </w:pPr>
      <w:r>
        <w:rPr>
          <w:rStyle w:val="NormalTok"/>
        </w:rPr>
        <w:t xml:space="preserve">deflator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make_deflator</w:t>
      </w:r>
      <w:r>
        <w:rPr>
          <w:rStyle w:val="NormalTok"/>
        </w:rPr>
        <w:t xml:space="preserve">(hicp, </w:t>
      </w:r>
      <w:r>
        <w:rPr>
          <w:rStyle w:val="StringTok"/>
        </w:rPr>
        <w:t xml:space="preserve">"hicp_2015"</w:t>
      </w:r>
      <w:r>
        <w:rPr>
          <w:rStyle w:val="NormalTok"/>
        </w:rPr>
        <w:t xml:space="preserve">, base_year)</w:t>
      </w:r>
      <w:r>
        <w:br/>
      </w:r>
      <w:r>
        <w:br/>
      </w:r>
      <w:r>
        <w:rPr>
          <w:rStyle w:val="NormalTok"/>
        </w:rPr>
        <w:t xml:space="preserve">monetary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(deflator,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value_mio_eur_constant =</w:t>
      </w:r>
      <w:r>
        <w:rPr>
          <w:rStyle w:val="NormalTok"/>
        </w:rPr>
        <w:t xml:space="preserve"> value_mio_eur_current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deflator)</w:t>
      </w:r>
    </w:p>
    <w:p>
      <w:pPr>
        <w:pStyle w:val="SourceCode"/>
      </w:pPr>
      <w:r>
        <w:rPr>
          <w:rStyle w:val="NormalTok"/>
        </w:rPr>
        <w:t xml:space="preserve">deflator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Deflator (base year =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deflator)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2307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Deflator (base year = 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0.898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</w:tbl>
    <w:bookmarkEnd w:id="32"/>
    <w:bookmarkStart w:id="33" w:name="eu-totals"/>
    <w:p>
      <w:pPr>
        <w:pStyle w:val="Heading2"/>
      </w:pPr>
      <w:r>
        <w:t xml:space="preserve">EU totals</w:t>
      </w:r>
    </w:p>
    <w:p>
      <w:pPr>
        <w:pStyle w:val="FirstParagraph"/>
      </w:pPr>
      <w:r>
        <w:t xml:space="preserve">The table sums the 27 countries in the reporting years. For comparison, INCA Part III reports an EU</w:t>
      </w:r>
      <w:r>
        <w:t xml:space="preserve"> </w:t>
      </w:r>
      <w:r>
        <w:t xml:space="preserve">total of 23,745 million euro for 2000</w:t>
      </w:r>
      <w:r>
        <w:t xml:space="preserve"> </w:t>
      </w:r>
      <w:r>
        <w:t xml:space="preserve">(La Notte et al., 2021)</w:t>
      </w:r>
      <w:r>
        <w:t xml:space="preserve">. That figure uses a different country set</w:t>
      </w:r>
      <w:r>
        <w:t xml:space="preserve"> </w:t>
      </w:r>
      <w:r>
        <w:t xml:space="preserve">and vintage of the data, so the comparison is a check of order of magnitude.</w:t>
      </w:r>
    </w:p>
    <w:p>
      <w:pPr>
        <w:pStyle w:val="SourceCode"/>
      </w:pPr>
      <w:r>
        <w:rPr>
          <w:rStyle w:val="NormalTok"/>
        </w:rPr>
        <w:t xml:space="preserve">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(nai_1000m3)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Current prices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(value_mio_eur_current),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Constant prices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691"/>
        <w:gridCol w:w="2631"/>
        <w:gridCol w:w="2752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 prices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Constant prices (million euro)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14,798</w:t>
            </w:r>
          </w:p>
        </w:tc>
      </w:tr>
    </w:tbl>
    <w:bookmarkEnd w:id="33"/>
    <w:bookmarkEnd w:id="34"/>
    <w:bookmarkStart w:id="40" w:name="spatial-component"/>
    <w:p>
      <w:pPr>
        <w:pStyle w:val="Heading1"/>
      </w:pPr>
      <w:r>
        <w:t xml:space="preserve">Spatial component</w:t>
      </w:r>
    </w:p>
    <w:p>
      <w:pPr>
        <w:pStyle w:val="FirstParagraph"/>
      </w:pPr>
      <w:r>
        <w:t xml:space="preserve">The monetary flow is spread with the spatial key of the physical document: inside each country,</w:t>
      </w:r>
      <w:r>
        <w:t xml:space="preserve"> </w:t>
      </w:r>
      <w:r>
        <w:t xml:space="preserve">in proportion to the share of every 1 km cell that is FAWS. Every cell of a country therefore has</w:t>
      </w:r>
      <w:r>
        <w:t xml:space="preserve"> </w:t>
      </w:r>
      <w:r>
        <w:t xml:space="preserve">the same unit value, and the pattern of the monetary map is the pattern of the NAI map.</w:t>
      </w:r>
    </w:p>
    <w:p>
      <w:pPr>
        <w:pStyle w:val="SourceCode"/>
      </w:pPr>
      <w:r>
        <w:rPr>
          <w:rStyle w:val="NormalTok"/>
        </w:rPr>
        <w:t xml:space="preserve">faws_share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(faws_share_file)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(countries_file)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eu_countries[eu_countries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eu27, ]</w:t>
      </w:r>
      <w:r>
        <w:br/>
      </w:r>
      <w:r>
        <w:br/>
      </w:r>
      <w:r>
        <w:rPr>
          <w:rStyle w:val="NormalTok"/>
        </w:rPr>
        <w:t xml:space="preserve">country_ids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make_country_ids</w:t>
      </w:r>
      <w:r>
        <w:rPr>
          <w:rStyle w:val="NormalTok"/>
        </w:rPr>
        <w:t xml:space="preserve">(eu_countries, faws_share)</w:t>
      </w:r>
      <w:r>
        <w:br/>
      </w:r>
      <w:r>
        <w:rPr>
          <w:rStyle w:val="NormalTok"/>
        </w:rPr>
        <w:t xml:space="preserve">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country_weight_sums</w:t>
      </w:r>
      <w:r>
        <w:rPr>
          <w:rStyle w:val="NormalTok"/>
        </w:rPr>
        <w:t xml:space="preserve">(faws_share, country_ids)</w:t>
      </w:r>
    </w:p>
    <w:p>
      <w:pPr>
        <w:pStyle w:val="FirstParagraph"/>
      </w:pPr>
      <w:r>
        <w:t xml:space="preserve">To keep the repository light, the maps are written in constant prices only. They are</w:t>
      </w:r>
      <w:r>
        <w:t xml:space="preserve"> </w:t>
      </w:r>
      <w:r>
        <w:t xml:space="preserve">the ones used to compare years. The nominal values by country are in the exported tables.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value_map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faws_share,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weight_sums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(value_map)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value_map,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Start w:id="35" w:name="conservation-check"/>
    <w:p>
      <w:pPr>
        <w:pStyle w:val="Heading2"/>
      </w:pPr>
      <w:r>
        <w:t xml:space="preserve">Conservation check</w:t>
      </w:r>
    </w:p>
    <w:p>
      <w:pPr>
        <w:pStyle w:val="SourceCode"/>
      </w:pPr>
      <w:r>
        <w:rPr>
          <w:rStyle w:val="NormalTok"/>
        </w:rPr>
        <w:t xml:space="preserve">value_maps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years_report)))</w:t>
      </w:r>
      <w:r>
        <w:br/>
      </w:r>
      <w:r>
        <w:br/>
      </w:r>
      <w:r>
        <w:rPr>
          <w:rStyle w:val="NormalTok"/>
        </w:rPr>
        <w:t xml:space="preserve">national_totals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(value_mio_eur_constant),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(value_maps,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561"/>
        <w:gridCol w:w="332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</w:tbl>
    <w:bookmarkEnd w:id="35"/>
    <w:bookmarkStart w:id="39" w:name="maps"/>
    <w:p>
      <w:pPr>
        <w:pStyle w:val="Heading2"/>
      </w:pPr>
      <w:r>
        <w:t xml:space="preserve">Maps</w:t>
      </w:r>
    </w:p>
    <w:p>
      <w:pPr>
        <w:pStyle w:val="FirstParagraph"/>
      </w:pPr>
      <w:r>
        <w:t xml:space="preserve">The maps are shown at 10 km, as the sum of 100 cells of 1 km.</w:t>
      </w:r>
    </w:p>
    <w:p>
      <w:pPr>
        <w:pStyle w:val="SourceCode"/>
      </w:pPr>
      <w:r>
        <w:rPr>
          <w:rStyle w:val="NormalTok"/>
        </w:rPr>
        <w:t xml:space="preserve">map_data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year))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(map_data)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"Million euro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(base-year prices)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value-map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8" w:name="X8e24b68ac7a0b27f5da90d71b859a6580368683"/>
    <w:p>
      <w:pPr>
        <w:pStyle w:val="Heading1"/>
      </w:pPr>
      <w:r>
        <w:t xml:space="preserve">Refinement: Corine Land Cover forest by year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refinement with its own outputs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maps above are the baseline. This section repeats the spatial step with the spatial key of the</w:t>
            </w:r>
            <w:r>
              <w:t xml:space="preserve"> </w:t>
            </w:r>
            <w:r>
              <w:t xml:space="preserve">Corine refinement 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physical document</w:t>
              </w:r>
            </w:hyperlink>
            <w:r>
              <w:t xml:space="preserve">, which is the 100 m overlap of FAWS</w:t>
            </w:r>
            <w:r>
              <w:t xml:space="preserve"> </w:t>
            </w:r>
            <w:r>
              <w:t xml:space="preserve">and Corine Land Cover forest of each epoch (CLC 2018 is used for 2024). It writes only to</w:t>
            </w:r>
            <w:r>
              <w:t xml:space="preserve"> </w:t>
            </w:r>
            <w:r>
              <w:rPr>
                <w:rStyle w:val="VerbatimChar"/>
              </w:rPr>
              <w:t xml:space="preserve">data/outputs/gis/corine_refinement/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data/outputs/results/corine_refinement/</w:t>
            </w:r>
            <w:r>
              <w:t xml:space="preserve">, and every file name</w:t>
            </w:r>
            <w:r>
              <w:t xml:space="preserve"> </w:t>
            </w:r>
            <w:r>
              <w:t xml:space="preserve">starts with</w:t>
            </w:r>
            <w:r>
              <w:t xml:space="preserve"> </w:t>
            </w:r>
            <w:r>
              <w:rPr>
                <w:rStyle w:val="VerbatimChar"/>
              </w:rPr>
              <w:t xml:space="preserve">corine_refinement_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national monetary values are the same as in the baseline, so only their placement inside each</w:t>
      </w:r>
      <w:r>
        <w:t xml:space="preserve"> </w:t>
      </w:r>
      <w:r>
        <w:t xml:space="preserve">country changes. The weights are the 1 km files produced by</w:t>
      </w:r>
      <w:r>
        <w:t xml:space="preserve"> </w:t>
      </w:r>
      <w:r>
        <w:rPr>
          <w:rStyle w:val="VerbatimChar"/>
        </w:rPr>
        <w:t xml:space="preserve">scripts/05_prepare_clc.R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clc_epochs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clc_for_year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2006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2012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2024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refine_gis_dir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refine_results_dir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clc_weights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(clc_epochs, \(e)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"data/inputs/corine/FAWS_x_CLC%s_1km.tif"</w:t>
      </w:r>
      <w:r>
        <w:rPr>
          <w:rStyle w:val="NormalTok"/>
        </w:rPr>
        <w:t xml:space="preserve">, e)))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(clc_weights)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clc_epochs</w:t>
      </w:r>
      <w:r>
        <w:br/>
      </w:r>
      <w:r>
        <w:br/>
      </w:r>
      <w:r>
        <w:rPr>
          <w:rStyle w:val="NormalTok"/>
        </w:rPr>
        <w:t xml:space="preserve">clc_weight_sums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(clc_weights, country_weight_sums,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epoch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clc_for_year[[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(yr)]]</w:t>
      </w:r>
      <w:r>
        <w:br/>
      </w:r>
      <w:r>
        <w:rPr>
          <w:rStyle w:val="NormalTok"/>
        </w:rPr>
        <w:t xml:space="preserve">  refined_map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clc_weights[[epoch]],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clc_weight_sums[[epoch]]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(refined_map)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"value_clc_"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refined_map,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Start w:id="43" w:name="conservation-check-1"/>
    <w:p>
      <w:pPr>
        <w:pStyle w:val="Heading2"/>
      </w:pPr>
      <w:r>
        <w:t xml:space="preserve">Conservation check</w:t>
      </w:r>
    </w:p>
    <w:p>
      <w:pPr>
        <w:pStyle w:val="SourceCode"/>
      </w:pPr>
      <w:r>
        <w:rPr>
          <w:rStyle w:val="NormalTok"/>
        </w:rPr>
        <w:t xml:space="preserve">refined_maps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years_report))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(clc_for_year[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(years_report)]),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(refined_maps,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1311"/>
        <w:gridCol w:w="2561"/>
        <w:gridCol w:w="332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</w:tbl>
    <w:bookmarkEnd w:id="43"/>
    <w:bookmarkStart w:id="47" w:name="comparison-with-the-baseline"/>
    <w:p>
      <w:pPr>
        <w:pStyle w:val="Heading2"/>
      </w:pPr>
      <w:r>
        <w:t xml:space="preserve">Comparison with the baseline</w:t>
      </w:r>
    </w:p>
    <w:p>
      <w:pPr>
        <w:pStyle w:val="FirstParagraph"/>
      </w:pPr>
      <w:r>
        <w:t xml:space="preserve">Each country has one unit value, so inside a country the monetary map is the NAI map multiplied</w:t>
      </w:r>
      <w:r>
        <w:t xml:space="preserve"> </w:t>
      </w:r>
      <w:r>
        <w:t xml:space="preserve">by a constant. The comparison below therefore shows the same pattern of differences as in the</w:t>
      </w:r>
      <w:r>
        <w:t xml:space="preserve"> </w:t>
      </w:r>
      <w:r>
        <w:t xml:space="preserve">physical document, in money terms. The table gives the share of the value that sits in a different</w:t>
      </w:r>
      <w:r>
        <w:t xml:space="preserve"> </w:t>
      </w:r>
      <w:r>
        <w:t xml:space="preserve">10 km cell, and the correlation between the two maps.</w:t>
      </w:r>
    </w:p>
    <w:p>
      <w:pPr>
        <w:pStyle w:val="SourceCode"/>
      </w:pPr>
      <w:r>
        <w:rPr>
          <w:rStyle w:val="NormalTok"/>
        </w:rPr>
        <w:t xml:space="preserve">base_10km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refined_10km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(refined_maps,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Value moved (% of total)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(base_10km[[i]],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Value moved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Correlation of cells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(base_10km[[i]]),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(refined_10km[[i]]),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382"/>
        <w:gridCol w:w="2552"/>
        <w:gridCol w:w="19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moved (% of 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moved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Correlation of cells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1,732.42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1,369.11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795.60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</w:tbl>
    <w:p>
      <w:pPr>
        <w:pStyle w:val="FirstParagraph"/>
      </w:pPr>
      <w:r>
        <w:t xml:space="preserve">The map shows the difference in value (refined minus baseline) for 2018. Red cells gain value with the</w:t>
      </w:r>
      <w:r>
        <w:t xml:space="preserve"> </w:t>
      </w:r>
      <w:r>
        <w:t xml:space="preserve">refinement and blue cells lose it.</w:t>
      </w:r>
    </w:p>
    <w:p>
      <w:pPr>
        <w:pStyle w:val="SourceCode"/>
      </w:pPr>
      <w:r>
        <w:rPr>
          <w:rStyle w:val="NormalTok"/>
        </w:rPr>
        <w:t xml:space="preserve">diff_data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(refined_10km[[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(difference)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difference),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(diff_data)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(difference, diff_limit),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diff_limit)))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"#b2182b"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"Million euro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(2010 prices)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ndex_files/figure-docx/clc-difference-map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refined maps depend on a second dataset that was mapped independently of FAWS, so they are</w:t>
      </w:r>
      <w:r>
        <w:t xml:space="preserve"> </w:t>
      </w:r>
      <w:r>
        <w:t xml:space="preserve">offered as an option and the baseline remains the main result.</w:t>
      </w:r>
    </w:p>
    <w:p>
      <w:pPr>
        <w:pStyle w:val="SourceCode"/>
      </w:pP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comparison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"[^A-Za-z0-9]+"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x)),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"corine_refinement_value_comparison_with_baseline"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</w:p>
    <w:bookmarkEnd w:id="47"/>
    <w:bookmarkEnd w:id="48"/>
    <w:bookmarkStart w:id="49" w:name="exports"/>
    <w:p>
      <w:pPr>
        <w:pStyle w:val="Heading1"/>
      </w:pPr>
      <w:r>
        <w:t xml:space="preserve">Exports</w:t>
      </w:r>
    </w:p>
    <w:p>
      <w:pPr>
        <w:pStyle w:val="SourceCode"/>
      </w:pPr>
      <w:r>
        <w:rPr>
          <w:rStyle w:val="NormalTok"/>
        </w:rPr>
        <w:t xml:space="preserve">monetary_export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geo, year,</w:t>
      </w:r>
      <w:r>
        <w:br/>
      </w:r>
      <w:r>
        <w:rPr>
          <w:rStyle w:val="NormalTok"/>
        </w:rPr>
        <w:t xml:space="preserve">    nai_1000m3,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export_uv_eur_m3 =</w:t>
      </w:r>
      <w:r>
        <w:rPr>
          <w:rStyle w:val="NormalTok"/>
        </w:rPr>
        <w:t xml:space="preserve"> export_uv,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ratio_export_to_timber =</w:t>
      </w:r>
      <w:r>
        <w:rPr>
          <w:rStyle w:val="NormalTok"/>
        </w:rPr>
        <w:t xml:space="preserve"> ratio,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ratio_source =</w:t>
      </w:r>
      <w:r>
        <w:rPr>
          <w:rStyle w:val="NormalTok"/>
        </w:rPr>
        <w:t xml:space="preserve"> ratio_fill,</w:t>
      </w:r>
      <w:r>
        <w:br/>
      </w:r>
      <w:r>
        <w:rPr>
          <w:rStyle w:val="NormalTok"/>
        </w:rPr>
        <w:t xml:space="preserve">    unit_value_eur_m3,</w:t>
      </w:r>
      <w:r>
        <w:br/>
      </w:r>
      <w:r>
        <w:rPr>
          <w:rStyle w:val="NormalTok"/>
        </w:rPr>
        <w:t xml:space="preserve">    value_mio_eur_current,</w:t>
      </w:r>
      <w:r>
        <w:br/>
      </w:r>
      <w:r>
        <w:rPr>
          <w:rStyle w:val="NormalTok"/>
        </w:rPr>
        <w:t xml:space="preserve">    deflator,</w:t>
      </w:r>
      <w:r>
        <w:br/>
      </w:r>
      <w:r>
        <w:rPr>
          <w:rStyle w:val="NormalTok"/>
        </w:rPr>
        <w:t xml:space="preserve">    value_mio_eur_constant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(monetary_export, </w:t>
      </w:r>
      <w:r>
        <w:rPr>
          <w:rStyle w:val="StringTok"/>
        </w:rPr>
        <w:t xml:space="preserve">"wood_value_country_year"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value_report_years =</w:t>
      </w:r>
      <w:r>
        <w:rPr>
          <w:rStyle w:val="NormalTok"/>
        </w:rPr>
        <w:t xml:space="preserve"> monetary_export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deflator =</w:t>
      </w:r>
      <w:r>
        <w:rPr>
          <w:rStyle w:val="NormalTok"/>
        </w:rPr>
        <w:t xml:space="preserve"> deflator,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"base_year"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"country_years"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"deflator"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base_year,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(country_years),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(eu_years),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"HICP all items, EU27 (2020), annual average"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"wood_value_summary.xlsx"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49"/>
    <w:bookmarkStart w:id="50" w:name="downloads"/>
    <w:p>
      <w:pPr>
        <w:pStyle w:val="Heading1"/>
      </w:pPr>
      <w:r>
        <w:t xml:space="preserve">Downloads</w:t>
      </w:r>
    </w:p>
    <w:p>
      <w:pPr>
        <w:pStyle w:val="SourceCode"/>
      </w:pP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"wood_value_summary.xlsx"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 values, nominal and constant-price value by country and year, with the origin of the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"Reporting-year table, deflator and parameters"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 of NAI of FAWS in %s, million euro in 2010 prices per 1 km cell, EPSG:3035"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"corine_refinement_value_comparison_with_baseline.xlsx"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"Refinement: how far the refined value maps differ from the baseline maps,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"Refinement: value of NAI of FAWS in %s spread over FAWS and CLC forest, million euro in 2010 prices per 1 km cell"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"../../../data/outputs"</w:t>
      </w:r>
      <w:r>
        <w:rPr>
          <w:rStyle w:val="NormalTok"/>
        </w:rPr>
        <w:t xml:space="preserve">, Folder, File))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(downloads, </w:t>
      </w:r>
      <w:r>
        <w:rPr>
          <w:rStyle w:val="AttributeTok"/>
        </w:rPr>
        <w:t xml:space="preserve">col_keys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compose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as_paragraph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hyperlink_text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File,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Path))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fontsize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63"/>
        <w:gridCol w:w="991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wood_value_country_year.xlsx</w:t>
              </w:r>
            </w:hyperlink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 values, nominal and constant-price value by country and year, with the origin of the ratio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summa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wood_value_summary.xlsx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Reporting-year table, deflator and parameters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2000,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2006,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2012,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2018,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wood_value_constant_1km_2024.tif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2024,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value_comparison_with_baseline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corine_refinement_value_comparison_with_baseline.xlsx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how far the refined value maps differ from the baseline maps, by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2000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2006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2012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2018 spread over FAWS and CLC forest, million euro in 2010 prices per 1 km cell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corine_refinement_wood_value_constant_1km_2024.tif</w:t>
              </w:r>
            </w:hyperlink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2024 spread over FAWS and CLC forest, million euro in 2010 prices per 1 km cell</w:t>
            </w:r>
          </w:p>
        </w:tc>
      </w:tr>
    </w:tbl>
    <w:bookmarkEnd w:id="50"/>
    <w:bookmarkStart w:id="51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t xml:space="preserve">The unit value of timber is observed for few countries before 2012. In those years most of the</w:t>
      </w:r>
      <w:r>
        <w:t xml:space="preserve"> </w:t>
      </w:r>
      <w:r>
        <w:t xml:space="preserve">value comes from the export price divided by an average ratio, so the monetary series is better</w:t>
      </w:r>
      <w:r>
        <w:t xml:space="preserve"> </w:t>
      </w:r>
      <w:r>
        <w:t xml:space="preserve">read as an estimate than as a measurement.</w:t>
      </w:r>
    </w:p>
    <w:p>
      <w:pPr>
        <w:pStyle w:val="Compact"/>
        <w:numPr>
          <w:ilvl w:val="0"/>
          <w:numId w:val="1002"/>
        </w:numPr>
      </w:pPr>
      <w:r>
        <w:t xml:space="preserve">Roundwood export prices include harvesting and transport, whereas</w:t>
      </w:r>
      <w:r>
        <w:t xml:space="preserve"> </w:t>
      </w:r>
      <w:r>
        <w:rPr>
          <w:rStyle w:val="VerbatimChar"/>
        </w:rPr>
        <w:t xml:space="preserve">for_sup_cp</w:t>
      </w:r>
      <w:r>
        <w:t xml:space="preserve"> </w:t>
      </w:r>
      <w:r>
        <w:t xml:space="preserve">values standing</w:t>
      </w:r>
      <w:r>
        <w:t xml:space="preserve"> </w:t>
      </w:r>
      <w:r>
        <w:t xml:space="preserve">trees. The ratio between them is large (a median of several times), and it is the weakest link</w:t>
      </w:r>
      <w:r>
        <w:t xml:space="preserve"> </w:t>
      </w:r>
      <w:r>
        <w:t xml:space="preserve">of the method. It is inherited from the INCA approach.</w:t>
      </w:r>
    </w:p>
    <w:p>
      <w:pPr>
        <w:pStyle w:val="Compact"/>
        <w:numPr>
          <w:ilvl w:val="0"/>
          <w:numId w:val="1002"/>
        </w:numPr>
      </w:pPr>
      <w:r>
        <w:t xml:space="preserve">NAI of FAWS partly comes from total forest NAI (see the physical document), and the monetary</w:t>
      </w:r>
      <w:r>
        <w:t xml:space="preserve"> </w:t>
      </w:r>
      <w:r>
        <w:t xml:space="preserve">value inherits that. The sensitivity check of the physical document applies here proportionally.</w:t>
      </w:r>
    </w:p>
    <w:p>
      <w:pPr>
        <w:pStyle w:val="Compact"/>
        <w:numPr>
          <w:ilvl w:val="0"/>
          <w:numId w:val="1002"/>
        </w:numPr>
      </w:pPr>
      <w:r>
        <w:t xml:space="preserve">A single EU27 deflator is applied to all countries, as in the plugin.</w:t>
      </w:r>
    </w:p>
    <w:p>
      <w:pPr>
        <w:pStyle w:val="Compact"/>
        <w:numPr>
          <w:ilvl w:val="0"/>
          <w:numId w:val="1002"/>
        </w:numPr>
      </w:pPr>
      <w:r>
        <w:t xml:space="preserve">The baseline spatial key is a 2020 map, so maps of earlier years apply the 2020 pattern. The</w:t>
      </w:r>
      <w:r>
        <w:t xml:space="preserve"> </w:t>
      </w:r>
      <w:r>
        <w:t xml:space="preserve">Corine refinement adds change over time, with the limits discussed in the physical document.</w:t>
      </w:r>
    </w:p>
    <w:bookmarkEnd w:id="51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3" w:name="ref-eurostat2026hicp"/>
    <w:p>
      <w:pPr>
        <w:pStyle w:val="Bibliography"/>
      </w:pPr>
      <w:r>
        <w:t xml:space="preserve">Eurostat. (2026a).</w:t>
      </w:r>
      <w:r>
        <w:t xml:space="preserve"> </w:t>
      </w:r>
      <w:r>
        <w:rPr>
          <w:i/>
          <w:iCs/>
        </w:rPr>
        <w:t xml:space="preserve">HICP, annual data (average index and rate of change) [prc_hicp_aind]</w:t>
      </w:r>
      <w:r>
        <w:t xml:space="preserve">. Eurostat database. Retrieved from</w:t>
      </w:r>
      <w:r>
        <w:t xml:space="preserve"> </w:t>
      </w:r>
      <w:hyperlink r:id="rId52">
        <w:r>
          <w:rPr>
            <w:rStyle w:val="Hyperlink"/>
          </w:rPr>
          <w:t xml:space="preserve">https://ec.europa.eu/eurostat/databrowser/view/prc_hicp_aind</w:t>
        </w:r>
      </w:hyperlink>
    </w:p>
    <w:bookmarkEnd w:id="53"/>
    <w:bookmarkStart w:id="55" w:name="ref-eurostat2026forbasic"/>
    <w:p>
      <w:pPr>
        <w:pStyle w:val="Bibliography"/>
      </w:pPr>
      <w:r>
        <w:t xml:space="preserve">Eurostat. (2026b).</w:t>
      </w:r>
      <w:r>
        <w:t xml:space="preserve"> </w:t>
      </w:r>
      <w:r>
        <w:rPr>
          <w:i/>
          <w:iCs/>
        </w:rPr>
        <w:t xml:space="preserve">Roundwood, fuelwood and other basic products [for_basic]</w:t>
      </w:r>
      <w:r>
        <w:t xml:space="preserve">. Eurostat database. Retrieved from</w:t>
      </w:r>
      <w:r>
        <w:t xml:space="preserve"> </w:t>
      </w:r>
      <w:hyperlink r:id="rId54">
        <w:r>
          <w:rPr>
            <w:rStyle w:val="Hyperlink"/>
          </w:rPr>
          <w:t xml:space="preserve">https://ec.europa.eu/eurostat/databrowser/view/for_basic</w:t>
        </w:r>
      </w:hyperlink>
    </w:p>
    <w:bookmarkEnd w:id="55"/>
    <w:bookmarkStart w:id="57" w:name="ref-eurostat2026forsupcp"/>
    <w:p>
      <w:pPr>
        <w:pStyle w:val="Bibliography"/>
      </w:pPr>
      <w:r>
        <w:t xml:space="preserve">Eurostat. (2026c).</w:t>
      </w:r>
      <w:r>
        <w:t xml:space="preserve"> </w:t>
      </w:r>
      <w:r>
        <w:rPr>
          <w:i/>
          <w:iCs/>
        </w:rPr>
        <w:t xml:space="preserve">Supply and use of products within forestry [for_sup_cp]</w:t>
      </w:r>
      <w:r>
        <w:t xml:space="preserve">. Eurostat database. Retrieved from</w:t>
      </w:r>
      <w:r>
        <w:t xml:space="preserve"> </w:t>
      </w:r>
      <w:hyperlink r:id="rId56">
        <w:r>
          <w:rPr>
            <w:rStyle w:val="Hyperlink"/>
          </w:rPr>
          <w:t xml:space="preserve">https://ec.europa.eu/eurostat/databrowser/view/for_sup_cp</w:t>
        </w:r>
      </w:hyperlink>
    </w:p>
    <w:bookmarkEnd w:id="57"/>
    <w:bookmarkStart w:id="58" w:name="ref-lanotte2021"/>
    <w:p>
      <w:pPr>
        <w:pStyle w:val="Bibliography"/>
      </w:pPr>
      <w:r>
        <w:t xml:space="preserve">La Notte, A., Vallecillo, S., Garcia-Bendito, E., Grammatikopoulou, I., Czúcz, B., Ferrini, S., … Maes, J. (2021).</w:t>
      </w:r>
      <w:r>
        <w:t xml:space="preserve"> </w:t>
      </w:r>
      <w:r>
        <w:rPr>
          <w:i/>
          <w:iCs/>
        </w:rPr>
        <w:t xml:space="preserve">Ecosystem services accounting. Part III: Pilot accounts for habitat and species maintenance, on-site soil retention and water purification</w:t>
      </w:r>
      <w:r>
        <w:t xml:space="preserve"> </w:t>
      </w:r>
      <w:r>
        <w:t xml:space="preserve">(No. EUR 30856 EN, JRC126566). Publications Office of the European Union.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hyperlink" Id="rId9" Target="../wood-provision/" TargetMode="External" /><Relationship Type="http://schemas.openxmlformats.org/officeDocument/2006/relationships/hyperlink" Id="rId54" Target="https://ec.europa.eu/eurostat/databrowser/view/for_basic" TargetMode="External" /><Relationship Type="http://schemas.openxmlformats.org/officeDocument/2006/relationships/hyperlink" Id="rId56" Target="https://ec.europa.eu/eurostat/databrowser/view/for_sup_cp" TargetMode="External" /><Relationship Type="http://schemas.openxmlformats.org/officeDocument/2006/relationships/hyperlink" Id="rId52" Target="https://ec.europa.eu/eurostat/databrowser/view/prc_hicp_ain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od-provision/" TargetMode="External" /><Relationship Type="http://schemas.openxmlformats.org/officeDocument/2006/relationships/hyperlink" Id="rId54" Target="https://ec.europa.eu/eurostat/databrowser/view/for_basic" TargetMode="External" /><Relationship Type="http://schemas.openxmlformats.org/officeDocument/2006/relationships/hyperlink" Id="rId56" Target="https://ec.europa.eu/eurostat/databrowser/view/for_sup_cp" TargetMode="External" /><Relationship Type="http://schemas.openxmlformats.org/officeDocument/2006/relationships/hyperlink" Id="rId52" Target="https://ec.europa.eu/eurostat/databrowser/view/prc_hicp_ain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Wood Provision: Monetary Valuation</dc:title>
  <dc:creator/>
  <cp:keywords/>
  <dcterms:created xsi:type="dcterms:W3CDTF">2026-10-30T04:23:21Z</dcterms:created>
  <dcterms:modified xsi:type="dcterms:W3CDTF">2026-10-30T04:23:21Z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../wood-provision/wood-provision.bib</vt:lpwstr>
  </property>
  <property fmtid="{D5CDD505-2E9C-101B-9397-08002B2CF9AE}" pid="4" name="csl">
    <vt:lpwstr>../../../assets/apa-6th-edition.csl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Unit values, constant prices and spatially explicit monetary flow: annotated R processing routine</vt:lpwstr>
  </property>
  <property fmtid="{D5CDD505-2E9C-101B-9397-08002B2CF9AE}" pid="11" name="toc-title">
    <vt:lpwstr>Table of contents</vt:lpwstr>
  </property>
</Properties>
</file>