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46.png" ContentType="image/png"/>
  <Override PartName="/word/media/rId28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Wood Provision: Monetary Valuation</w:t>
      </w:r>
    </w:p>
    <w:p>
      <w:pPr>
        <w:pStyle w:val="Subtitle"/>
      </w:pPr>
      <w:r>
        <w:t xml:space="preserve">Unit values, constant prices and spatially explicit monetary flow: annotated R processing routine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page continues the wood provision update. The</w:t>
      </w:r>
      <w:r>
        <w:t xml:space="preserve"> </w:t>
      </w:r>
      <w:hyperlink r:id="rId9">
        <w:r>
          <w:rPr>
            <w:rStyle w:val="Hyperlink"/>
          </w:rPr>
          <w:t xml:space="preserve">physical accounts</w:t>
        </w:r>
      </w:hyperlink>
      <w:r>
        <w:t xml:space="preserve"> </w:t>
      </w:r>
      <w:r>
        <w:t xml:space="preserve">produced the net annual increment (NAI) of forest</w:t>
      </w:r>
      <w:r>
        <w:t xml:space="preserve"> </w:t>
      </w:r>
      <w:r>
        <w:t xml:space="preserve">available for wood supply (FAWS) by country and year, and mapped it. This page gives that flow a</w:t>
      </w:r>
      <w:r>
        <w:t xml:space="preserve"> </w:t>
      </w:r>
      <w:r>
        <w:t xml:space="preserve">monetary value, expresses it in constant prices and maps it.</w:t>
      </w:r>
    </w:p>
    <w:p>
      <w:pPr>
        <w:pStyle w:val="BodyText"/>
      </w:pPr>
      <w:r>
        <w:t xml:space="preserve">The method is the one of INCA Part III</w:t>
      </w:r>
      <w:r>
        <w:t xml:space="preserve"> </w:t>
      </w:r>
      <w:r>
        <w:t xml:space="preserve">(La Notte et al., 2021)</w:t>
      </w:r>
      <w:r>
        <w:t xml:space="preserve"> </w:t>
      </w:r>
      <w:r>
        <w:t xml:space="preserve">as implemented in the INCA plugin, so that</w:t>
      </w:r>
      <w:r>
        <w:t xml:space="preserve"> </w:t>
      </w:r>
      <w:r>
        <w:t xml:space="preserve">results are comparable with it. It needs three Eurostat inputs and one deflator.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Value of standing timber.</w:t>
      </w:r>
      <w:r>
        <w:t xml:space="preserve"> </w:t>
      </w:r>
      <w:r>
        <w:rPr>
          <w:rStyle w:val="VerbatimChar"/>
        </w:rPr>
        <w:t xml:space="preserve">for_sup_cp</w:t>
      </w:r>
      <w:r>
        <w:t xml:space="preserve"> </w:t>
      </w:r>
      <w:r>
        <w:t xml:space="preserve">reports the output of forest trees (</w:t>
      </w:r>
      <w:r>
        <w:rPr>
          <w:rStyle w:val="VerbatimChar"/>
        </w:rPr>
        <w:t xml:space="preserve">P1_TR</w:t>
      </w:r>
      <w:r>
        <w:t xml:space="preserve">) in</w:t>
      </w:r>
      <w:r>
        <w:t xml:space="preserve"> </w:t>
      </w:r>
      <w:r>
        <w:t xml:space="preserve">million euro</w:t>
      </w:r>
      <w:r>
        <w:t xml:space="preserve"> </w:t>
      </w:r>
      <w:r>
        <w:t xml:space="preserve">(Eurostat, 2026c)</w:t>
      </w:r>
      <w:r>
        <w:t xml:space="preserve">. Dividing it by NAI gives a unit value in euro per cubic metre.</w:t>
      </w:r>
      <w:r>
        <w:t xml:space="preserve"> </w:t>
      </w:r>
      <w:r>
        <w:t xml:space="preserve">It is reported by few countries in the early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value of roundwood exports.</w:t>
      </w:r>
      <w:r>
        <w:t xml:space="preserve"> </w:t>
      </w:r>
      <w:r>
        <w:rPr>
          <w:rStyle w:val="VerbatimChar"/>
        </w:rPr>
        <w:t xml:space="preserve">for_basic</w:t>
      </w:r>
      <w:r>
        <w:t xml:space="preserve"> </w:t>
      </w:r>
      <w:r>
        <w:t xml:space="preserve">reports export value and volume of roundwood</w:t>
      </w:r>
      <w:r>
        <w:t xml:space="preserve"> </w:t>
      </w:r>
      <w:r>
        <w:t xml:space="preserve">(Eurostat, 2026b)</w:t>
      </w:r>
      <w:r>
        <w:t xml:space="preserve">. It is reported by almost every country and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 between the two.</w:t>
      </w:r>
      <w:r>
        <w:t xml:space="preserve"> </w:t>
      </w:r>
      <w:r>
        <w:t xml:space="preserve">Where both unit values exist, their ratio links the well-covered</w:t>
      </w:r>
      <w:r>
        <w:t xml:space="preserve"> </w:t>
      </w:r>
      <w:r>
        <w:t xml:space="preserve">export price to the sparse timber price. The ratio is completed with averages and applied</w:t>
      </w:r>
      <w:r>
        <w:t xml:space="preserve"> </w:t>
      </w:r>
      <w:r>
        <w:t xml:space="preserve">backwards: unit value of NAI = export unit value / ratio.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Deflator.</w:t>
      </w:r>
      <w:r>
        <w:t xml:space="preserve"> </w:t>
      </w:r>
      <w:r>
        <w:t xml:space="preserve">The EU27 Harmonised Index of Consumer Prices (HICP) converts nominal values to</w:t>
      </w:r>
      <w:r>
        <w:t xml:space="preserve"> </w:t>
      </w:r>
      <w:r>
        <w:t xml:space="preserve">constant prices</w:t>
      </w:r>
      <w:r>
        <w:t xml:space="preserve"> </w:t>
      </w:r>
      <w:r>
        <w:t xml:space="preserve">(Eurostat, 2026a)</w:t>
      </w:r>
      <w:r>
        <w:t xml:space="preserve">.</w:t>
      </w:r>
    </w:p>
    <w:p>
      <w:pPr>
        <w:pStyle w:val="FirstParagraph"/>
      </w:pPr>
      <w:r>
        <w:t xml:space="preserve">The physical flow is not recomputed here. The page reads the tables that the physical accounts</w:t>
      </w:r>
      <w:r>
        <w:t xml:space="preserve"> </w:t>
      </w:r>
      <w:r>
        <w:t xml:space="preserve">exported to</w:t>
      </w:r>
      <w:r>
        <w:t xml:space="preserve"> </w:t>
      </w:r>
      <w:r>
        <w:rPr>
          <w:rStyle w:val="VerbatimChar"/>
        </w:rPr>
        <w:t xml:space="preserve">data/outputs/results/</w:t>
      </w:r>
      <w:r>
        <w:t xml:space="preserve">, so both documents stay consistent.</w:t>
      </w:r>
    </w:p>
    <w:bookmarkStart w:id="10" w:name="key-terms"/>
    <w:p>
      <w:pPr>
        <w:pStyle w:val="Heading2"/>
      </w:pPr>
      <w:r>
        <w:t xml:space="preserve">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 in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Monetary value of the service</w:t>
            </w:r>
          </w:p>
        </w:tc>
        <w:tc>
          <w:tcPr/>
          <w:p>
            <w:pPr>
              <w:pStyle w:val="Compact"/>
            </w:pPr>
            <w:r>
              <w:t xml:space="preserve">The value of the wood that the forest grows in a year, which is the net annual increment (NAI) times a price per cubic metre.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value</w:t>
            </w:r>
          </w:p>
        </w:tc>
        <w:tc>
          <w:tcPr/>
          <w:p>
            <w:pPr>
              <w:pStyle w:val="Compact"/>
            </w:pPr>
            <w:r>
              <w:t xml:space="preserve">A value divided by a volume, here euro per cubic metre.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timber</w:t>
            </w:r>
          </w:p>
        </w:tc>
        <w:tc>
          <w:tcPr/>
          <w:p>
            <w:pPr>
              <w:pStyle w:val="Compact"/>
            </w:pPr>
            <w:r>
              <w:t xml:space="preserve">Trees as they stand in the forest, before harvest. Its value is what the wood is worth before the costs of felling and transport.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of forest trees (</w:t>
            </w:r>
            <w:r>
              <w:rPr>
                <w:rStyle w:val="VerbatimChar"/>
              </w:rPr>
              <w:t xml:space="preserve">P1_TR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item of the Eurostat forestry accounts that records the value of standing timber produced in a 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Roundwood</w:t>
            </w:r>
          </w:p>
        </w:tc>
        <w:tc>
          <w:tcPr/>
          <w:p>
            <w:pPr>
              <w:pStyle w:val="Compact"/>
            </w:pPr>
            <w:r>
              <w:t xml:space="preserve">Felled and cut timber, not yet processed. Its export price includes harvesting and transport, so it is higher than the value of standing timber.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prices</w:t>
            </w:r>
          </w:p>
        </w:tc>
        <w:tc>
          <w:tcPr/>
          <w:p>
            <w:pPr>
              <w:pStyle w:val="Compact"/>
            </w:pPr>
            <w:r>
              <w:t xml:space="preserve">Values in the money of the year in which they occurred. Inflation makes them hard to compare across years.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 prices</w:t>
            </w:r>
          </w:p>
        </w:tc>
        <w:tc>
          <w:tcPr/>
          <w:p>
            <w:pPr>
              <w:pStyle w:val="Compact"/>
            </w:pPr>
            <w:r>
              <w:t xml:space="preserve">Values converted to the prices of one base year, so that changes over time reflect quantities and not inflation.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Deflator</w:t>
            </w:r>
          </w:p>
        </w:tc>
        <w:tc>
          <w:tcPr/>
          <w:p>
            <w:pPr>
              <w:pStyle w:val="Compact"/>
            </w:pPr>
            <w:r>
              <w:t xml:space="preserve">The factor that converts a current value to constant prices. It is the price index of the base year divided by the index of the year of the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HICP</w:t>
            </w:r>
          </w:p>
        </w:tc>
        <w:tc>
          <w:tcPr/>
          <w:p>
            <w:pPr>
              <w:pStyle w:val="Compact"/>
            </w:pPr>
            <w:r>
              <w:t xml:space="preserve">The Harmonised Index of Consumer Prices of Eurostat, used here as the general price index.</w:t>
            </w:r>
          </w:p>
        </w:tc>
      </w:tr>
    </w:tbl>
    <w:bookmarkEnd w:id="10"/>
    <w:bookmarkStart w:id="17" w:name="why-the-method-uses-two-prices"/>
    <w:p>
      <w:pPr>
        <w:pStyle w:val="Heading2"/>
      </w:pPr>
      <w:r>
        <w:t xml:space="preserve">Why the method uses two prices</w:t>
      </w:r>
    </w:p>
    <w:p>
      <w:pPr>
        <w:pStyle w:val="FirstParagraph"/>
      </w:pPr>
      <w:r>
        <w:t xml:space="preserve">The value of standing timber is the ideal price for the service, but countries rarely report it,</w:t>
      </w:r>
      <w:r>
        <w:t xml:space="preserve"> </w:t>
      </w:r>
      <w:r>
        <w:t xml:space="preserve">mainly before 2012. Roundwood export prices are reported by almost every country and year, but they</w:t>
      </w:r>
      <w:r>
        <w:t xml:space="preserve"> </w:t>
      </w:r>
      <w:r>
        <w:t xml:space="preserve">include the costs of harvesting and transport, so they are not the same thing. The method uses</w:t>
      </w:r>
      <w:r>
        <w:t xml:space="preserve"> </w:t>
      </w:r>
      <w:r>
        <w:t xml:space="preserve">the countries and years where both prices exist to measure how far apart the two are (the</w:t>
      </w:r>
      <w:r>
        <w:t xml:space="preserve"> </w:t>
      </w:r>
      <w:r>
        <w:t xml:space="preserve">ratio). It then turns the well-covered export price into an estimate of the timber price by dividing</w:t>
      </w:r>
      <w:r>
        <w:t xml:space="preserve"> </w:t>
      </w:r>
      <w:r>
        <w:t xml:space="preserve">by that ratio. In the years and countries with no timber price, the ratio is replaced by an</w:t>
      </w:r>
      <w:r>
        <w:t xml:space="preserve"> </w:t>
      </w:r>
      <w:r>
        <w:t xml:space="preserve">average, which is the weakest part of the method and is reported openly in the tables below.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Run the physical document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page reads</w:t>
            </w:r>
            <w:r>
              <w:t xml:space="preserve"> </w:t>
            </w:r>
            <w:r>
              <w:rPr>
                <w:rStyle w:val="VerbatimChar"/>
              </w:rPr>
              <w:t xml:space="preserve">data/outputs/results/wood_nai_faws_country_year.rds</w:t>
            </w:r>
            <w:r>
              <w:t xml:space="preserve"> </w:t>
            </w:r>
            <w:r>
              <w:t xml:space="preserve">and the 1 km FAWS shares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data/inputs/faws/</w:t>
            </w:r>
            <w:r>
              <w:t xml:space="preserve">. Both are committed to the repository, so nothing needs to be rerun unless</w:t>
            </w:r>
            <w:r>
              <w:t xml:space="preserve"> </w:t>
            </w:r>
            <w:r>
              <w:t xml:space="preserve">the physical series changes.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Constant prices use a single base year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base year is</w:t>
            </w:r>
            <w:r>
              <w:t xml:space="preserve"> </w:t>
            </w:r>
            <w:r>
              <w:rPr>
                <w:rStyle w:val="VerbatimChar"/>
              </w:rPr>
              <w:t xml:space="preserve">base_year</w:t>
            </w:r>
            <w:r>
              <w:t xml:space="preserve"> </w:t>
            </w:r>
            <w:r>
              <w:t xml:space="preserve">in the parameters chunk. It is set to 2010 so that this service shares one price level</w:t>
            </w:r>
            <w:r>
              <w:t xml:space="preserve"> </w:t>
            </w:r>
            <w:r>
              <w:t xml:space="preserve">with the other ecosystem service accounts and can be added to or compared with them (the INCA plugin</w:t>
            </w:r>
            <w:r>
              <w:t xml:space="preserve"> </w:t>
            </w:r>
            <w:r>
              <w:t xml:space="preserve">uses 2000). The choice of base year changes the level of the constant-price series but not its shape. Changing it does not touch the nominal</w:t>
            </w:r>
            <w:r>
              <w:t xml:space="preserve"> </w:t>
            </w:r>
            <w:r>
              <w:t xml:space="preserve">values, because the deflator is applied in one step at the end.</w:t>
            </w:r>
          </w:p>
          <w:p/>
        </w:tc>
      </w:tr>
    </w:tbl>
    <w:bookmarkEnd w:id="17"/>
    <w:bookmarkEnd w:id="18"/>
    <w:bookmarkStart w:id="22" w:name="preliminaries"/>
    <w:p>
      <w:pPr>
        <w:pStyle w:val="Heading1"/>
      </w:pPr>
      <w:r>
        <w:t xml:space="preserve">Preliminaries</w:t>
      </w:r>
    </w:p>
    <w:bookmarkStart w:id="19" w:name="packages-and-helper-functions"/>
    <w:p>
      <w:pPr>
        <w:pStyle w:val="Heading2"/>
      </w:pPr>
      <w:r>
        <w:t xml:space="preserve">Packages and helper functions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"scripts/helpers_wood.R"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"scripts/helpers_monetary.R"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"scripts/helpers_results.R"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bookmarkEnd w:id="19"/>
    <w:bookmarkStart w:id="20" w:name="parameters"/>
    <w:p>
      <w:pPr>
        <w:pStyle w:val="Heading2"/>
      </w:pPr>
      <w:r>
        <w:t xml:space="preserve">Parameters</w:t>
      </w:r>
    </w:p>
    <w:p>
      <w:pPr>
        <w:pStyle w:val="FirstParagraph"/>
      </w:pPr>
      <w:r>
        <w:t xml:space="preserve">A country with some observations is completed with its own average, because its price level is</w:t>
      </w:r>
      <w:r>
        <w:t xml:space="preserve"> </w:t>
      </w:r>
      <w:r>
        <w:t xml:space="preserve">the best guide to its missing years. A country with no observations at all is completed with the</w:t>
      </w:r>
      <w:r>
        <w:t xml:space="preserve"> </w:t>
      </w:r>
      <w:r>
        <w:t xml:space="preserve">EU average, taken over recent years, where coverage is better. The averages that complete the gaps</w:t>
      </w:r>
      <w:r>
        <w:t xml:space="preserve"> </w:t>
      </w:r>
      <w:r>
        <w:t xml:space="preserve">use the same windows as the INCA plugin: the country mean over the whole series, and the EU mean over</w:t>
      </w:r>
      <w:r>
        <w:t xml:space="preserve"> </w:t>
      </w:r>
      <w:r>
        <w:t xml:space="preserve">the more recent years. The</w:t>
      </w:r>
      <w:r>
        <w:t xml:space="preserve"> </w:t>
      </w:r>
      <w:r>
        <w:t xml:space="preserve">plugin stops at 2021 because of the data it had; the window here runs to 2023, the last year</w:t>
      </w:r>
      <w:r>
        <w:t xml:space="preserve"> </w:t>
      </w:r>
      <w:r>
        <w:t xml:space="preserve">with broad coverage.</w:t>
      </w:r>
    </w:p>
    <w:p>
      <w:pPr>
        <w:pStyle w:val="SourceCode"/>
      </w:pPr>
      <w:r>
        <w:rPr>
          <w:rStyle w:val="NormalTok"/>
        </w:rPr>
        <w:t xml:space="preserve">years_all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years_report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</w:t>
      </w:r>
      <w:r>
        <w:br/>
      </w:r>
      <w:r>
        <w:br/>
      </w:r>
      <w:r>
        <w:rPr>
          <w:rStyle w:val="CommentTok"/>
        </w:rPr>
        <w:t xml:space="preserve"># Windows for the averages that fill gaps</w:t>
      </w:r>
      <w:r>
        <w:br/>
      </w:r>
      <w:r>
        <w:rPr>
          <w:rStyle w:val="NormalTok"/>
        </w:rPr>
        <w:t xml:space="preserve">country_years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2023</w:t>
      </w:r>
      <w:r>
        <w:br/>
      </w:r>
      <w:r>
        <w:rPr>
          <w:rStyle w:val="NormalTok"/>
        </w:rPr>
        <w:t xml:space="preserve">eu_years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2023</w:t>
      </w:r>
      <w:r>
        <w:br/>
      </w:r>
      <w:r>
        <w:br/>
      </w:r>
      <w:r>
        <w:rPr>
          <w:rStyle w:val="CommentTok"/>
        </w:rPr>
        <w:t xml:space="preserve"># Inputs</w:t>
      </w:r>
      <w:r>
        <w:br/>
      </w:r>
      <w:r>
        <w:rPr>
          <w:rStyle w:val="NormalTok"/>
        </w:rPr>
        <w:t xml:space="preserve">nai_file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"data/outputs/results/wood_nai_faws_country_year.rds"</w:t>
      </w:r>
      <w:r>
        <w:br/>
      </w:r>
      <w:r>
        <w:rPr>
          <w:rStyle w:val="NormalTok"/>
        </w:rPr>
        <w:t xml:space="preserve">overuse_file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"data/outputs/results/wood_overuse_country_year.rds"</w:t>
      </w:r>
      <w:r>
        <w:br/>
      </w:r>
      <w:r>
        <w:rPr>
          <w:rStyle w:val="NormalTok"/>
        </w:rPr>
        <w:t xml:space="preserve">nuts_weights_file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"data/inputs/faws/faws_weight_by_nuts.rds"</w:t>
      </w:r>
      <w:r>
        <w:br/>
      </w:r>
      <w:r>
        <w:rPr>
          <w:rStyle w:val="NormalTok"/>
        </w:rPr>
        <w:t xml:space="preserve">sup_file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"data/inputs/eurostat/for_sup_cp_p1tr.rds"</w:t>
      </w:r>
      <w:r>
        <w:br/>
      </w:r>
      <w:r>
        <w:rPr>
          <w:rStyle w:val="NormalTok"/>
        </w:rPr>
        <w:t xml:space="preserve">basic_file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"data/inputs/eurostat/for_basic_rw_exports.rds"</w:t>
      </w:r>
      <w:r>
        <w:br/>
      </w:r>
      <w:r>
        <w:rPr>
          <w:rStyle w:val="NormalTok"/>
        </w:rPr>
        <w:t xml:space="preserve">hicp_file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"data/inputs/eurostat/hicp_eu27.rds"</w:t>
      </w:r>
      <w:r>
        <w:br/>
      </w:r>
      <w:r>
        <w:rPr>
          <w:rStyle w:val="NormalTok"/>
        </w:rPr>
        <w:t xml:space="preserve">countries_file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"data/inputs/gis/NUTS_RG_01M_2024_3035_LEVL0.gpkg"</w:t>
      </w:r>
      <w:r>
        <w:br/>
      </w:r>
      <w:r>
        <w:rPr>
          <w:rStyle w:val="NormalTok"/>
        </w:rPr>
        <w:t xml:space="preserve">faws_share_file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"data/inputs/faws/FAWS_2020_EU27_1km.tif"</w:t>
      </w:r>
      <w:r>
        <w:br/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NormalTok"/>
        </w:rPr>
        <w:t xml:space="preserve">results_dir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"data/outputs/results"</w:t>
      </w:r>
      <w:r>
        <w:br/>
      </w:r>
      <w:r>
        <w:rPr>
          <w:rStyle w:val="NormalTok"/>
        </w:rPr>
        <w:t xml:space="preserve">gis_dir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"data/outputs/gis"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(results_dir,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(gis_dir,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0"/>
    <w:bookmarkStart w:id="21" w:name="preparing-the-eurostat-inputs"/>
    <w:p>
      <w:pPr>
        <w:pStyle w:val="Heading2"/>
      </w:pPr>
      <w:r>
        <w:t xml:space="preserve">Preparing the Eurostat inputs</w:t>
      </w:r>
    </w:p>
    <w:p>
      <w:pPr>
        <w:pStyle w:val="FirstParagraph"/>
      </w:pPr>
      <w:r>
        <w:t xml:space="preserve">The script</w:t>
      </w:r>
      <w:r>
        <w:t xml:space="preserve"> </w:t>
      </w:r>
      <w:r>
        <w:rPr>
          <w:rStyle w:val="VerbatimChar"/>
        </w:rPr>
        <w:t xml:space="preserve">scripts/04_download_eurostat_monetary.R</w:t>
      </w:r>
      <w:r>
        <w:t xml:space="preserve"> </w:t>
      </w:r>
      <w:r>
        <w:t xml:space="preserve">downloads the three Eurostat extracts and</w:t>
      </w:r>
      <w:r>
        <w:t xml:space="preserve"> </w:t>
      </w:r>
      <w:r>
        <w:t xml:space="preserve">saves compact files in</w:t>
      </w:r>
      <w:r>
        <w:t xml:space="preserve"> </w:t>
      </w:r>
      <w:r>
        <w:rPr>
          <w:rStyle w:val="VerbatimChar"/>
        </w:rPr>
        <w:t xml:space="preserve">data/inputs/eurostat/</w:t>
      </w:r>
      <w:r>
        <w:t xml:space="preserve">. It is run once and needs internet access.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"scripts/04_download_eurostat_monetary.R"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bookmarkEnd w:id="21"/>
    <w:bookmarkEnd w:id="22"/>
    <w:bookmarkStart w:id="24" w:name="loading-the-inputs"/>
    <w:p>
      <w:pPr>
        <w:pStyle w:val="Heading1"/>
      </w:pPr>
      <w:r>
        <w:t xml:space="preserve">Loading the inputs</w:t>
      </w:r>
    </w:p>
    <w:p>
      <w:pPr>
        <w:pStyle w:val="FirstParagraph"/>
      </w:pPr>
      <w:r>
        <w:t xml:space="preserve">All series are placed on a complete grid of the 27 member states and the years 2000 to 2024, so</w:t>
      </w:r>
      <w:r>
        <w:t xml:space="preserve"> </w:t>
      </w:r>
      <w:r>
        <w:t xml:space="preserve">that every missing value is visible as a missing cell.</w:t>
      </w:r>
    </w:p>
    <w:p>
      <w:pPr>
        <w:pStyle w:val="SourceCode"/>
      </w:pP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(countries_file,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eu27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geo[countries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eu27]</w:t>
      </w:r>
      <w:r>
        <w:br/>
      </w:r>
      <w:r>
        <w:br/>
      </w:r>
      <w:r>
        <w:rPr>
          <w:rStyle w:val="NormalTok"/>
        </w:rPr>
        <w:t xml:space="preserve">nai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(nai_file)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on_grid</w:t>
      </w:r>
      <w:r>
        <w:rPr>
          <w:rStyle w:val="NormalTok"/>
        </w:rPr>
        <w:t xml:space="preserve">(eu27, years_all, </w:t>
      </w:r>
      <w:r>
        <w:rPr>
          <w:rStyle w:val="StringTok"/>
        </w:rPr>
        <w:t xml:space="preserve">"nai_faws_1000m3"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timber_value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(sup_file)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on_grid</w:t>
      </w:r>
      <w:r>
        <w:rPr>
          <w:rStyle w:val="NormalTok"/>
        </w:rPr>
        <w:t xml:space="preserve">(eu27, years_all, </w:t>
      </w:r>
      <w:r>
        <w:rPr>
          <w:rStyle w:val="StringTok"/>
        </w:rPr>
        <w:t xml:space="preserve">"value_mio_eur"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exports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(basic_file)</w:t>
      </w:r>
      <w:r>
        <w:br/>
      </w:r>
      <w:r>
        <w:br/>
      </w:r>
      <w:r>
        <w:rPr>
          <w:rStyle w:val="NormalTok"/>
        </w:rPr>
        <w:t xml:space="preserve">hicp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(hicp_file)</w:t>
      </w:r>
    </w:p>
    <w:bookmarkStart w:id="23" w:name="how-much-was-reported"/>
    <w:p>
      <w:pPr>
        <w:pStyle w:val="Heading2"/>
      </w:pPr>
      <w:r>
        <w:t xml:space="preserve">How much was reported</w:t>
      </w:r>
    </w:p>
    <w:p>
      <w:pPr>
        <w:pStyle w:val="SourceCode"/>
      </w:pP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years_report,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Timber value (for_sup_cp)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(years_report, \(y)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(timber_value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value[timber_value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y]))),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Export value and volume (for_basic)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(years_report, \(y)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(exports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exports_ths_eur[exports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exports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exports_ths_m3[exports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1"/>
        <w:gridCol w:w="2512"/>
        <w:gridCol w:w="3292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Timber value (for_sup_cp)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Export value and volume (for_basic)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</w:tr>
    </w:tbl>
    <w:p>
      <w:pPr>
        <w:pStyle w:val="FirstParagraph"/>
      </w:pPr>
      <w:r>
        <w:t xml:space="preserve">The table counts member states out of 27. Timber value is reported by only a few countries in 2000</w:t>
      </w:r>
      <w:r>
        <w:t xml:space="preserve"> </w:t>
      </w:r>
      <w:r>
        <w:t xml:space="preserve">and 2006, and by almost all of them from 2012 on, so the method has to lean on the export price</w:t>
      </w:r>
      <w:r>
        <w:t xml:space="preserve"> </w:t>
      </w:r>
      <w:r>
        <w:t xml:space="preserve">in the early years.</w:t>
      </w:r>
    </w:p>
    <w:bookmarkEnd w:id="23"/>
    <w:bookmarkEnd w:id="24"/>
    <w:bookmarkStart w:id="32" w:name="unit-values"/>
    <w:p>
      <w:pPr>
        <w:pStyle w:val="Heading1"/>
      </w:pPr>
      <w:r>
        <w:t xml:space="preserve">Unit values</w:t>
      </w:r>
    </w:p>
    <w:bookmarkStart w:id="25" w:name="unit-value-of-nai"/>
    <w:p>
      <w:pPr>
        <w:pStyle w:val="Heading2"/>
      </w:pPr>
      <w:r>
        <w:t xml:space="preserve">Unit value of NAI</w:t>
      </w:r>
    </w:p>
    <w:p>
      <w:pPr>
        <w:pStyle w:val="FirstParagraph"/>
      </w:pPr>
      <w:r>
        <w:t xml:space="preserve">The timber value is divided by NAI, and the unit is converted from million euro per thousand cubic</w:t>
      </w:r>
      <w:r>
        <w:t xml:space="preserve"> </w:t>
      </w:r>
      <w:r>
        <w:t xml:space="preserve">metres to euro per cubic metre. A country-year without NAI gets no unit value.</w:t>
      </w:r>
    </w:p>
    <w:p>
      <w:pPr>
        <w:pStyle w:val="SourceCode"/>
      </w:pPr>
      <w:r>
        <w:rPr>
          <w:rStyle w:val="NormalTok"/>
        </w:rPr>
        <w:t xml:space="preserve">unit_value_nai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nai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(timber_value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timber =</w:t>
      </w:r>
      <w:r>
        <w:rPr>
          <w:rStyle w:val="NormalTok"/>
        </w:rPr>
        <w:t xml:space="preserve"> value),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(nai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timber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nai,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year, value)</w:t>
      </w:r>
    </w:p>
    <w:bookmarkEnd w:id="25"/>
    <w:bookmarkStart w:id="26" w:name="unit-value-of-roundwood-exports"/>
    <w:p>
      <w:pPr>
        <w:pStyle w:val="Heading2"/>
      </w:pPr>
      <w:r>
        <w:t xml:space="preserve">Unit value of roundwood exports</w:t>
      </w:r>
    </w:p>
    <w:p>
      <w:pPr>
        <w:pStyle w:val="FirstParagraph"/>
      </w:pPr>
      <w:r>
        <w:t xml:space="preserve">Export value (thousand euro) divided by export volume (thousand cubic metres) gives euro per cubic</w:t>
      </w:r>
      <w:r>
        <w:t xml:space="preserve"> </w:t>
      </w:r>
      <w:r>
        <w:t xml:space="preserve">metre. Gaps are filled with the country mean, or with the EU mean when a country never reports.</w:t>
      </w:r>
    </w:p>
    <w:p>
      <w:pPr>
        <w:pStyle w:val="SourceCode"/>
      </w:pPr>
      <w:r>
        <w:rPr>
          <w:rStyle w:val="NormalTok"/>
        </w:rPr>
        <w:t xml:space="preserve">unit_value_exports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exports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(exports_ths_m3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exports_ths_eur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exports_ths_m3,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on_grid</w:t>
      </w:r>
      <w:r>
        <w:rPr>
          <w:rStyle w:val="NormalTok"/>
        </w:rPr>
        <w:t xml:space="preserve">(eu27, years_all,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unit_value_exports_filled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fill_with_means</w:t>
      </w:r>
      <w:r>
        <w:rPr>
          <w:rStyle w:val="NormalTok"/>
        </w:rPr>
        <w:t xml:space="preserve">(unit_value_exports, country_years, eu_years)</w:t>
      </w:r>
    </w:p>
    <w:bookmarkEnd w:id="26"/>
    <w:bookmarkStart w:id="27" w:name="ratio-of-export-price-to-timber-price"/>
    <w:p>
      <w:pPr>
        <w:pStyle w:val="Heading2"/>
      </w:pPr>
      <w:r>
        <w:t xml:space="preserve">Ratio of export price to timber price</w:t>
      </w:r>
    </w:p>
    <w:p>
      <w:pPr>
        <w:pStyle w:val="FirstParagraph"/>
      </w:pPr>
      <w:r>
        <w:t xml:space="preserve">The ratio is the export unit value divided by the timber unit value. A ratio of 3 means that</w:t>
      </w:r>
      <w:r>
        <w:t xml:space="preserve"> </w:t>
      </w:r>
      <w:r>
        <w:t xml:space="preserve">roundwood sells for three times the value of the same wood standing. It is computed from the</w:t>
      </w:r>
      <w:r>
        <w:t xml:space="preserve"> </w:t>
      </w:r>
      <w:r>
        <w:t xml:space="preserve">reported values only, before any filling, because a ratio built from filled values would contain</w:t>
      </w:r>
      <w:r>
        <w:t xml:space="preserve"> </w:t>
      </w:r>
      <w:r>
        <w:t xml:space="preserve">no new information. Infinite values, which come from a zero timber value, are treated as missing.</w:t>
      </w:r>
      <w:r>
        <w:t xml:space="preserve"> </w:t>
      </w:r>
      <w:r>
        <w:t xml:space="preserve">The gaps are then filled with the same averages.</w:t>
      </w:r>
    </w:p>
    <w:p>
      <w:pPr>
        <w:pStyle w:val="SourceCode"/>
      </w:pPr>
      <w:r>
        <w:rPr>
          <w:rStyle w:val="NormalTok"/>
        </w:rPr>
        <w:t xml:space="preserve">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unit_value_exports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exports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(unit_value_nai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nai_uv =</w:t>
      </w:r>
      <w:r>
        <w:rPr>
          <w:rStyle w:val="NormalTok"/>
        </w:rPr>
        <w:t xml:space="preserve"> value),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exports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nai_uv,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(value), value,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year, value)</w:t>
      </w:r>
      <w:r>
        <w:br/>
      </w:r>
      <w:r>
        <w:br/>
      </w:r>
      <w:r>
        <w:rPr>
          <w:rStyle w:val="NormalTok"/>
        </w:rPr>
        <w:t xml:space="preserve">ratio_filled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fill_with_means</w:t>
      </w:r>
      <w:r>
        <w:rPr>
          <w:rStyle w:val="NormalTok"/>
        </w:rPr>
        <w:t xml:space="preserve">(ratio, country_years, eu_years)</w:t>
      </w:r>
    </w:p>
    <w:p>
      <w:pPr>
        <w:pStyle w:val="FirstParagraph"/>
      </w:pPr>
      <w:r>
        <w:t xml:space="preserve">The share of the 27 ratios that are observed in each reporting year shows how much of the result</w:t>
      </w:r>
      <w:r>
        <w:t xml:space="preserve"> </w:t>
      </w:r>
      <w:r>
        <w:t xml:space="preserve">rests on averages.</w:t>
      </w:r>
    </w:p>
    <w:p>
      <w:pPr>
        <w:pStyle w:val="SourceCode"/>
      </w:pPr>
      <w:r>
        <w:rPr>
          <w:rStyle w:val="NormalTok"/>
        </w:rPr>
        <w:t xml:space="preserve">ratio_filled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fill)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fill,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1551"/>
        <w:gridCol w:w="1161"/>
        <w:gridCol w:w="115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</w:tbl>
    <w:bookmarkEnd w:id="27"/>
    <w:bookmarkStart w:id="31" w:name="completed-unit-value-of-nai"/>
    <w:p>
      <w:pPr>
        <w:pStyle w:val="Heading2"/>
      </w:pPr>
      <w:r>
        <w:t xml:space="preserve">Completed unit value of NAI</w:t>
      </w:r>
    </w:p>
    <w:p>
      <w:pPr>
        <w:pStyle w:val="FirstParagraph"/>
      </w:pPr>
      <w:r>
        <w:t xml:space="preserve">The completed unit value divides the export unit value by the ratio. Where the ratio is observed,</w:t>
      </w:r>
      <w:r>
        <w:t xml:space="preserve"> </w:t>
      </w:r>
      <w:r>
        <w:t xml:space="preserve">this returns the observed timber unit value.</w:t>
      </w:r>
    </w:p>
    <w:p>
      <w:pPr>
        <w:pStyle w:val="SourceCode"/>
      </w:pPr>
      <w:r>
        <w:rPr>
          <w:rStyle w:val="NormalTok"/>
        </w:rPr>
        <w:t xml:space="preserve">unit_value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unit_value_exports_filled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year, </w:t>
      </w:r>
      <w:r>
        <w:rPr>
          <w:rStyle w:val="AttributeTok"/>
        </w:rPr>
        <w:t xml:space="preserve">export_uv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ratio_filled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year, </w:t>
      </w:r>
      <w:r>
        <w:rPr>
          <w:rStyle w:val="AttributeTok"/>
        </w:rPr>
        <w:t xml:space="preserve">ratio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ratio_fill =</w:t>
      </w:r>
      <w:r>
        <w:rPr>
          <w:rStyle w:val="NormalTok"/>
        </w:rPr>
        <w:t xml:space="preserve"> fill),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unit_value_eur_m3 =</w:t>
      </w:r>
      <w:r>
        <w:rPr>
          <w:rStyle w:val="NormalTok"/>
        </w:rPr>
        <w:t xml:space="preserve"> export_uv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ratio)</w:t>
      </w:r>
    </w:p>
    <w:p>
      <w:pPr>
        <w:pStyle w:val="FirstParagraph"/>
      </w:pPr>
      <w:r>
        <w:t xml:space="preserve">The chart shows the completed unit value for every country in the reporting years. A few countries</w:t>
      </w:r>
      <w:r>
        <w:t xml:space="preserve"> </w:t>
      </w:r>
      <w:r>
        <w:t xml:space="preserve">sit far above the rest, and they are the ones whose ratio comes from the average of a small</w:t>
      </w:r>
      <w:r>
        <w:t xml:space="preserve"> </w:t>
      </w:r>
      <w:r>
        <w:t xml:space="preserve">number of observations.</w:t>
      </w:r>
    </w:p>
    <w:p>
      <w:pPr>
        <w:pStyle w:val="SourceCode"/>
      </w:pPr>
      <w:r>
        <w:rPr>
          <w:rStyle w:val="NormalTok"/>
        </w:rPr>
        <w:t xml:space="preserve">unit_value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(geo, unit_value_eur_m3,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median))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unit_value_eur_m3,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geo,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ratio_fill))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 value of NAI (euro per m3, current prices)"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1486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ndex_files/figure-docx/unit-value-char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Start w:id="36" w:name="monetary-flow"/>
    <w:p>
      <w:pPr>
        <w:pStyle w:val="Heading1"/>
      </w:pPr>
      <w:r>
        <w:t xml:space="preserve">Monetary flow</w:t>
      </w:r>
    </w:p>
    <w:bookmarkStart w:id="33" w:name="nominal-value"/>
    <w:p>
      <w:pPr>
        <w:pStyle w:val="Heading2"/>
      </w:pPr>
      <w:r>
        <w:t xml:space="preserve">Nominal value</w:t>
      </w:r>
    </w:p>
    <w:p>
      <w:pPr>
        <w:pStyle w:val="FirstParagraph"/>
      </w:pPr>
      <w:r>
        <w:t xml:space="preserve">The monetary flow is NAI times the completed unit value, in million euro at current prices.</w:t>
      </w:r>
    </w:p>
    <w:p>
      <w:pPr>
        <w:pStyle w:val="SourceCode"/>
      </w:pPr>
      <w:r>
        <w:rPr>
          <w:rStyle w:val="NormalTok"/>
        </w:rPr>
        <w:t xml:space="preserve">monetary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nai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nai_1000m3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(unit_value,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value_mio_eur_current =</w:t>
      </w:r>
      <w:r>
        <w:rPr>
          <w:rStyle w:val="NormalTok"/>
        </w:rPr>
        <w:t xml:space="preserve"> nai_1000m3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unit_value_eur_m3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bookmarkEnd w:id="33"/>
    <w:bookmarkStart w:id="34" w:name="constant-prices"/>
    <w:p>
      <w:pPr>
        <w:pStyle w:val="Heading2"/>
      </w:pPr>
      <w:r>
        <w:t xml:space="preserve">Constant prices</w:t>
      </w:r>
    </w:p>
    <w:p>
      <w:pPr>
        <w:pStyle w:val="FirstParagraph"/>
      </w:pPr>
      <w:r>
        <w:t xml:space="preserve">Prices rose between 2000 and 2024, so a euro in 2024 buys less than a euro in 2010. To compare</w:t>
      </w:r>
      <w:r>
        <w:t xml:space="preserve"> </w:t>
      </w:r>
      <w:r>
        <w:t xml:space="preserve">years, the HICP index is rebased so that the base year equals 1, and each nominal value is</w:t>
      </w:r>
      <w:r>
        <w:t xml:space="preserve"> </w:t>
      </w:r>
      <w:r>
        <w:t xml:space="preserve">multiplied by the deflator of its year. Deflators are above 1 before the base year, where prices were</w:t>
      </w:r>
      <w:r>
        <w:t xml:space="preserve"> </w:t>
      </w:r>
      <w:r>
        <w:t xml:space="preserve">lower, and below 1 after it. The result is in million euro of the base year. The same index is used</w:t>
      </w:r>
      <w:r>
        <w:t xml:space="preserve"> </w:t>
      </w:r>
      <w:r>
        <w:t xml:space="preserve">for all countries, because the question is how the general price level moved and not how timber</w:t>
      </w:r>
      <w:r>
        <w:t xml:space="preserve"> </w:t>
      </w:r>
      <w:r>
        <w:t xml:space="preserve">prices moved.</w:t>
      </w:r>
    </w:p>
    <w:p>
      <w:pPr>
        <w:pStyle w:val="SourceCode"/>
      </w:pPr>
      <w:r>
        <w:rPr>
          <w:rStyle w:val="NormalTok"/>
        </w:rPr>
        <w:t xml:space="preserve">deflator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make_deflator</w:t>
      </w:r>
      <w:r>
        <w:rPr>
          <w:rStyle w:val="NormalTok"/>
        </w:rPr>
        <w:t xml:space="preserve">(hicp, </w:t>
      </w:r>
      <w:r>
        <w:rPr>
          <w:rStyle w:val="StringTok"/>
        </w:rPr>
        <w:t xml:space="preserve">"hicp_2015"</w:t>
      </w:r>
      <w:r>
        <w:rPr>
          <w:rStyle w:val="NormalTok"/>
        </w:rPr>
        <w:t xml:space="preserve">, base_year)</w:t>
      </w:r>
      <w:r>
        <w:br/>
      </w:r>
      <w:r>
        <w:br/>
      </w:r>
      <w:r>
        <w:rPr>
          <w:rStyle w:val="NormalTok"/>
        </w:rPr>
        <w:t xml:space="preserve">monetary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monetary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(deflator,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value_mio_eur_constant =</w:t>
      </w:r>
      <w:r>
        <w:rPr>
          <w:rStyle w:val="NormalTok"/>
        </w:rPr>
        <w:t xml:space="preserve"> value_mio_eur_current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deflator)</w:t>
      </w:r>
    </w:p>
    <w:p>
      <w:pPr>
        <w:pStyle w:val="SourceCode"/>
      </w:pPr>
      <w:r>
        <w:rPr>
          <w:rStyle w:val="NormalTok"/>
        </w:rPr>
        <w:t xml:space="preserve">deflator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Deflator (base year =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deflator)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2307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Deflator (base year = 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</w:tr>
    </w:tbl>
    <w:bookmarkEnd w:id="34"/>
    <w:bookmarkStart w:id="35" w:name="eu-totals"/>
    <w:p>
      <w:pPr>
        <w:pStyle w:val="Heading2"/>
      </w:pPr>
      <w:r>
        <w:t xml:space="preserve">EU totals</w:t>
      </w:r>
    </w:p>
    <w:p>
      <w:pPr>
        <w:pStyle w:val="FirstParagraph"/>
      </w:pPr>
      <w:r>
        <w:t xml:space="preserve">The table sums the 27 countries in the reporting years. For comparison, INCA Part III reports an EU</w:t>
      </w:r>
      <w:r>
        <w:t xml:space="preserve"> </w:t>
      </w:r>
      <w:r>
        <w:t xml:space="preserve">total of 23,745 million euro for 2000</w:t>
      </w:r>
      <w:r>
        <w:t xml:space="preserve"> </w:t>
      </w:r>
      <w:r>
        <w:t xml:space="preserve">(La Notte et al., 2021)</w:t>
      </w:r>
      <w:r>
        <w:t xml:space="preserve">. That figure uses a different country set</w:t>
      </w:r>
      <w:r>
        <w:t xml:space="preserve"> </w:t>
      </w:r>
      <w:r>
        <w:t xml:space="preserve">and vintage of the data, so the comparison is a check of order of magnitude.</w:t>
      </w:r>
    </w:p>
    <w:p>
      <w:pPr>
        <w:pStyle w:val="SourceCode"/>
      </w:pPr>
      <w:r>
        <w:rPr>
          <w:rStyle w:val="NormalTok"/>
        </w:rPr>
        <w:t xml:space="preserve">monetary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NAI (million m3)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(nai_1000m3)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Current prices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(value_mio_eur_current),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Constant prices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(value_mio_eur_constant),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year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1"/>
        <w:gridCol w:w="1691"/>
        <w:gridCol w:w="2631"/>
        <w:gridCol w:w="2752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 (million m3)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Current prices (million euro)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 prices (million euro)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17,822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22,672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19,342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16,919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14,798</w:t>
            </w:r>
          </w:p>
        </w:tc>
      </w:tr>
    </w:tbl>
    <w:bookmarkEnd w:id="35"/>
    <w:bookmarkEnd w:id="36"/>
    <w:bookmarkStart w:id="42" w:name="spatial-component"/>
    <w:p>
      <w:pPr>
        <w:pStyle w:val="Heading1"/>
      </w:pPr>
      <w:r>
        <w:t xml:space="preserve">Spatial component</w:t>
      </w:r>
    </w:p>
    <w:p>
      <w:pPr>
        <w:pStyle w:val="FirstParagraph"/>
      </w:pPr>
      <w:r>
        <w:t xml:space="preserve">The monetary flow is spread with the spatial key of the physical document: inside each country,</w:t>
      </w:r>
      <w:r>
        <w:t xml:space="preserve"> </w:t>
      </w:r>
      <w:r>
        <w:t xml:space="preserve">in proportion to the share of every 1 km cell that is FAWS. Every cell of a country therefore has</w:t>
      </w:r>
      <w:r>
        <w:t xml:space="preserve"> </w:t>
      </w:r>
      <w:r>
        <w:t xml:space="preserve">the same unit value, and the pattern of the monetary map is the pattern of the NAI map.</w:t>
      </w:r>
    </w:p>
    <w:p>
      <w:pPr>
        <w:pStyle w:val="SourceCode"/>
      </w:pPr>
      <w:r>
        <w:rPr>
          <w:rStyle w:val="NormalTok"/>
        </w:rPr>
        <w:t xml:space="preserve">faws_share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(faws_share_file)</w:t>
      </w:r>
      <w:r>
        <w:br/>
      </w:r>
      <w:r>
        <w:rPr>
          <w:rStyle w:val="NormalTok"/>
        </w:rPr>
        <w:t xml:space="preserve">eu_countries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(countries_file)</w:t>
      </w:r>
      <w:r>
        <w:br/>
      </w:r>
      <w:r>
        <w:rPr>
          <w:rStyle w:val="NormalTok"/>
        </w:rPr>
        <w:t xml:space="preserve">eu_countries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eu_countries[eu_countries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eu27, ]</w:t>
      </w:r>
      <w:r>
        <w:br/>
      </w:r>
      <w:r>
        <w:br/>
      </w:r>
      <w:r>
        <w:rPr>
          <w:rStyle w:val="NormalTok"/>
        </w:rPr>
        <w:t xml:space="preserve">country_ids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make_country_ids</w:t>
      </w:r>
      <w:r>
        <w:rPr>
          <w:rStyle w:val="NormalTok"/>
        </w:rPr>
        <w:t xml:space="preserve">(eu_countries, faws_share)</w:t>
      </w:r>
      <w:r>
        <w:br/>
      </w:r>
      <w:r>
        <w:rPr>
          <w:rStyle w:val="NormalTok"/>
        </w:rPr>
        <w:t xml:space="preserve">weight_sums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country_weight_sums</w:t>
      </w:r>
      <w:r>
        <w:rPr>
          <w:rStyle w:val="NormalTok"/>
        </w:rPr>
        <w:t xml:space="preserve">(faws_share, country_ids)</w:t>
      </w:r>
    </w:p>
    <w:p>
      <w:pPr>
        <w:pStyle w:val="FirstParagraph"/>
      </w:pPr>
      <w:r>
        <w:t xml:space="preserve">To keep the repository light, the maps are written in constant prices only. They are</w:t>
      </w:r>
      <w:r>
        <w:t xml:space="preserve"> </w:t>
      </w:r>
      <w:r>
        <w:t xml:space="preserve">the ones used to compare years. The nominal values by country are in the exported tables.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(yr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years_report) {</w:t>
      </w:r>
      <w:r>
        <w:br/>
      </w:r>
      <w:r>
        <w:rPr>
          <w:rStyle w:val="NormalTok"/>
        </w:rPr>
        <w:t xml:space="preserve">  value_map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spread_totals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totals =</w:t>
      </w:r>
      <w:r>
        <w:rPr>
          <w:rStyle w:val="NormalTok"/>
        </w:rPr>
        <w:t xml:space="preserve"> monetary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value_mio_eur_constant),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faws_share,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country_ids =</w:t>
      </w:r>
      <w:r>
        <w:rPr>
          <w:rStyle w:val="NormalTok"/>
        </w:rPr>
        <w:t xml:space="preserve"> country_ids,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weight_sums =</w:t>
      </w:r>
      <w:r>
        <w:rPr>
          <w:rStyle w:val="NormalTok"/>
        </w:rPr>
        <w:t xml:space="preserve"> weight_sums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(value_map)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"value_constant_"</w:t>
      </w:r>
      <w:r>
        <w:rPr>
          <w:rStyle w:val="NormalTok"/>
        </w:rPr>
        <w:t xml:space="preserve">, 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writeRaster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value_map,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(gis_dir,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"wood_value_constant_1km_%s.tif"</w:t>
      </w:r>
      <w:r>
        <w:rPr>
          <w:rStyle w:val="NormalTok"/>
        </w:rPr>
        <w:t xml:space="preserve">, yr)),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"FLT4S"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gdal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"COMPRESS=DEFLATE"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"PREDICTOR=3"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"TILED=YES"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Start w:id="37" w:name="conservation-check"/>
    <w:p>
      <w:pPr>
        <w:pStyle w:val="Heading2"/>
      </w:pPr>
      <w:r>
        <w:t xml:space="preserve">Conservation check</w:t>
      </w:r>
    </w:p>
    <w:p>
      <w:pPr>
        <w:pStyle w:val="SourceCode"/>
      </w:pPr>
      <w:r>
        <w:rPr>
          <w:rStyle w:val="NormalTok"/>
        </w:rPr>
        <w:t xml:space="preserve">value_maps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(gis_dir,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"wood_value_constant_1km_%s.tif"</w:t>
      </w:r>
      <w:r>
        <w:rPr>
          <w:rStyle w:val="NormalTok"/>
        </w:rPr>
        <w:t xml:space="preserve">, years_report)))</w:t>
      </w:r>
      <w:r>
        <w:br/>
      </w:r>
      <w:r>
        <w:br/>
      </w:r>
      <w:r>
        <w:rPr>
          <w:rStyle w:val="NormalTok"/>
        </w:rPr>
        <w:t xml:space="preserve">national_totals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monetary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(value_mio_eur_constant),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(total)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years_report,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maps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(value_maps,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national values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national_totals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Difference (%)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maps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national values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11"/>
        <w:gridCol w:w="2561"/>
        <w:gridCol w:w="3322"/>
        <w:gridCol w:w="15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maps (million euro)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national values (million euro)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(%)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22,671.82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22,671.82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19,341.55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19,341.55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16,982.36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16,982.36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16,918.61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16,918.61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14,797.70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14,797.70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</w:tbl>
    <w:bookmarkEnd w:id="37"/>
    <w:bookmarkStart w:id="41" w:name="maps"/>
    <w:p>
      <w:pPr>
        <w:pStyle w:val="Heading2"/>
      </w:pPr>
      <w:r>
        <w:t xml:space="preserve">Maps</w:t>
      </w:r>
    </w:p>
    <w:p>
      <w:pPr>
        <w:pStyle w:val="FirstParagraph"/>
      </w:pPr>
      <w:r>
        <w:t xml:space="preserve">The maps are shown at 10 km, as the sum of 100 cells of 1 km.</w:t>
      </w:r>
    </w:p>
    <w:p>
      <w:pPr>
        <w:pStyle w:val="SourceCode"/>
      </w:pPr>
      <w:r>
        <w:rPr>
          <w:rStyle w:val="NormalTok"/>
        </w:rPr>
        <w:t xml:space="preserve">map_data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(value_maps, </w:t>
      </w:r>
      <w:r>
        <w:rPr>
          <w:rStyle w:val="AttributeTok"/>
        </w:rPr>
        <w:t xml:space="preserve">fact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"value_constant_"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"value_constant_"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year))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(map_data)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"Million euro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(base-year prices)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per 10 km cell"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2.6e6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6.6e6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1.4e6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5.4e6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datum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ndex_files/figure-docx/value-map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End w:id="42"/>
    <w:bookmarkStart w:id="50" w:name="X8e24b68ac7a0b27f5da90d71b859a6580368683"/>
    <w:p>
      <w:pPr>
        <w:pStyle w:val="Heading1"/>
      </w:pPr>
      <w:r>
        <w:t xml:space="preserve">Refinement: Corine Land Cover forest by year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Optional refinement with its own outputs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maps above are the baseline. This section repeats the spatial step with the spatial key of the</w:t>
            </w:r>
            <w:r>
              <w:t xml:space="preserve"> </w:t>
            </w:r>
            <w:r>
              <w:t xml:space="preserve">Corine refinement 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physical document</w:t>
              </w:r>
            </w:hyperlink>
            <w:r>
              <w:t xml:space="preserve">, which is the 100 m overlap of FAWS</w:t>
            </w:r>
            <w:r>
              <w:t xml:space="preserve"> </w:t>
            </w:r>
            <w:r>
              <w:t xml:space="preserve">and Corine Land Cover forest of each epoch (CLC 2018 is used for 2024). It writes only to</w:t>
            </w:r>
            <w:r>
              <w:t xml:space="preserve"> </w:t>
            </w:r>
            <w:r>
              <w:rPr>
                <w:rStyle w:val="VerbatimChar"/>
              </w:rPr>
              <w:t xml:space="preserve">data/outputs/gis/corine_refinement/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data/outputs/results/corine_refinement/</w:t>
            </w:r>
            <w:r>
              <w:t xml:space="preserve">, and every file name</w:t>
            </w:r>
            <w:r>
              <w:t xml:space="preserve"> </w:t>
            </w:r>
            <w:r>
              <w:t xml:space="preserve">starts with</w:t>
            </w:r>
            <w:r>
              <w:t xml:space="preserve"> </w:t>
            </w:r>
            <w:r>
              <w:rPr>
                <w:rStyle w:val="VerbatimChar"/>
              </w:rPr>
              <w:t xml:space="preserve">corine_refinement_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national monetary values are the same as in the baseline, so only their placement inside each</w:t>
      </w:r>
      <w:r>
        <w:t xml:space="preserve"> </w:t>
      </w:r>
      <w:r>
        <w:t xml:space="preserve">country changes. The weights are the 1 km files produced by</w:t>
      </w:r>
      <w:r>
        <w:t xml:space="preserve"> </w:t>
      </w:r>
      <w:r>
        <w:rPr>
          <w:rStyle w:val="VerbatimChar"/>
        </w:rPr>
        <w:t xml:space="preserve">scripts/05_prepare_clc.R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clc_epochs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clc_for_year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2000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2006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2018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2024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refine_gis_dir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(gis_dir, </w:t>
      </w:r>
      <w:r>
        <w:rPr>
          <w:rStyle w:val="StringTok"/>
        </w:rPr>
        <w:t xml:space="preserve">"corine_refinement"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refine_results_dir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"corine_refinement"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(refine_gis_dir,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(refine_results_dir,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clc_weights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(clc_epochs, \(e)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"data/inputs/corine/FAWS_x_CLC%s_1km.tif"</w:t>
      </w:r>
      <w:r>
        <w:rPr>
          <w:rStyle w:val="NormalTok"/>
        </w:rPr>
        <w:t xml:space="preserve">, e)))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(clc_weights)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clc_epochs</w:t>
      </w:r>
      <w:r>
        <w:br/>
      </w:r>
      <w:r>
        <w:br/>
      </w:r>
      <w:r>
        <w:rPr>
          <w:rStyle w:val="NormalTok"/>
        </w:rPr>
        <w:t xml:space="preserve">clc_weight_sums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(clc_weights, country_weight_sums, </w:t>
      </w:r>
      <w:r>
        <w:rPr>
          <w:rStyle w:val="AttributeTok"/>
        </w:rPr>
        <w:t xml:space="preserve">country_ids =</w:t>
      </w:r>
      <w:r>
        <w:rPr>
          <w:rStyle w:val="NormalTok"/>
        </w:rPr>
        <w:t xml:space="preserve"> country_ids)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(yr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years_report) {</w:t>
      </w:r>
      <w:r>
        <w:br/>
      </w:r>
      <w:r>
        <w:rPr>
          <w:rStyle w:val="NormalTok"/>
        </w:rPr>
        <w:t xml:space="preserve">  epoch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clc_for_year[[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(yr)]]</w:t>
      </w:r>
      <w:r>
        <w:br/>
      </w:r>
      <w:r>
        <w:rPr>
          <w:rStyle w:val="NormalTok"/>
        </w:rPr>
        <w:t xml:space="preserve">  refined_map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spread_totals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totals =</w:t>
      </w:r>
      <w:r>
        <w:rPr>
          <w:rStyle w:val="NormalTok"/>
        </w:rPr>
        <w:t xml:space="preserve"> monetary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(geo,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value_mio_eur_constant),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clc_weights[[epoch]],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country_ids =</w:t>
      </w:r>
      <w:r>
        <w:rPr>
          <w:rStyle w:val="NormalTok"/>
        </w:rPr>
        <w:t xml:space="preserve"> country_ids,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weight_sums =</w:t>
      </w:r>
      <w:r>
        <w:rPr>
          <w:rStyle w:val="NormalTok"/>
        </w:rPr>
        <w:t xml:space="preserve"> clc_weight_sums[[epoch]]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(refined_map)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"value_clc_"</w:t>
      </w:r>
      <w:r>
        <w:rPr>
          <w:rStyle w:val="NormalTok"/>
        </w:rPr>
        <w:t xml:space="preserve">, 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writeRaster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refined_map,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(refine_gis_dir,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"corine_refinement_wood_value_constant_1km_%s.tif"</w:t>
      </w:r>
      <w:r>
        <w:rPr>
          <w:rStyle w:val="NormalTok"/>
        </w:rPr>
        <w:t xml:space="preserve">, yr)),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"FLT4S"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gdal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"COMPRESS=DEFLATE"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"PREDICTOR=3"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"TILED=YES"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Start w:id="45" w:name="conservation-check-1"/>
    <w:p>
      <w:pPr>
        <w:pStyle w:val="Heading2"/>
      </w:pPr>
      <w:r>
        <w:t xml:space="preserve">Conservation check</w:t>
      </w:r>
    </w:p>
    <w:p>
      <w:pPr>
        <w:pStyle w:val="SourceCode"/>
      </w:pPr>
      <w:r>
        <w:rPr>
          <w:rStyle w:val="NormalTok"/>
        </w:rPr>
        <w:t xml:space="preserve">refined_maps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(refine_gis_dir,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"corine_refinement_wood_value_constant_1km_%s.tif"</w:t>
      </w:r>
      <w:r>
        <w:rPr>
          <w:rStyle w:val="NormalTok"/>
        </w:rPr>
        <w:t xml:space="preserve">, years_report))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years_report,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CLC epoch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(clc_for_year[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(years_report)]),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maps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(refined_maps,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national values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national_totals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Difference (%)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maps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national values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11"/>
        <w:gridCol w:w="1311"/>
        <w:gridCol w:w="2561"/>
        <w:gridCol w:w="3322"/>
        <w:gridCol w:w="15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CLC epoch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maps (million euro)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national values (million euro)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(%)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22,671.82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22,671.82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19,341.55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19,341.55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16,982.36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16,982.36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16,918.61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16,918.61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14,797.70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14,797.70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</w:t>
            </w:r>
          </w:p>
        </w:tc>
      </w:tr>
    </w:tbl>
    <w:bookmarkEnd w:id="45"/>
    <w:bookmarkStart w:id="49" w:name="comparison-with-the-baseline"/>
    <w:p>
      <w:pPr>
        <w:pStyle w:val="Heading2"/>
      </w:pPr>
      <w:r>
        <w:t xml:space="preserve">Comparison with the baseline</w:t>
      </w:r>
    </w:p>
    <w:p>
      <w:pPr>
        <w:pStyle w:val="FirstParagraph"/>
      </w:pPr>
      <w:r>
        <w:t xml:space="preserve">Each country has one unit value, so inside a country the monetary map is the NAI map multiplied</w:t>
      </w:r>
      <w:r>
        <w:t xml:space="preserve"> </w:t>
      </w:r>
      <w:r>
        <w:t xml:space="preserve">by a constant. The comparison below therefore shows the same pattern of differences as in the</w:t>
      </w:r>
      <w:r>
        <w:t xml:space="preserve"> </w:t>
      </w:r>
      <w:r>
        <w:t xml:space="preserve">physical document, in money terms. The table gives the share of the value that sits in a different</w:t>
      </w:r>
      <w:r>
        <w:t xml:space="preserve"> </w:t>
      </w:r>
      <w:r>
        <w:t xml:space="preserve">10 km cell, and the correlation between the two maps.</w:t>
      </w:r>
    </w:p>
    <w:p>
      <w:pPr>
        <w:pStyle w:val="SourceCode"/>
      </w:pPr>
      <w:r>
        <w:rPr>
          <w:rStyle w:val="NormalTok"/>
        </w:rPr>
        <w:t xml:space="preserve">base_10km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(value_maps, </w:t>
      </w:r>
      <w:r>
        <w:rPr>
          <w:rStyle w:val="AttributeTok"/>
        </w:rPr>
        <w:t xml:space="preserve">fact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refined_10km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(refined_maps, </w:t>
      </w:r>
      <w:r>
        <w:rPr>
          <w:rStyle w:val="AttributeTok"/>
        </w:rPr>
        <w:t xml:space="preserve">fact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years_report,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Value moved (% of total)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(years_report), \(i)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(refined_10km[[i]]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base_10km[[i]]),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(base_10km[[i]],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}),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Value moved (million euro)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(years_report), \(i) {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(refined_10km[[i]]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base_10km[[i]]),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}),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Correlation of cells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(years_report), \(i)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(base_10km[[i]]), 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(refined_10km[[i]]),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show_table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11"/>
        <w:gridCol w:w="2382"/>
        <w:gridCol w:w="2552"/>
        <w:gridCol w:w="190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moved (% of total)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moved (million euro)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Correlation of cells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1,732.42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1,369.11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</w:tr>
    </w:tbl>
    <w:p>
      <w:pPr>
        <w:pStyle w:val="FirstParagraph"/>
      </w:pPr>
      <w:r>
        <w:t xml:space="preserve">The map shows the difference in value (refined minus baseline) for 2018. Red cells gain value with the</w:t>
      </w:r>
      <w:r>
        <w:t xml:space="preserve"> </w:t>
      </w:r>
      <w:r>
        <w:t xml:space="preserve">refinement and blue cells lose it.</w:t>
      </w:r>
    </w:p>
    <w:p>
      <w:pPr>
        <w:pStyle w:val="SourceCode"/>
      </w:pPr>
      <w:r>
        <w:rPr>
          <w:rStyle w:val="NormalTok"/>
        </w:rPr>
        <w:t xml:space="preserve">diff_data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(refined_10km[[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base_10km[[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(difference)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diff_limit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(diff_data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difference),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(diff_data)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(difference, diff_limit),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diff_limit)))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"#2166ac"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"#b2182b"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"Million euro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(2010 prices)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per 10 km cell"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2.6e6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6.6e6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1.4e6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5.4e6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datum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ndex_files/figure-docx/clc-difference-map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refined maps depend on a second dataset that was mapped independently of FAWS, so they are</w:t>
      </w:r>
      <w:r>
        <w:t xml:space="preserve"> </w:t>
      </w:r>
      <w:r>
        <w:t xml:space="preserve">offered as an option and the baseline remains the main result.</w:t>
      </w:r>
    </w:p>
    <w:p>
      <w:pPr>
        <w:pStyle w:val="SourceCode"/>
      </w:pPr>
      <w:r>
        <w:rPr>
          <w:rStyle w:val="FunctionTok"/>
        </w:rPr>
        <w:t xml:space="preserve">export_table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comparison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(\(x)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"[^A-Za-z0-9]+"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x)),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"corine_refinement_value_comparison_with_baseline"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refine_results_dir</w:t>
      </w:r>
      <w:r>
        <w:br/>
      </w:r>
      <w:r>
        <w:rPr>
          <w:rStyle w:val="NormalTok"/>
        </w:rPr>
        <w:t xml:space="preserve">)</w:t>
      </w:r>
    </w:p>
    <w:bookmarkEnd w:id="49"/>
    <w:bookmarkEnd w:id="50"/>
    <w:bookmarkStart w:id="51" w:name="exports"/>
    <w:p>
      <w:pPr>
        <w:pStyle w:val="Heading1"/>
      </w:pPr>
      <w:r>
        <w:t xml:space="preserve">Exports</w:t>
      </w:r>
    </w:p>
    <w:p>
      <w:pPr>
        <w:pStyle w:val="SourceCode"/>
      </w:pPr>
      <w:r>
        <w:rPr>
          <w:rStyle w:val="NormalTok"/>
        </w:rPr>
        <w:t xml:space="preserve">monetary_export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monetary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geo, year,</w:t>
      </w:r>
      <w:r>
        <w:br/>
      </w:r>
      <w:r>
        <w:rPr>
          <w:rStyle w:val="NormalTok"/>
        </w:rPr>
        <w:t xml:space="preserve">    nai_1000m3,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export_uv_eur_m3 =</w:t>
      </w:r>
      <w:r>
        <w:rPr>
          <w:rStyle w:val="NormalTok"/>
        </w:rPr>
        <w:t xml:space="preserve"> export_uv,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ratio_export_to_timber =</w:t>
      </w:r>
      <w:r>
        <w:rPr>
          <w:rStyle w:val="NormalTok"/>
        </w:rPr>
        <w:t xml:space="preserve"> ratio,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ratio_source =</w:t>
      </w:r>
      <w:r>
        <w:rPr>
          <w:rStyle w:val="NormalTok"/>
        </w:rPr>
        <w:t xml:space="preserve"> ratio_fill,</w:t>
      </w:r>
      <w:r>
        <w:br/>
      </w:r>
      <w:r>
        <w:rPr>
          <w:rStyle w:val="NormalTok"/>
        </w:rPr>
        <w:t xml:space="preserve">    unit_value_eur_m3,</w:t>
      </w:r>
      <w:r>
        <w:br/>
      </w:r>
      <w:r>
        <w:rPr>
          <w:rStyle w:val="NormalTok"/>
        </w:rPr>
        <w:t xml:space="preserve">    value_mio_eur_current,</w:t>
      </w:r>
      <w:r>
        <w:br/>
      </w:r>
      <w:r>
        <w:rPr>
          <w:rStyle w:val="NormalTok"/>
        </w:rPr>
        <w:t xml:space="preserve">    deflator,</w:t>
      </w:r>
      <w:r>
        <w:br/>
      </w:r>
      <w:r>
        <w:rPr>
          <w:rStyle w:val="NormalTok"/>
        </w:rPr>
        <w:t xml:space="preserve">    value_mio_eur_constant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export_table</w:t>
      </w:r>
      <w:r>
        <w:rPr>
          <w:rStyle w:val="NormalTok"/>
        </w:rPr>
        <w:t xml:space="preserve">(monetary_export, </w:t>
      </w:r>
      <w:r>
        <w:rPr>
          <w:rStyle w:val="StringTok"/>
        </w:rPr>
        <w:t xml:space="preserve">"wood_value_country_year"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writexl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value_report_years =</w:t>
      </w:r>
      <w:r>
        <w:rPr>
          <w:rStyle w:val="NormalTok"/>
        </w:rPr>
        <w:t xml:space="preserve"> monetary_export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years_report),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deflator =</w:t>
      </w:r>
      <w:r>
        <w:rPr>
          <w:rStyle w:val="NormalTok"/>
        </w:rPr>
        <w:t xml:space="preserve"> deflator,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parameters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"base_year"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"country_years"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"eu_years"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"deflator"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base_year,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(country_years),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(eu_years),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"HICP all items, EU27 (2020), annual average"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"wood_value_summary.xlsx"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results workbook of the physical document is completed with the monetary tables of the actual</w:t>
      </w:r>
      <w:r>
        <w:t xml:space="preserve"> </w:t>
      </w:r>
      <w:r>
        <w:t xml:space="preserve">flow and of the overuse, for NUTS0, NUTS2 and NUTS3. The overuse is valued with the unit value of NAI of its country.</w:t>
      </w:r>
    </w:p>
    <w:p>
      <w:pPr>
        <w:pStyle w:val="SourceCode"/>
      </w:pPr>
      <w:r>
        <w:rPr>
          <w:rStyle w:val="FunctionTok"/>
        </w:rPr>
        <w:t xml:space="preserve">write_results_workbook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(overuse_file),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(nuts_weights_file), years_report, base_year,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"wood_provision_results.xlsx"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monetary =</w:t>
      </w:r>
      <w:r>
        <w:rPr>
          <w:rStyle w:val="NormalTok"/>
        </w:rPr>
        <w:t xml:space="preserve"> monetary_export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downloads"/>
    <w:p>
      <w:pPr>
        <w:pStyle w:val="Heading1"/>
      </w:pPr>
      <w:r>
        <w:t xml:space="preserve">Downloads</w:t>
      </w:r>
    </w:p>
    <w:p>
      <w:pPr>
        <w:pStyle w:val="SourceCode"/>
      </w:pPr>
      <w:r>
        <w:rPr>
          <w:rStyle w:val="NormalTok"/>
        </w:rPr>
        <w:t xml:space="preserve">downloads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"wood_value_country_year.xlsx"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"wood_value_country_year.rds"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"wood_value_summary.xlsx"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"wood_provision_results.xlsx"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"wood_value_constant_1km_%s.tif"</w:t>
      </w:r>
      <w:r>
        <w:rPr>
          <w:rStyle w:val="NormalTok"/>
        </w:rPr>
        <w:t xml:space="preserve">, years_report)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(years_report))),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"Unit values, nominal and constant-price value by country and year, with the origin of the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same panel as an R 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"Reporting-year table, deflator and parameters"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"Results tables for NUTS0, NUTS2 and NUTS3 in physical and monetary terms"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 of NAI of FAWS in %s, million euro in 2010 prices per 1 km cell, EPSG:3035"</w:t>
      </w:r>
      <w:r>
        <w:rPr>
          <w:rStyle w:val="NormalTok"/>
        </w:rPr>
        <w:t xml:space="preserve">, years_report)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"corine_refinement_value_comparison_with_baseline.xlsx"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"corine_refinement_wood_value_constant_1km_%s.tif"</w:t>
      </w:r>
      <w:r>
        <w:rPr>
          <w:rStyle w:val="NormalTok"/>
        </w:rPr>
        <w:t xml:space="preserve">, years_report)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"results/corine_refinement"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"gis/corine_refinement"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(years_report))),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"Refinement: how far the refined value maps differ from the baseline maps, by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"Refinement: value of NAI of FAWS in %s spread over FAWS and CLC forest, million euro in 2010 prices per 1 km cell"</w:t>
      </w:r>
      <w:r>
        <w:rPr>
          <w:rStyle w:val="NormalTok"/>
        </w:rPr>
        <w:t xml:space="preserve">, years_report)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"../../../data/outputs"</w:t>
      </w:r>
      <w:r>
        <w:rPr>
          <w:rStyle w:val="NormalTok"/>
        </w:rPr>
        <w:t xml:space="preserve">, Folder, File))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(downloads, </w:t>
      </w:r>
      <w:r>
        <w:rPr>
          <w:rStyle w:val="AttributeTok"/>
        </w:rPr>
        <w:t xml:space="preserve">col_keys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as_paragraph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hyperlink_text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File, </w:t>
      </w:r>
      <w:r>
        <w:rPr>
          <w:rStyle w:val="AttributeTok"/>
        </w:rPr>
        <w:t xml:space="preserve">url =</w:t>
      </w:r>
      <w:r>
        <w:rPr>
          <w:rStyle w:val="NormalTok"/>
        </w:rPr>
        <w:t xml:space="preserve"> Path))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63"/>
        <w:gridCol w:w="991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value_country_year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wood_value_country_year.xlsx</w:t>
              </w:r>
            </w:hyperlink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 values, nominal and constant-price value by country and year, with the origin of the ratio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value_country_year.rds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wood_value_country_year.rds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same panel as an R object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value_summary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wood_value_summary.xlsx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Reporting-year table, deflator and parameters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wood_provision_results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wood_provision_results.xlsx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Results tables for NUTS0, NUTS2 and NUTS3 in physical and monetary terms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value_constant_1km_2000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wood_value_constant_1km_2000.tif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of NAI of FAWS in 2000, million euro in 2010 prices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value_constant_1km_2006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wood_value_constant_1km_2006.tif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of NAI of FAWS in 2006, million euro in 2010 prices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value_constant_1km_2012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wood_value_constant_1km_2012.tif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of NAI of FAWS in 2012, million euro in 2010 prices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value_constant_1km_2018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wood_value_constant_1km_2018.tif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of NAI of FAWS in 2018, million euro in 2010 prices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wood_value_constant_1km_2024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wood_value_constant_1km_2024.tif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of NAI of FAWS in 2024, million euro in 2010 prices per 1 km cell, EPSG:3035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results/corine_refinement/corine_refinement_value_comparison_with_baseline.xlsx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corine_refinement_value_comparison_with_baseline.xlsx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how far the refined value maps differ from the baseline maps, by year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value_constant_1km_2000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corine_refinement_wood_value_constant_1km_2000.tif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value of NAI of FAWS in 2000 spread over FAWS and CLC forest, million euro in 2010 prices per 1 km cell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value_constant_1km_2006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corine_refinement_wood_value_constant_1km_2006.tif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value of NAI of FAWS in 2006 spread over FAWS and CLC forest, million euro in 2010 prices per 1 km cell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value_constant_1km_2012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corine_refinement_wood_value_constant_1km_2012.tif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value of NAI of FAWS in 2012 spread over FAWS and CLC forest, million euro in 2010 prices per 1 km cell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value_constant_1km_2018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corine_refinement_wood_value_constant_1km_2018.tif</w:t>
              </w:r>
            </w:hyperlink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value of NAI of FAWS in 2018 spread over FAWS and CLC forest, million euro in 2010 prices per 1 km cell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hyperlink r:id="../../../data/outputs/gis/corine_refinement/corine_refinement_wood_value_constant_1km_2024.tif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18"/>
                  <w:szCs w:val="18"/>
                  <w:color w:val="000000"/>
                </w:rPr>
                <w:t xml:space="preserve">corine_refinement_wood_value_constant_1km_2024.tif</w:t>
              </w:r>
            </w:hyperlink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Refinement: value of NAI of FAWS in 2024 spread over FAWS and CLC forest, million euro in 2010 prices per 1 km cell</w:t>
            </w:r>
          </w:p>
        </w:tc>
      </w:tr>
    </w:tbl>
    <w:bookmarkEnd w:id="52"/>
    <w:bookmarkStart w:id="53" w:name="limitations"/>
    <w:p>
      <w:pPr>
        <w:pStyle w:val="Heading1"/>
      </w:pPr>
      <w:r>
        <w:t xml:space="preserve">Limitations</w:t>
      </w:r>
    </w:p>
    <w:p>
      <w:pPr>
        <w:pStyle w:val="Compact"/>
        <w:numPr>
          <w:ilvl w:val="0"/>
          <w:numId w:val="1002"/>
        </w:numPr>
      </w:pPr>
      <w:r>
        <w:t xml:space="preserve">The unit value of timber is observed for few countries before 2012. In those years most of the</w:t>
      </w:r>
      <w:r>
        <w:t xml:space="preserve"> </w:t>
      </w:r>
      <w:r>
        <w:t xml:space="preserve">value comes from the export price divided by an average ratio, so the monetary series is better</w:t>
      </w:r>
      <w:r>
        <w:t xml:space="preserve"> </w:t>
      </w:r>
      <w:r>
        <w:t xml:space="preserve">read as an estimate than as a measurement.</w:t>
      </w:r>
    </w:p>
    <w:p>
      <w:pPr>
        <w:pStyle w:val="Compact"/>
        <w:numPr>
          <w:ilvl w:val="0"/>
          <w:numId w:val="1002"/>
        </w:numPr>
      </w:pPr>
      <w:r>
        <w:t xml:space="preserve">Roundwood export prices include harvesting and transport, whereas</w:t>
      </w:r>
      <w:r>
        <w:t xml:space="preserve"> </w:t>
      </w:r>
      <w:r>
        <w:rPr>
          <w:rStyle w:val="VerbatimChar"/>
        </w:rPr>
        <w:t xml:space="preserve">for_sup_cp</w:t>
      </w:r>
      <w:r>
        <w:t xml:space="preserve"> </w:t>
      </w:r>
      <w:r>
        <w:t xml:space="preserve">values standing</w:t>
      </w:r>
      <w:r>
        <w:t xml:space="preserve"> </w:t>
      </w:r>
      <w:r>
        <w:t xml:space="preserve">trees. The ratio between them is large (a median of several times), and it is the weakest link</w:t>
      </w:r>
      <w:r>
        <w:t xml:space="preserve"> </w:t>
      </w:r>
      <w:r>
        <w:t xml:space="preserve">of the method. It is inherited from the INCA approach.</w:t>
      </w:r>
    </w:p>
    <w:p>
      <w:pPr>
        <w:pStyle w:val="Compact"/>
        <w:numPr>
          <w:ilvl w:val="0"/>
          <w:numId w:val="1002"/>
        </w:numPr>
      </w:pPr>
      <w:r>
        <w:t xml:space="preserve">NAI of FAWS partly comes from total forest NAI (see the physical document), and the monetary</w:t>
      </w:r>
      <w:r>
        <w:t xml:space="preserve"> </w:t>
      </w:r>
      <w:r>
        <w:t xml:space="preserve">value inherits that. The sensitivity check of the physical document applies here proportionally.</w:t>
      </w:r>
    </w:p>
    <w:p>
      <w:pPr>
        <w:pStyle w:val="Compact"/>
        <w:numPr>
          <w:ilvl w:val="0"/>
          <w:numId w:val="1002"/>
        </w:numPr>
      </w:pPr>
      <w:r>
        <w:t xml:space="preserve">A single EU27 deflator is applied to all countries, as in the plugin.</w:t>
      </w:r>
    </w:p>
    <w:p>
      <w:pPr>
        <w:pStyle w:val="Compact"/>
        <w:numPr>
          <w:ilvl w:val="0"/>
          <w:numId w:val="1002"/>
        </w:numPr>
      </w:pPr>
      <w:r>
        <w:t xml:space="preserve">The baseline spatial key is a 2020 map, so maps of earlier years apply the 2020 pattern. The</w:t>
      </w:r>
      <w:r>
        <w:t xml:space="preserve"> </w:t>
      </w:r>
      <w:r>
        <w:t xml:space="preserve">Corine refinement adds change over time, with the limits discussed in the physical document.</w:t>
      </w:r>
    </w:p>
    <w:bookmarkEnd w:id="53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5" w:name="ref-eurostat2026hicp"/>
    <w:p>
      <w:pPr>
        <w:pStyle w:val="Bibliography"/>
      </w:pPr>
      <w:r>
        <w:t xml:space="preserve">Eurostat. (2026a).</w:t>
      </w:r>
      <w:r>
        <w:t xml:space="preserve"> </w:t>
      </w:r>
      <w:r>
        <w:rPr>
          <w:i/>
          <w:iCs/>
        </w:rPr>
        <w:t xml:space="preserve">HICP, annual data (average index and rate of change) [prc_hicp_aind]</w:t>
      </w:r>
      <w:r>
        <w:t xml:space="preserve">. Eurostat database. Retrieved from</w:t>
      </w:r>
      <w:r>
        <w:t xml:space="preserve"> </w:t>
      </w:r>
      <w:hyperlink r:id="rId54">
        <w:r>
          <w:rPr>
            <w:rStyle w:val="Hyperlink"/>
          </w:rPr>
          <w:t xml:space="preserve">https://ec.europa.eu/eurostat/databrowser/view/prc_hicp_aind</w:t>
        </w:r>
      </w:hyperlink>
    </w:p>
    <w:bookmarkEnd w:id="55"/>
    <w:bookmarkStart w:id="57" w:name="ref-eurostat2026forbasic"/>
    <w:p>
      <w:pPr>
        <w:pStyle w:val="Bibliography"/>
      </w:pPr>
      <w:r>
        <w:t xml:space="preserve">Eurostat. (2026b).</w:t>
      </w:r>
      <w:r>
        <w:t xml:space="preserve"> </w:t>
      </w:r>
      <w:r>
        <w:rPr>
          <w:i/>
          <w:iCs/>
        </w:rPr>
        <w:t xml:space="preserve">Roundwood, fuelwood and other basic products [for_basic]</w:t>
      </w:r>
      <w:r>
        <w:t xml:space="preserve">. Eurostat database. Retrieved from</w:t>
      </w:r>
      <w:r>
        <w:t xml:space="preserve"> </w:t>
      </w:r>
      <w:hyperlink r:id="rId56">
        <w:r>
          <w:rPr>
            <w:rStyle w:val="Hyperlink"/>
          </w:rPr>
          <w:t xml:space="preserve">https://ec.europa.eu/eurostat/databrowser/view/for_basic</w:t>
        </w:r>
      </w:hyperlink>
    </w:p>
    <w:bookmarkEnd w:id="57"/>
    <w:bookmarkStart w:id="59" w:name="ref-eurostat2026forsupcp"/>
    <w:p>
      <w:pPr>
        <w:pStyle w:val="Bibliography"/>
      </w:pPr>
      <w:r>
        <w:t xml:space="preserve">Eurostat. (2026c).</w:t>
      </w:r>
      <w:r>
        <w:t xml:space="preserve"> </w:t>
      </w:r>
      <w:r>
        <w:rPr>
          <w:i/>
          <w:iCs/>
        </w:rPr>
        <w:t xml:space="preserve">Supply and use of products within forestry [for_sup_cp]</w:t>
      </w:r>
      <w:r>
        <w:t xml:space="preserve">. Eurostat database. Retrieved from</w:t>
      </w:r>
      <w:r>
        <w:t xml:space="preserve"> </w:t>
      </w:r>
      <w:hyperlink r:id="rId58">
        <w:r>
          <w:rPr>
            <w:rStyle w:val="Hyperlink"/>
          </w:rPr>
          <w:t xml:space="preserve">https://ec.europa.eu/eurostat/databrowser/view/for_sup_cp</w:t>
        </w:r>
      </w:hyperlink>
    </w:p>
    <w:bookmarkEnd w:id="59"/>
    <w:bookmarkStart w:id="60" w:name="ref-lanotte2021"/>
    <w:p>
      <w:pPr>
        <w:pStyle w:val="Bibliography"/>
      </w:pPr>
      <w:r>
        <w:t xml:space="preserve">La Notte, A., Vallecillo, S., Garcia-Bendito, E., Grammatikopoulou, I., Czúcz, B., Ferrini, S., … Maes, J. (2021).</w:t>
      </w:r>
      <w:r>
        <w:t xml:space="preserve"> </w:t>
      </w:r>
      <w:r>
        <w:rPr>
          <w:i/>
          <w:iCs/>
        </w:rPr>
        <w:t xml:space="preserve">Ecosystem services accounting. Part III: Pilot accounts for habitat and species maintenance, on-site soil retention and water purification</w:t>
      </w:r>
      <w:r>
        <w:t xml:space="preserve"> </w:t>
      </w:r>
      <w:r>
        <w:t xml:space="preserve">(No. EUR 30856 EN, JRC126566). Publications Office of the European Union.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46" Target="media/rId46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hyperlink" Id="rId9" Target="../wood-provision/" TargetMode="External" /><Relationship Type="http://schemas.openxmlformats.org/officeDocument/2006/relationships/hyperlink" Id="rId56" Target="https://ec.europa.eu/eurostat/databrowser/view/for_basic" TargetMode="External" /><Relationship Type="http://schemas.openxmlformats.org/officeDocument/2006/relationships/hyperlink" Id="rId58" Target="https://ec.europa.eu/eurostat/databrowser/view/for_sup_cp" TargetMode="External" /><Relationship Type="http://schemas.openxmlformats.org/officeDocument/2006/relationships/hyperlink" Id="rId54" Target="https://ec.europa.eu/eurostat/databrowser/view/prc_hicp_ain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wood-provision/" TargetMode="External" /><Relationship Type="http://schemas.openxmlformats.org/officeDocument/2006/relationships/hyperlink" Id="rId56" Target="https://ec.europa.eu/eurostat/databrowser/view/for_basic" TargetMode="External" /><Relationship Type="http://schemas.openxmlformats.org/officeDocument/2006/relationships/hyperlink" Id="rId58" Target="https://ec.europa.eu/eurostat/databrowser/view/for_sup_cp" TargetMode="External" /><Relationship Type="http://schemas.openxmlformats.org/officeDocument/2006/relationships/hyperlink" Id="rId54" Target="https://ec.europa.eu/eurostat/databrowser/view/prc_hicp_ain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 Provision: Monetary Valuation</dc:title>
  <dc:creator/>
  <cp:keywords/>
  <dcterms:created xsi:type="dcterms:W3CDTF">2026-10-30T11:47:16Z</dcterms:created>
  <dcterms:modified xsi:type="dcterms:W3CDTF">2026-10-30T11:47:16Z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../wood-provision/wood-provision.bib</vt:lpwstr>
  </property>
  <property fmtid="{D5CDD505-2E9C-101B-9397-08002B2CF9AE}" pid="4" name="csl">
    <vt:lpwstr>../../../assets/apa-6th-edition.csl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Unit values, constant prices and spatially explicit monetary flow: annotated R processing routine</vt:lpwstr>
  </property>
  <property fmtid="{D5CDD505-2E9C-101B-9397-08002B2CF9AE}" pid="11" name="toc-title">
    <vt:lpwstr>Table of contents</vt:lpwstr>
  </property>
</Properties>
</file>