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9.png" ContentType="image/png"/>
  <Override PartName="/word/media/rId49.png" ContentType="image/png"/>
  <Override PartName="/word/media/rId52.png" ContentType="image/png"/>
  <Override PartName="/word/media/rId3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Wood Provision Ecosystem Service</w:t>
      </w:r>
    </w:p>
    <w:p>
      <w:pPr>
        <w:pStyle w:val="Subtitle"/>
      </w:pPr>
      <w:r>
        <w:t xml:space="preserve">Spatially explicit net annual increment and overuse check: annotated R processing routine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page documents the R routine that updates the wood provision ecosystem service for the</w:t>
      </w:r>
      <w:r>
        <w:t xml:space="preserve"> </w:t>
      </w:r>
      <w:r>
        <w:t xml:space="preserve">European Union and makes it spatially explicit. Wood provision is the ecosystem contribution to</w:t>
      </w:r>
      <w:r>
        <w:t xml:space="preserve"> </w:t>
      </w:r>
      <w:r>
        <w:t xml:space="preserve">the growth of trees, and it is measured here with the net annual increment (NAI) of the forest</w:t>
      </w:r>
      <w:r>
        <w:t xml:space="preserve"> </w:t>
      </w:r>
      <w:r>
        <w:t xml:space="preserve">available for wood supply (FAWS), in thousand cubic metres over bark</w:t>
      </w:r>
      <w:r>
        <w:t xml:space="preserve"> </w:t>
      </w:r>
      <w:r>
        <w:t xml:space="preserve">(Eurostat, 2026a; La Notte et al., 2021)</w:t>
      </w:r>
      <w:r>
        <w:t xml:space="preserve">.</w:t>
      </w:r>
      <w:r>
        <w:t xml:space="preserve"> </w:t>
      </w:r>
      <w:r>
        <w:t xml:space="preserve">Each step is written so that users can read it, rerun it from the repository alone and reuse the</w:t>
      </w:r>
      <w:r>
        <w:t xml:space="preserve"> </w:t>
      </w:r>
      <w:r>
        <w:t xml:space="preserve">parts that generalise.</w:t>
      </w:r>
    </w:p>
    <w:p>
      <w:pPr>
        <w:pStyle w:val="BodyText"/>
      </w:pPr>
      <w:r>
        <w:t xml:space="preserve">The routine has five components, in this order: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statistical component</w:t>
      </w:r>
      <w:r>
        <w:t xml:space="preserve">, which builds a complete country-by-year NAI series from Eurostat</w:t>
      </w:r>
      <w:r>
        <w:t xml:space="preserve"> </w:t>
      </w:r>
      <w:r>
        <w:rPr>
          <w:rStyle w:val="VerbatimChar"/>
        </w:rPr>
        <w:t xml:space="preserve">for_vol_efa</w:t>
      </w:r>
      <w:r>
        <w:t xml:space="preserve"> </w:t>
      </w:r>
      <w:r>
        <w:t xml:space="preserve">(Eurostat, 2026b)</w:t>
      </w:r>
      <w:r>
        <w:t xml:space="preserve"> </w:t>
      </w:r>
      <w:r>
        <w:t xml:space="preserve">for 2000 to 2024, and reports the years 2000, 2006, 2012,</w:t>
      </w:r>
      <w:r>
        <w:t xml:space="preserve"> </w:t>
      </w:r>
      <w:r>
        <w:t xml:space="preserve">2018 and 2024;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overuse check</w:t>
      </w:r>
      <w:r>
        <w:t xml:space="preserve">, which compares removals with NAI and flags country-years in which</w:t>
      </w:r>
      <w:r>
        <w:t xml:space="preserve"> </w:t>
      </w:r>
      <w:r>
        <w:t xml:space="preserve">removals exceed NAI;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spatial component</w:t>
      </w:r>
      <w:r>
        <w:t xml:space="preserve">, which spreads each national NAI over the map of forest available for</w:t>
      </w:r>
      <w:r>
        <w:t xml:space="preserve"> </w:t>
      </w:r>
      <w:r>
        <w:t xml:space="preserve">wood supply in 2020</w:t>
      </w:r>
      <w:r>
        <w:t xml:space="preserve"> </w:t>
      </w:r>
      <w:r>
        <w:t xml:space="preserve">(European Commission, Joint Research Centre, 2026)</w:t>
      </w:r>
      <w:r>
        <w:t xml:space="preserve">, so that the pixels of a country add up to its national value;</w:t>
      </w:r>
    </w:p>
    <w:p>
      <w:pPr>
        <w:pStyle w:val="Compact"/>
        <w:numPr>
          <w:ilvl w:val="0"/>
          <w:numId w:val="1001"/>
        </w:numPr>
      </w:pPr>
      <w:r>
        <w:t xml:space="preserve">an optional</w:t>
      </w:r>
      <w:r>
        <w:t xml:space="preserve"> </w:t>
      </w:r>
      <w:r>
        <w:rPr>
          <w:b/>
          <w:bCs/>
        </w:rPr>
        <w:t xml:space="preserve">refinement</w:t>
      </w:r>
      <w:r>
        <w:t xml:space="preserve">, which repeats the spatial step with Corine Land Cover forest of each</w:t>
      </w:r>
      <w:r>
        <w:t xml:space="preserve"> </w:t>
      </w:r>
      <w:r>
        <w:t xml:space="preserve">epoch and compares it with the baseline, with outputs kept apart;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exports</w:t>
      </w:r>
      <w:r>
        <w:t xml:space="preserve">, which write the tables and maps to</w:t>
      </w:r>
      <w:r>
        <w:t xml:space="preserve"> </w:t>
      </w:r>
      <w:r>
        <w:rPr>
          <w:rStyle w:val="VerbatimChar"/>
        </w:rPr>
        <w:t xml:space="preserve">data/outputs/</w:t>
      </w:r>
      <w:r>
        <w:t xml:space="preserve"> </w:t>
      </w:r>
      <w:r>
        <w:t xml:space="preserve">for download.</w:t>
      </w:r>
    </w:p>
    <w:bookmarkStart w:id="16" w:name="key-terms"/>
    <w:p>
      <w:pPr>
        <w:pStyle w:val="Heading2"/>
      </w:pPr>
      <w:r>
        <w:t xml:space="preserve">Key terms</w:t>
      </w:r>
    </w:p>
    <w:p>
      <w:pPr>
        <w:pStyle w:val="FirstParagraph"/>
      </w:pPr>
      <w:r>
        <w:t xml:space="preserve">The terms below are used throughout the page.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 in 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 service</w:t>
            </w:r>
          </w:p>
        </w:tc>
        <w:tc>
          <w:tcPr/>
          <w:p>
            <w:pPr>
              <w:pStyle w:val="Compact"/>
            </w:pPr>
            <w:r>
              <w:t xml:space="preserve">A contribution of ecosystems to human activity. Here it is the growth of trees that can be harvested as timber.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annual increment (NAI)</w:t>
            </w:r>
          </w:p>
        </w:tc>
        <w:tc>
          <w:tcPr/>
          <w:p>
            <w:pPr>
              <w:pStyle w:val="Compact"/>
            </w:pPr>
            <w:r>
              <w:t xml:space="preserve">The average annual volume growth of living trees, minus the volume of trees that die naturally. It is the quantity of new wood the forest adds in a year, and it is the accounting measure of the service.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bark</w:t>
            </w:r>
          </w:p>
        </w:tc>
        <w:tc>
          <w:tcPr/>
          <w:p>
            <w:pPr>
              <w:pStyle w:val="Compact"/>
            </w:pPr>
            <w:r>
              <w:t xml:space="preserve">Volumes include the bark of the tree, as in the Eurostat questionnaire.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Thousand m3</w:t>
            </w:r>
          </w:p>
        </w:tc>
        <w:tc>
          <w:tcPr/>
          <w:p>
            <w:pPr>
              <w:pStyle w:val="Compact"/>
            </w:pPr>
            <w:r>
              <w:t xml:space="preserve">The unit of the volumes (1,000 cubic metres), as reported by Eurostat.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available for wood supply (FAWS)</w:t>
            </w:r>
          </w:p>
        </w:tc>
        <w:tc>
          <w:tcPr/>
          <w:p>
            <w:pPr>
              <w:pStyle w:val="Compact"/>
            </w:pPr>
            <w:r>
              <w:t xml:space="preserve">Forest where no environmental, social or economic restriction significantly limits wood supply. Protected areas, steep slopes or remote forests are typical restrictions.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not available for wood supply (FNAWS)</w:t>
            </w:r>
          </w:p>
        </w:tc>
        <w:tc>
          <w:tcPr/>
          <w:p>
            <w:pPr>
              <w:pStyle w:val="Compact"/>
            </w:pPr>
            <w:r>
              <w:t xml:space="preserve">Forest with such restrictions.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Removals</w:t>
            </w:r>
          </w:p>
        </w:tc>
        <w:tc>
          <w:tcPr/>
          <w:p>
            <w:pPr>
              <w:pStyle w:val="Compact"/>
            </w:pPr>
            <w:r>
              <w:t xml:space="preserve">The volume of wood actually taken out of the forest in a year, which is close to the volume harvested.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Overuse</w:t>
            </w:r>
          </w:p>
        </w:tc>
        <w:tc>
          <w:tcPr/>
          <w:p>
            <w:pPr>
              <w:pStyle w:val="Compact"/>
            </w:pPr>
            <w:r>
              <w:t xml:space="preserve">Removals greater than NAI. Harvesting more than the forest grows depletes the stock of timber, so the service is not sustained.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disaggregation</w:t>
            </w:r>
          </w:p>
        </w:tc>
        <w:tc>
          <w:tcPr/>
          <w:p>
            <w:pPr>
              <w:pStyle w:val="Compact"/>
            </w:pPr>
            <w:r>
              <w:t xml:space="preserve">Splitting a national statistic over a map, using a proxy that says where the quantity is likely to occur.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NUTS</w:t>
            </w:r>
          </w:p>
        </w:tc>
        <w:tc>
          <w:tcPr/>
          <w:p>
            <w:pPr>
              <w:pStyle w:val="Compact"/>
            </w:pPr>
            <w:r>
              <w:t xml:space="preserve">The European classification of territorial units. NUTS 0 is the country level.</w:t>
            </w:r>
          </w:p>
        </w:tc>
      </w:tr>
    </w:tbl>
    <w:p>
      <w:pPr>
        <w:pStyle w:val="BodyText"/>
      </w:pPr>
      <w:r>
        <w:t xml:space="preserve">Eurostat reports NAI and removals by country, not by place. The routine therefore works in two</w:t>
      </w:r>
      <w:r>
        <w:t xml:space="preserve"> </w:t>
      </w:r>
      <w:r>
        <w:t xml:space="preserve">stages. It first completes the national series, which is a statistical problem, and it then places</w:t>
      </w:r>
      <w:r>
        <w:t xml:space="preserve"> </w:t>
      </w:r>
      <w:r>
        <w:t xml:space="preserve">the national values on a map, which is a spatial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the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Eurostat tables are downloaded with the</w:t>
            </w:r>
            <w:r>
              <w:t xml:space="preserve"> </w:t>
            </w:r>
            <w:r>
              <w:rPr>
                <w:rStyle w:val="VerbatimChar"/>
              </w:rPr>
              <w:t xml:space="preserve">eurostat</w:t>
            </w:r>
            <w:r>
              <w:t xml:space="preserve"> </w:t>
            </w:r>
            <w:r>
              <w:t xml:space="preserve">package, which reads the same data as the</w:t>
            </w:r>
            <w:r>
              <w:t xml:space="preserve"> </w:t>
            </w:r>
            <w:r>
              <w:t xml:space="preserve">Eurostat website. The download script (</w:t>
            </w:r>
            <w:r>
              <w:rPr>
                <w:rStyle w:val="VerbatimChar"/>
              </w:rPr>
              <w:t xml:space="preserve">scripts/03_download_eurostat.R</w:t>
            </w:r>
            <w:r>
              <w:t xml:space="preserve">) keeps only the volumes in</w:t>
            </w:r>
            <w:r>
              <w:t xml:space="preserve"> </w:t>
            </w:r>
            <w:r>
              <w:t xml:space="preserve">thousand cubic metres, for the years 2000 to 2024.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reports are consulted for the method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INCA Part III</w:t>
            </w:r>
            <w:r>
              <w:t xml:space="preserve"> </w:t>
            </w:r>
            <w:r>
              <w:t xml:space="preserve">(La Notte et al., 2021)</w:t>
            </w:r>
            <w:r>
              <w:t xml:space="preserve"> </w:t>
            </w:r>
            <w:r>
              <w:t xml:space="preserve">defines the service and the NAI proxy, and INCA Part II</w:t>
            </w:r>
            <w:r>
              <w:t xml:space="preserve"> </w:t>
            </w:r>
            <w:r>
              <w:t xml:space="preserve">(Vallecillo et al., 2019)</w:t>
            </w:r>
            <w:r>
              <w:t xml:space="preserve"> </w:t>
            </w:r>
            <w:r>
              <w:t xml:space="preserve">(chapter 4) describes how national flows are spatialised. The Eurostat ecosystem accounts handbook (</w:t>
            </w:r>
            <w:r>
              <w:rPr>
                <w:rStyle w:val="VerbatimChar"/>
              </w:rPr>
              <w:t xml:space="preserve">KS-01-26-019-EN-N</w:t>
            </w:r>
            <w:r>
              <w:t xml:space="preserve">)</w:t>
            </w:r>
            <w:r>
              <w:t xml:space="preserve"> </w:t>
            </w:r>
            <w:r>
              <w:t xml:space="preserve">(Eurostat, 2026a)</w:t>
            </w:r>
            <w:r>
              <w:t xml:space="preserve"> </w:t>
            </w:r>
            <w:r>
              <w:t xml:space="preserve">complements them. Its wood chapter treats FAWS as a cultivated context measured by net increment and forest not</w:t>
            </w:r>
            <w:r>
              <w:t xml:space="preserve"> </w:t>
            </w:r>
            <w:r>
              <w:t xml:space="preserve">available for wood supply (FNAWS) as an uncultivated context measured by removals. None of the references</w:t>
            </w:r>
            <w:r>
              <w:t xml:space="preserve"> </w:t>
            </w:r>
            <w:r>
              <w:t xml:space="preserve">gives a formula for timber overuse, so the check below defines overuse as removals greater than NAI.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Paths are relative to the project root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execute-dir: project</w:t>
            </w:r>
            <w:r>
              <w:t xml:space="preserve">, so every path below resolves from the repository root</w:t>
            </w:r>
            <w:r>
              <w:t xml:space="preserve"> </w:t>
            </w:r>
            <w:r>
              <w:t xml:space="preserve">regardless of where the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sits. There is no need for</w:t>
            </w:r>
            <w:r>
              <w:t xml:space="preserve"> </w:t>
            </w:r>
            <w:r>
              <w:rPr>
                <w:rStyle w:val="VerbatimChar"/>
              </w:rPr>
              <w:t xml:space="preserve">here::here()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setwd()</w:t>
            </w:r>
            <w:r>
              <w:t xml:space="preserve">.</w:t>
            </w:r>
          </w:p>
          <w:p/>
        </w:tc>
      </w:tr>
    </w:tbl>
    <w:bookmarkEnd w:id="16"/>
    <w:bookmarkEnd w:id="17"/>
    <w:bookmarkStart w:id="20" w:name="preliminaries"/>
    <w:p>
      <w:pPr>
        <w:pStyle w:val="Heading1"/>
      </w:pPr>
      <w:r>
        <w:t xml:space="preserve">Preliminaries</w:t>
      </w:r>
    </w:p>
    <w:bookmarkStart w:id="18" w:name="packages-and-helper-functions"/>
    <w:p>
      <w:pPr>
        <w:pStyle w:val="Heading2"/>
      </w:pPr>
      <w:r>
        <w:t xml:space="preserve">Packages and helper functions</w:t>
      </w:r>
    </w:p>
    <w:p>
      <w:pPr>
        <w:pStyle w:val="FirstParagraph"/>
      </w:pPr>
      <w:r>
        <w:t xml:space="preserve">The helper functions live in</w:t>
      </w:r>
      <w:r>
        <w:t xml:space="preserve"> </w:t>
      </w:r>
      <w:r>
        <w:rPr>
          <w:rStyle w:val="VerbatimChar"/>
        </w:rPr>
        <w:t xml:space="preserve">scripts/helpers_wood.R</w:t>
      </w:r>
      <w:r>
        <w:t xml:space="preserve">. They keep this page short by hiding the</w:t>
      </w:r>
      <w:r>
        <w:t xml:space="preserve"> </w:t>
      </w:r>
      <w:r>
        <w:t xml:space="preserve">loops and joins that are not part of the argument.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"scripts/helpers_wood.R"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"scripts/helpers_results.R"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18"/>
    <w:bookmarkStart w:id="19" w:name="parameters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The reporting years are 2000, 2006, 2012, 2018 and 2024. The series is built for every year</w:t>
      </w:r>
      <w:r>
        <w:t xml:space="preserve"> </w:t>
      </w:r>
      <w:r>
        <w:t xml:space="preserve">from 2000 so that the gap-filling rules can look at neighbouring years.</w:t>
      </w:r>
    </w:p>
    <w:p>
      <w:pPr>
        <w:pStyle w:val="SourceCode"/>
      </w:pPr>
      <w:r>
        <w:rPr>
          <w:rStyle w:val="NormalTok"/>
        </w:rPr>
        <w:t xml:space="preserve">years_all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br/>
      </w:r>
      <w:r>
        <w:rPr>
          <w:rStyle w:val="NormalTok"/>
        </w:rPr>
        <w:t xml:space="preserve">years_report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Inputs (committed to the repository)</w:t>
      </w:r>
      <w:r>
        <w:br/>
      </w:r>
      <w:r>
        <w:rPr>
          <w:rStyle w:val="NormalTok"/>
        </w:rPr>
        <w:t xml:space="preserve">eurostat_file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"data/inputs/eurostat/for_vol_efa_thsm3.rds"</w:t>
      </w:r>
      <w:r>
        <w:br/>
      </w:r>
      <w:r>
        <w:rPr>
          <w:rStyle w:val="NormalTok"/>
        </w:rPr>
        <w:t xml:space="preserve">countries_file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"data/inputs/gis/NUTS_RG_01M_2024_3035_LEVL0.gpkg"</w:t>
      </w:r>
      <w:r>
        <w:br/>
      </w:r>
      <w:r>
        <w:rPr>
          <w:rStyle w:val="NormalTok"/>
        </w:rPr>
        <w:t xml:space="preserve">faws_share_file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"data/inputs/faws/FAWS_2020_EU27_1km.tif"</w:t>
      </w:r>
      <w:r>
        <w:br/>
      </w:r>
      <w:r>
        <w:rPr>
          <w:rStyle w:val="NormalTok"/>
        </w:rPr>
        <w:t xml:space="preserve">faws_area_file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"data/inputs/faws/faws_area_by_country.rds"</w:t>
      </w:r>
      <w:r>
        <w:br/>
      </w:r>
      <w:r>
        <w:rPr>
          <w:rStyle w:val="NormalTok"/>
        </w:rPr>
        <w:t xml:space="preserve">nuts_weights_file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"data/inputs/faws/faws_weight_by_nuts.rds"</w:t>
      </w:r>
      <w:r>
        <w:br/>
      </w:r>
      <w:r>
        <w:br/>
      </w:r>
      <w:r>
        <w:rPr>
          <w:rStyle w:val="CommentTok"/>
        </w:rPr>
        <w:t xml:space="preserve"># Outputs</w:t>
      </w:r>
      <w:r>
        <w:br/>
      </w:r>
      <w:r>
        <w:rPr>
          <w:rStyle w:val="NormalTok"/>
        </w:rPr>
        <w:t xml:space="preserve">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"data/outputs/results"</w:t>
      </w:r>
      <w:r>
        <w:br/>
      </w:r>
      <w:r>
        <w:rPr>
          <w:rStyle w:val="NormalTok"/>
        </w:rPr>
        <w:t xml:space="preserve">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"data/outputs/gis"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9"/>
    <w:bookmarkEnd w:id="20"/>
    <w:bookmarkStart w:id="23" w:name="preparing-the-inputs"/>
    <w:p>
      <w:pPr>
        <w:pStyle w:val="Heading1"/>
      </w:pPr>
      <w:r>
        <w:t xml:space="preserve">Preparing the inputs</w:t>
      </w:r>
    </w:p>
    <w:p>
      <w:pPr>
        <w:pStyle w:val="FirstParagraph"/>
      </w:pPr>
      <w:r>
        <w:t xml:space="preserve">Three inputs are too heavy or too raw to live in the repository as downloaded. Each one is reduced</w:t>
      </w:r>
      <w:r>
        <w:t xml:space="preserve"> </w:t>
      </w:r>
      <w:r>
        <w:t xml:space="preserve">by a short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which is run once and whose compact product is committed. The</w:t>
      </w:r>
      <w:r>
        <w:t xml:space="preserve"> </w:t>
      </w:r>
      <w:r>
        <w:t xml:space="preserve">scripts read from</w:t>
      </w:r>
      <w:r>
        <w:t xml:space="preserve"> </w:t>
      </w:r>
      <w:r>
        <w:rPr>
          <w:rStyle w:val="VerbatimChar"/>
        </w:rPr>
        <w:t xml:space="preserve">refs/</w:t>
      </w:r>
      <w:r>
        <w:t xml:space="preserve">, which is not versioned, so anyone who wants to repeat the reduction</w:t>
      </w:r>
      <w:r>
        <w:t xml:space="preserve"> </w:t>
      </w:r>
      <w:r>
        <w:t xml:space="preserve">needs to place the original files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Product in</w:t>
            </w:r>
            <w:r>
              <w:t xml:space="preserve"> </w:t>
            </w:r>
            <w:r>
              <w:rPr>
                <w:rStyle w:val="VerbatimChar"/>
              </w:rPr>
              <w:t xml:space="preserve">data/inputs/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01_prepare_nuts.R</w:t>
            </w:r>
          </w:p>
        </w:tc>
        <w:tc>
          <w:tcPr/>
          <w:p>
            <w:pPr>
              <w:pStyle w:val="Compact"/>
            </w:pPr>
            <w:r>
              <w:t xml:space="preserve">Eurostat GISCO NUTS 2024, 1:1 million, shipped with the INCA plugin</w:t>
            </w:r>
            <w:r>
              <w:t xml:space="preserve"> </w:t>
            </w:r>
            <w:r>
              <w:t xml:space="preserve">(Eurostat GISCO, 2024)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gis/NUTS_RG_01M_2024_3035_LEVL0.gpkg</w:t>
            </w:r>
            <w:r>
              <w:t xml:space="preserve">, country polygons in EPSG:3035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02_prepare_faws.R</w:t>
            </w:r>
          </w:p>
        </w:tc>
        <w:tc>
          <w:tcPr/>
          <w:p>
            <w:pPr>
              <w:pStyle w:val="Compact"/>
            </w:pPr>
            <w:r>
              <w:t xml:space="preserve">FAWS 2020 map, 100 m, EU27</w:t>
            </w:r>
            <w:r>
              <w:t xml:space="preserve"> </w:t>
            </w:r>
            <w:r>
              <w:t xml:space="preserve">(European Commission, Joint Research Centre, 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faws/FAWS_2020_EU27_1km.tif</w:t>
            </w:r>
            <w:r>
              <w:t xml:space="preserve"> </w:t>
            </w:r>
            <w:r>
              <w:t xml:space="preserve">(share of each 1 km cell that is FAWS),</w:t>
            </w:r>
            <w:r>
              <w:t xml:space="preserve"> </w:t>
            </w:r>
            <w:r>
              <w:rPr>
                <w:rStyle w:val="VerbatimChar"/>
              </w:rPr>
              <w:t xml:space="preserve">faws/FNAWS_2020_EU27_1km.tif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faws/faws_area_by_country.rds</w:t>
            </w:r>
            <w:r>
              <w:t xml:space="preserve"> </w:t>
            </w:r>
            <w:r>
              <w:t xml:space="preserve">(exact hectares by country at 100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03_download_eurostat.R</w:t>
            </w:r>
          </w:p>
        </w:tc>
        <w:tc>
          <w:tcPr/>
          <w:p>
            <w:pPr>
              <w:pStyle w:val="Compact"/>
            </w:pPr>
            <w:r>
              <w:t xml:space="preserve">Eurostat</w:t>
            </w:r>
            <w:r>
              <w:t xml:space="preserve"> </w:t>
            </w:r>
            <w:r>
              <w:rPr>
                <w:rStyle w:val="VerbatimChar"/>
              </w:rPr>
              <w:t xml:space="preserve">for_vol_efa</w:t>
            </w:r>
            <w:r>
              <w:t xml:space="preserve">, thousand m3, NAI and removals</w:t>
            </w:r>
            <w:r>
              <w:t xml:space="preserve"> </w:t>
            </w:r>
            <w:r>
              <w:t xml:space="preserve">(Eurostat, 2026b)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eurostat/for_vol_efa_thsm3.rds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</w:tbl>
    <w:p>
      <w:pPr>
        <w:pStyle w:val="BodyText"/>
      </w:pPr>
      <w:r>
        <w:t xml:space="preserve">The FAWS map has two values, 1 and 2. The coding (1 for FAWS, 2 for forest not available) is</w:t>
      </w:r>
      <w:r>
        <w:t xml:space="preserve"> </w:t>
      </w:r>
      <w:r>
        <w:t xml:space="preserve">inferred from the pixel counts and the accompanying report</w:t>
      </w:r>
      <w:r>
        <w:t xml:space="preserve"> </w:t>
      </w:r>
      <w:r>
        <w:t xml:space="preserve">(</w:t>
      </w:r>
      <w:r>
        <w:t xml:space="preserve">Avitabile et al.</w:t>
      </w:r>
      <w:r>
        <w:t xml:space="preserve">, 2023)</w:t>
      </w:r>
      <w:r>
        <w:t xml:space="preserve">, since the files do not</w:t>
      </w:r>
      <w:r>
        <w:t xml:space="preserve"> </w:t>
      </w:r>
      <w:r>
        <w:t xml:space="preserve">state it. The 100 m map weighs 157 MB, and the 1 km shares weigh about 15 MB in total.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"scripts/01_prepare_nuts.R"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"scripts/02_prepare_faws.R"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"scripts/03_download_eurostat.R"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"scripts/06_prepare_nuts_weights.R"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Map boundaries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Country maps use the NUTS boundaries of Eurostat GISCO. © EuroGeographics for the administrative</w:t>
            </w:r>
            <w:r>
              <w:t xml:space="preserve"> </w:t>
            </w:r>
            <w:r>
              <w:t xml:space="preserve">boundaries.</w:t>
            </w:r>
          </w:p>
          <w:p/>
        </w:tc>
      </w:tr>
    </w:tbl>
    <w:bookmarkEnd w:id="23"/>
    <w:bookmarkStart w:id="29" w:name="statistical-component"/>
    <w:p>
      <w:pPr>
        <w:pStyle w:val="Heading1"/>
      </w:pPr>
      <w:r>
        <w:t xml:space="preserve">Statistical component</w:t>
      </w:r>
    </w:p>
    <w:bookmarkStart w:id="24" w:name="loading-eurostat-data"/>
    <w:p>
      <w:pPr>
        <w:pStyle w:val="Heading2"/>
      </w:pPr>
      <w:r>
        <w:t xml:space="preserve">Loading Eurostat data</w:t>
      </w:r>
    </w:p>
    <w:p>
      <w:pPr>
        <w:pStyle w:val="FirstParagraph"/>
      </w:pPr>
      <w:r>
        <w:t xml:space="preserve">The data come from the European Forest Accounts questionnaire, which member states answer every</w:t>
      </w:r>
      <w:r>
        <w:t xml:space="preserve"> </w:t>
      </w:r>
      <w:r>
        <w:t xml:space="preserve">year. They are partial in practice, because many countries cannot split NAI between available and</w:t>
      </w:r>
      <w:r>
        <w:t xml:space="preserve"> </w:t>
      </w:r>
      <w:r>
        <w:t xml:space="preserve">unavailable forest, especially in the early years. The extract has one row per country, year,</w:t>
      </w:r>
      <w:r>
        <w:t xml:space="preserve"> </w:t>
      </w:r>
      <w:r>
        <w:t xml:space="preserve">flow (</w:t>
      </w:r>
      <w:r>
        <w:rPr>
          <w:rStyle w:val="VerbatimChar"/>
        </w:rPr>
        <w:t xml:space="preserve">NAI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RMOV</w:t>
      </w:r>
      <w:r>
        <w:t xml:space="preserve">) and forest class.</w:t>
      </w:r>
      <w:r>
        <w:t xml:space="preserve"> </w:t>
      </w:r>
      <w:r>
        <w:rPr>
          <w:rStyle w:val="VerbatimChar"/>
        </w:rPr>
        <w:t xml:space="preserve">FAWS</w:t>
      </w:r>
      <w:r>
        <w:t xml:space="preserve"> </w:t>
      </w:r>
      <w:r>
        <w:t xml:space="preserve">is</w:t>
      </w:r>
      <w:r>
        <w:t xml:space="preserve"> </w:t>
      </w:r>
      <w:r>
        <w:t xml:space="preserve">forest available for wood supply,</w:t>
      </w:r>
      <w:r>
        <w:t xml:space="preserve"> </w:t>
      </w:r>
      <w:r>
        <w:rPr>
          <w:rStyle w:val="VerbatimChar"/>
        </w:rPr>
        <w:t xml:space="preserve">FNAWS</w:t>
      </w:r>
      <w:r>
        <w:t xml:space="preserve"> </w:t>
      </w:r>
      <w:r>
        <w:t xml:space="preserve">forest not available, and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total forest. Only</w:t>
      </w:r>
      <w:r>
        <w:t xml:space="preserve"> </w:t>
      </w:r>
      <w:r>
        <w:t xml:space="preserve">the 27 member states are kept, and the EU aggregate published by Eurostat is held aside to</w:t>
      </w:r>
      <w:r>
        <w:t xml:space="preserve"> </w:t>
      </w:r>
      <w:r>
        <w:t xml:space="preserve">check the totals later.</w:t>
      </w:r>
    </w:p>
    <w:p>
      <w:pPr>
        <w:pStyle w:val="SourceCode"/>
      </w:pPr>
      <w:r>
        <w:rPr>
          <w:rStyle w:val="NormalTok"/>
        </w:rPr>
        <w:t xml:space="preserve">for_vol_efa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(eurostat_file)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(countries_file,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eu27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geo[countries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eu27]</w:t>
      </w:r>
      <w:r>
        <w:br/>
      </w:r>
      <w:r>
        <w:br/>
      </w:r>
      <w:r>
        <w:rPr>
          <w:rStyle w:val="NormalTok"/>
        </w:rPr>
        <w:t xml:space="preserve">eu_aggregate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"EU27_2020"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for_vol_efa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eu27)</w:t>
      </w:r>
    </w:p>
    <w:p>
      <w:pPr>
        <w:pStyle w:val="FirstParagraph"/>
      </w:pPr>
      <w:r>
        <w:t xml:space="preserve">A small function picks one series of the extract. It keeps the later steps to a single line.</w:t>
      </w:r>
    </w:p>
    <w:p>
      <w:pPr>
        <w:pStyle w:val="SourceCode"/>
      </w:pPr>
      <w:r>
        <w:rPr>
          <w:rStyle w:val="NormalTok"/>
        </w:rPr>
        <w:t xml:space="preserve">pick_series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(flow_name, class_name) {</w:t>
      </w:r>
      <w:r>
        <w:br/>
      </w:r>
      <w:r>
        <w:rPr>
          <w:rStyle w:val="NormalTok"/>
        </w:rPr>
        <w:t xml:space="preserve">  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(flow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flow_name, forest_class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class_name)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how-much-was-reported"/>
    <w:p>
      <w:pPr>
        <w:pStyle w:val="Heading2"/>
      </w:pPr>
      <w:r>
        <w:t xml:space="preserve">How much was reported</w:t>
      </w:r>
    </w:p>
    <w:p>
      <w:pPr>
        <w:pStyle w:val="FirstParagraph"/>
      </w:pPr>
      <w:r>
        <w:t xml:space="preserve">The table counts the member states that reported each series in the five reporting years. NAI of</w:t>
      </w:r>
      <w:r>
        <w:t xml:space="preserve"> </w:t>
      </w:r>
      <w:r>
        <w:t xml:space="preserve">FAWS is reported by very few countries before 2018, whereas NAI of total forest and removals</w:t>
      </w:r>
      <w:r>
        <w:t xml:space="preserve"> </w:t>
      </w:r>
      <w:r>
        <w:t xml:space="preserve">cover nearly all of them. This is the reason for the gap-filling rule in the next section.</w:t>
      </w:r>
    </w:p>
    <w:p>
      <w:pPr>
        <w:pStyle w:val="SourceCode"/>
      </w:pPr>
      <w:r>
        <w:rPr>
          <w:rStyle w:val="NormalTok"/>
        </w:rPr>
        <w:t xml:space="preserve">for_vol_efa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  forest_class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(flow, forest_class,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Flow =</w:t>
      </w:r>
      <w:r>
        <w:rPr>
          <w:rStyle w:val="NormalTok"/>
        </w:rPr>
        <w:t xml:space="preserve"> flow,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Forest class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forest_class)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51"/>
        <w:gridCol w:w="1381"/>
        <w:gridCol w:w="811"/>
        <w:gridCol w:w="811"/>
        <w:gridCol w:w="811"/>
        <w:gridCol w:w="811"/>
        <w:gridCol w:w="81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 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RMOV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RMOV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</w:tr>
    </w:tbl>
    <w:bookmarkEnd w:id="25"/>
    <w:bookmarkStart w:id="26" w:name="gap-filling-nai-of-faws"/>
    <w:p>
      <w:pPr>
        <w:pStyle w:val="Heading2"/>
      </w:pPr>
      <w:r>
        <w:t xml:space="preserve">Gap filling NAI of FAWS</w:t>
      </w:r>
    </w:p>
    <w:p>
      <w:pPr>
        <w:pStyle w:val="FirstParagraph"/>
      </w:pPr>
      <w:r>
        <w:t xml:space="preserve">The INCA plugin fills the NAI of FAWS in the order below, and the routine does the same so that</w:t>
      </w:r>
      <w:r>
        <w:t xml:space="preserve"> </w:t>
      </w:r>
      <w:r>
        <w:t xml:space="preserve">results are comparable with the plugin. The helper</w:t>
      </w:r>
      <w:r>
        <w:t xml:space="preserve"> </w:t>
      </w:r>
      <w:r>
        <w:rPr>
          <w:rStyle w:val="VerbatimChar"/>
        </w:rPr>
        <w:t xml:space="preserve">fill_series()</w:t>
      </w:r>
      <w:r>
        <w:t xml:space="preserve"> </w:t>
      </w:r>
      <w:r>
        <w:t xml:space="preserve">applies the rules and labels</w:t>
      </w:r>
      <w:r>
        <w:t xml:space="preserve"> </w:t>
      </w:r>
      <w:r>
        <w:t xml:space="preserve">each value with its origin.</w:t>
      </w:r>
    </w:p>
    <w:p>
      <w:pPr>
        <w:pStyle w:val="Compact"/>
        <w:numPr>
          <w:ilvl w:val="0"/>
          <w:numId w:val="1002"/>
        </w:numPr>
      </w:pPr>
      <w:r>
        <w:t xml:space="preserve">Use the NAI of FAWS where the country reported it (</w:t>
      </w:r>
      <w:r>
        <w:rPr>
          <w:rStyle w:val="VerbatimChar"/>
        </w:rPr>
        <w:t xml:space="preserve">reported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Otherwise use the NAI of total forest (</w:t>
      </w:r>
      <w:r>
        <w:rPr>
          <w:rStyle w:val="VerbatimChar"/>
        </w:rPr>
        <w:t xml:space="preserve">fallback</w:t>
      </w:r>
      <w:r>
        <w:t xml:space="preserve">). Total forest includes the forest that is</w:t>
      </w:r>
      <w:r>
        <w:t xml:space="preserve"> </w:t>
      </w:r>
      <w:r>
        <w:t xml:space="preserve">not available, so this is an upper bound for the flow of FAWS, but it is the closest reported</w:t>
      </w:r>
      <w:r>
        <w:t xml:space="preserve"> </w:t>
      </w:r>
      <w:r>
        <w:t xml:space="preserve">figure.</w:t>
      </w:r>
    </w:p>
    <w:p>
      <w:pPr>
        <w:pStyle w:val="Compact"/>
        <w:numPr>
          <w:ilvl w:val="0"/>
          <w:numId w:val="1002"/>
        </w:numPr>
      </w:pPr>
      <w:r>
        <w:t xml:space="preserve">Remaining gaps take the mean of the nearest earlier and later value of the same country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interpolated</w:t>
      </w:r>
      <w:r>
        <w:t xml:space="preserve">). Forest growth changes slowly, so a value between two reported years is a</w:t>
      </w:r>
      <w:r>
        <w:t xml:space="preserve"> </w:t>
      </w:r>
      <w:r>
        <w:t xml:space="preserve">reasonable estimate. Gaps at the start or end of a series repeat the nearest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carried</w:t>
      </w:r>
      <w:r>
        <w:t xml:space="preserve">), which assumes no change beyond the data.</w:t>
      </w:r>
    </w:p>
    <w:p>
      <w:pPr>
        <w:pStyle w:val="SourceCode"/>
      </w:pPr>
      <w:r>
        <w:rPr>
          <w:rStyle w:val="NormalTok"/>
        </w:rPr>
        <w:t xml:space="preserve">nai_filled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fill_series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fallback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geos =</w:t>
      </w:r>
      <w:r>
        <w:rPr>
          <w:rStyle w:val="NormalTok"/>
        </w:rPr>
        <w:t xml:space="preserve"> eu27,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years_all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table shows how many of the 27 values of each reporting year come from each rule. The</w:t>
      </w:r>
      <w:r>
        <w:t xml:space="preserve"> </w:t>
      </w:r>
      <w:r>
        <w:t xml:space="preserve">2024 row is dominated by carried values, because Eurostat holds 2024 for very few countries.</w:t>
      </w:r>
    </w:p>
    <w:p>
      <w:pPr>
        <w:pStyle w:val="SourceCode"/>
      </w:pPr>
      <w:r>
        <w:rPr>
          <w:rStyle w:val="NormalTok"/>
        </w:rPr>
        <w:t xml:space="preserve">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(year, source)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source,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021"/>
        <w:gridCol w:w="961"/>
        <w:gridCol w:w="108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fallback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26"/>
    <w:bookmarkStart w:id="27" w:name="check-against-the-eurostat-aggregate"/>
    <w:p>
      <w:pPr>
        <w:pStyle w:val="Heading2"/>
      </w:pPr>
      <w:r>
        <w:t xml:space="preserve">Check against the Eurostat aggregate</w:t>
      </w:r>
    </w:p>
    <w:p>
      <w:pPr>
        <w:pStyle w:val="FirstParagraph"/>
      </w:pPr>
      <w:r>
        <w:t xml:space="preserve">The sum of the 27 country values is compared with the EU27 aggregate that Eurostat publishes</w:t>
      </w:r>
      <w:r>
        <w:t xml:space="preserve"> </w:t>
      </w:r>
      <w:r>
        <w:t xml:space="preserve">for the same indicator. The aggregate for FAWS is Eurostat’s own estimate and differs from the</w:t>
      </w:r>
      <w:r>
        <w:t xml:space="preserve"> </w:t>
      </w:r>
      <w:r>
        <w:t xml:space="preserve">sum of the reported country values, so some differences are expected. The table is a plausibility</w:t>
      </w:r>
      <w:r>
        <w:t xml:space="preserve"> </w:t>
      </w:r>
      <w:r>
        <w:t xml:space="preserve">check, and values are in million cubic metres.</w:t>
      </w:r>
    </w:p>
    <w:p>
      <w:pPr>
        <w:pStyle w:val="SourceCode"/>
      </w:pPr>
      <w:r>
        <w:rPr>
          <w:rStyle w:val="NormalTok"/>
        </w:rPr>
        <w:t xml:space="preserve">eu_check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countries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eu_aggregate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(flow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, forest_class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"Eurostat EU27"</w:t>
      </w:r>
      <w:r>
        <w:rPr>
          <w:rStyle w:val="NormalTok"/>
        </w:rPr>
        <w:t xml:space="preserve">, forest_class),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million_m3 =</w:t>
      </w:r>
      <w:r>
        <w:rPr>
          <w:rStyle w:val="NormalTok"/>
        </w:rPr>
        <w:t xml:space="preserve"> thousand_m3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series, million_m3)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million_m3),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</w:t>
      </w:r>
      <w:r>
        <w:br/>
      </w:r>
      <w:r>
        <w:br/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(eu_check,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761"/>
        <w:gridCol w:w="2151"/>
        <w:gridCol w:w="201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countries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Eurostat EU27 FAWS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Eurostat EU27 FOR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bookmarkEnd w:id="27"/>
    <w:bookmarkStart w:id="28" w:name="Xb033f69d918f234ccf52829db25046949077f0a"/>
    <w:p>
      <w:pPr>
        <w:pStyle w:val="Heading2"/>
      </w:pPr>
      <w:r>
        <w:t xml:space="preserve">A sensitivity check on the total forest fallback</w:t>
      </w:r>
    </w:p>
    <w:p>
      <w:pPr>
        <w:pStyle w:val="FirstParagraph"/>
      </w:pPr>
      <w:r>
        <w:t xml:space="preserve">NAI of total forest includes the forest not available for wood supply, so using it in place of the</w:t>
      </w:r>
      <w:r>
        <w:t xml:space="preserve"> </w:t>
      </w:r>
      <w:r>
        <w:t xml:space="preserve">NAI of FAWS probably overstates the flow in the countries that need the fallback. The FAWS map</w:t>
      </w:r>
      <w:r>
        <w:t xml:space="preserve"> </w:t>
      </w:r>
      <w:r>
        <w:t xml:space="preserve">gives the share of forest that is available in 2020 for every country. As a sensitivity check,</w:t>
      </w:r>
      <w:r>
        <w:t xml:space="preserve"> </w:t>
      </w:r>
      <w:r>
        <w:t xml:space="preserve">the fallback values are multiplied by that share. The adjusted series is not used in the main</w:t>
      </w:r>
      <w:r>
        <w:t xml:space="preserve"> </w:t>
      </w:r>
      <w:r>
        <w:t xml:space="preserve">results, and it is exported in the summary workbook for comparison.</w:t>
      </w:r>
    </w:p>
    <w:p>
      <w:pPr>
        <w:pStyle w:val="SourceCode"/>
      </w:pPr>
      <w:r>
        <w:rPr>
          <w:rStyle w:val="NormalTok"/>
        </w:rPr>
        <w:t xml:space="preserve">faws_area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(faws_area_file)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faws_share =</w:t>
      </w:r>
      <w:r>
        <w:rPr>
          <w:rStyle w:val="NormalTok"/>
        </w:rPr>
        <w:t xml:space="preserve"> faws_ha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(faws_ha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fnaws_ha))</w:t>
      </w:r>
      <w:r>
        <w:br/>
      </w:r>
      <w:r>
        <w:br/>
      </w:r>
      <w:r>
        <w:rPr>
          <w:rStyle w:val="NormalTok"/>
        </w:rPr>
        <w:t xml:space="preserve">nai_adjusted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(faws_area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faws_share),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value_adjusted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(source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rPr>
          <w:rStyle w:val="NormalTok"/>
        </w:rPr>
        <w:t xml:space="preserve">, 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faws_share, value)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nai_adjusted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INCA rule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Fallback scaled by FAWS share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(value_adjusted)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Fallback scaled by FAWS share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INCA rule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191"/>
        <w:gridCol w:w="296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INCA rule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Fallback scaled by FAWS share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-6.3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</w:tr>
    </w:tbl>
    <w:bookmarkEnd w:id="28"/>
    <w:bookmarkEnd w:id="29"/>
    <w:bookmarkStart w:id="33" w:name="overuse-check"/>
    <w:p>
      <w:pPr>
        <w:pStyle w:val="Heading1"/>
      </w:pPr>
      <w:r>
        <w:t xml:space="preserve">Overuse check</w:t>
      </w:r>
    </w:p>
    <w:p>
      <w:pPr>
        <w:pStyle w:val="FirstParagraph"/>
      </w:pPr>
      <w:r>
        <w:t xml:space="preserve">NAI is the wood that the forest grows in a year, and removals are the wood taken out. When removals</w:t>
      </w:r>
      <w:r>
        <w:t xml:space="preserve"> </w:t>
      </w:r>
      <w:r>
        <w:t xml:space="preserve">stay above NAI the standing stock shrinks, which means that the service is being used faster than</w:t>
      </w:r>
      <w:r>
        <w:t xml:space="preserve"> </w:t>
      </w:r>
      <w:r>
        <w:t xml:space="preserve">it renews. Overuse is reported when removals exceed NAI.</w:t>
      </w:r>
      <w:r>
        <w:t xml:space="preserve"> </w:t>
      </w:r>
      <w:r>
        <w:t xml:space="preserve">Removals are used and not fellings, because fellings are not part of</w:t>
      </w:r>
      <w:r>
        <w:t xml:space="preserve"> </w:t>
      </w:r>
      <w:r>
        <w:rPr>
          <w:rStyle w:val="VerbatimChar"/>
        </w:rPr>
        <w:t xml:space="preserve">for_vol_efa</w:t>
      </w:r>
      <w:r>
        <w:t xml:space="preserve">. The routine</w:t>
      </w:r>
      <w:r>
        <w:t xml:space="preserve"> </w:t>
      </w:r>
      <w:r>
        <w:t xml:space="preserve">takes the removals from forest available for wood supply (</w:t>
      </w:r>
      <w:r>
        <w:rPr>
          <w:rStyle w:val="VerbatimChar"/>
        </w:rPr>
        <w:t xml:space="preserve">RMOV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FAWS</w:t>
      </w:r>
      <w:r>
        <w:t xml:space="preserve">), with the same</w:t>
      </w:r>
      <w:r>
        <w:t xml:space="preserve"> </w:t>
      </w:r>
      <w:r>
        <w:t xml:space="preserve">fallback and gap-filling rules as NAI, so both sides of the comparison cover the same forest.</w:t>
      </w:r>
    </w:p>
    <w:p>
      <w:pPr>
        <w:pStyle w:val="BodyText"/>
      </w:pPr>
      <w:r>
        <w:t xml:space="preserve">The comparison is made year by year. A single year above 1 can be a temporary peak, for example</w:t>
      </w:r>
      <w:r>
        <w:t xml:space="preserve"> </w:t>
      </w:r>
      <w:r>
        <w:t xml:space="preserve">after a storm, and a sustained ratio above 1 is the stronger signal. The ratio of removals to NAI</w:t>
      </w:r>
      <w:r>
        <w:t xml:space="preserve"> </w:t>
      </w:r>
      <w:r>
        <w:t xml:space="preserve">is kept in the table, in addition to the flag, for that reason.</w:t>
      </w:r>
    </w:p>
    <w:p>
      <w:pPr>
        <w:pStyle w:val="SourceCode"/>
      </w:pPr>
      <w:r>
        <w:rPr>
          <w:rStyle w:val="NormalTok"/>
        </w:rPr>
        <w:t xml:space="preserve">removals_filled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fill_series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"FAWS"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fallback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pick_series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geos =</w:t>
      </w:r>
      <w:r>
        <w:rPr>
          <w:rStyle w:val="NormalTok"/>
        </w:rPr>
        <w:t xml:space="preserve"> eu27,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years_all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check_overuse</w:t>
      </w:r>
      <w:r>
        <w:rPr>
          <w:rStyle w:val="NormalTok"/>
        </w:rPr>
        <w:t xml:space="preserve">(nai_filled, removals_filled)</w:t>
      </w:r>
    </w:p>
    <w:p>
      <w:pPr>
        <w:pStyle w:val="FirstParagraph"/>
      </w:pPr>
      <w:r>
        <w:t xml:space="preserve">The next table lists the country-years with overuse among the reporting years. When the NAI or</w:t>
      </w:r>
      <w:r>
        <w:t xml:space="preserve"> </w:t>
      </w:r>
      <w:r>
        <w:t xml:space="preserve">the removals of a country-year were carried forward or taken from the fallback, the flag</w:t>
      </w:r>
      <w:r>
        <w:t xml:space="preserve"> </w:t>
      </w:r>
      <w:r>
        <w:t xml:space="preserve">deserves a second look, and the source columns show it.</w:t>
      </w:r>
    </w:p>
    <w:p>
      <w:pPr>
        <w:pStyle w:val="SourceCode"/>
      </w:pPr>
      <w:r>
        <w:rPr>
          <w:rStyle w:val="NormalTok"/>
        </w:rPr>
        <w:t xml:space="preserve">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years_report, overuse)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geo,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(1000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nai,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(1000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removals,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/ NAI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removals_to_nai,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source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(nai_source),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source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(removals_source)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Removals / NAI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041"/>
        <w:gridCol w:w="1581"/>
        <w:gridCol w:w="2081"/>
        <w:gridCol w:w="1661"/>
        <w:gridCol w:w="1301"/>
        <w:gridCol w:w="18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(1000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Removals (1000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Removals / NAI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Removals source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8,200.00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11,564.00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16,126.60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18,920.00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CZ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20,458.35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20,495.73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carried</w:t>
            </w:r>
          </w:p>
        </w:tc>
      </w:tr>
    </w:tbl>
    <w:p>
      <w:pPr>
        <w:pStyle w:val="FirstParagraph"/>
      </w:pPr>
      <w:r>
        <w:t xml:space="preserve">The chart shows the ratio of removals to NAI for the countries in the reporting years. Values</w:t>
      </w:r>
      <w:r>
        <w:t xml:space="preserve"> </w:t>
      </w:r>
      <w:r>
        <w:t xml:space="preserve">to the right of the dashed line are overuse. Malta has only zero values in the extract, so its ratio is</w:t>
      </w:r>
      <w:r>
        <w:t xml:space="preserve"> </w:t>
      </w:r>
      <w:r>
        <w:t xml:space="preserve">undefined and it is left out of the chart.</w:t>
      </w:r>
    </w:p>
    <w:p>
      <w:pPr>
        <w:pStyle w:val="SourceCode"/>
      </w:pPr>
      <w:r>
        <w:rPr>
          <w:rStyle w:val="NormalTok"/>
        </w:rPr>
        <w:t xml:space="preserve">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(removals_to_nai))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(geo, removals_to_nai,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max))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removals_to_nai,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"Removals / NAI"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14866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overuse-char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42" w:name="spatial-component"/>
    <w:p>
      <w:pPr>
        <w:pStyle w:val="Heading1"/>
      </w:pPr>
      <w:r>
        <w:t xml:space="preserve">Spatial component</w:t>
      </w:r>
    </w:p>
    <w:bookmarkStart w:id="34" w:name="the-spatial-key"/>
    <w:p>
      <w:pPr>
        <w:pStyle w:val="Heading2"/>
      </w:pPr>
      <w:r>
        <w:t xml:space="preserve">The spatial key</w:t>
      </w:r>
    </w:p>
    <w:p>
      <w:pPr>
        <w:pStyle w:val="FirstParagraph"/>
      </w:pPr>
      <w:r>
        <w:t xml:space="preserve">Chapter 4 of INCA Part II spreads national flows with a productivity proxy over the forest classes</w:t>
      </w:r>
      <w:r>
        <w:t xml:space="preserve"> </w:t>
      </w:r>
      <w:r>
        <w:t xml:space="preserve">of Corine Land Cover, and it explains that a map of forest available for wood supply did not</w:t>
      </w:r>
      <w:r>
        <w:t xml:space="preserve"> </w:t>
      </w:r>
      <w:r>
        <w:t xml:space="preserve">exist at the time</w:t>
      </w:r>
      <w:r>
        <w:t xml:space="preserve"> </w:t>
      </w:r>
      <w:r>
        <w:t xml:space="preserve">(Vallecillo et al., 2019)</w:t>
      </w:r>
      <w:r>
        <w:t xml:space="preserve">. That map now exists</w:t>
      </w:r>
      <w:r>
        <w:t xml:space="preserve"> </w:t>
      </w:r>
      <w:r>
        <w:t xml:space="preserve">(European Commission, Joint Research Centre, 2026)</w:t>
      </w:r>
      <w:r>
        <w:t xml:space="preserve">. The routine uses</w:t>
      </w:r>
      <w:r>
        <w:t xml:space="preserve"> </w:t>
      </w:r>
      <w:r>
        <w:t xml:space="preserve">it as the spatial key: inside each country, the national NAI is spread in proportion to the</w:t>
      </w:r>
      <w:r>
        <w:t xml:space="preserve"> </w:t>
      </w:r>
      <w:r>
        <w:t xml:space="preserve">share of every 1 km cell that is available for wood supply. Cells without FAWS get no flow, and</w:t>
      </w:r>
      <w:r>
        <w:t xml:space="preserve"> </w:t>
      </w:r>
      <w:r>
        <w:t xml:space="preserve">the cells of a country add up to its national value.</w:t>
      </w:r>
    </w:p>
    <w:p>
      <w:pPr>
        <w:pStyle w:val="BodyText"/>
      </w:pPr>
      <w:r>
        <w:t xml:space="preserve">The FAWS map describes a single year (2020), so the same spatial key is used for every reporting</w:t>
      </w:r>
      <w:r>
        <w:t xml:space="preserve"> </w:t>
      </w:r>
      <w:r>
        <w:t xml:space="preserve">year. Changes between years come only from the national statistics.</w:t>
      </w:r>
    </w:p>
    <w:p>
      <w:pPr>
        <w:pStyle w:val="BodyText"/>
      </w:pPr>
      <w:r>
        <w:t xml:space="preserve">Three choices in this step deserve a short explanation. First, the maps use the projection</w:t>
      </w:r>
      <w:r>
        <w:t xml:space="preserve"> </w:t>
      </w:r>
      <w:r>
        <w:t xml:space="preserve">EPSG:3035 (ETRS89 Lambert azimuthal equal-area), in which every cell covers the same area on the</w:t>
      </w:r>
      <w:r>
        <w:t xml:space="preserve"> </w:t>
      </w:r>
      <w:r>
        <w:t xml:space="preserve">ground, so a share of a cell and a count of cells translate directly into areas. Second, the FAWS map</w:t>
      </w:r>
      <w:r>
        <w:t xml:space="preserve"> </w:t>
      </w:r>
      <w:r>
        <w:t xml:space="preserve">is built at 100 m, and the routine summarises it to 1 km cells holding the share of the cell that</w:t>
      </w:r>
      <w:r>
        <w:t xml:space="preserve"> </w:t>
      </w:r>
      <w:r>
        <w:t xml:space="preserve">is FAWS. This keeps the delivered files small enough for the repository, and the exact areas</w:t>
      </w:r>
      <w:r>
        <w:t xml:space="preserve"> </w:t>
      </w:r>
      <w:r>
        <w:t xml:space="preserve">at 100 m are kept for each country as a reference. Third, the sum of each country is conserved,</w:t>
      </w:r>
      <w:r>
        <w:t xml:space="preserve"> </w:t>
      </w:r>
      <w:r>
        <w:t xml:space="preserve">which means that mapping redistributes the national NAI and neither adds nor removes any.</w:t>
      </w:r>
    </w:p>
    <w:p>
      <w:pPr>
        <w:pStyle w:val="SourceCode"/>
      </w:pPr>
      <w:r>
        <w:rPr>
          <w:rStyle w:val="NormalTok"/>
        </w:rPr>
        <w:t xml:space="preserve">faws_share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(faws_share_file)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(countries_file)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eu_countries[eu_countries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eu27, ]</w:t>
      </w:r>
    </w:p>
    <w:bookmarkEnd w:id="34"/>
    <w:bookmarkStart w:id="35" w:name="country-grid-and-weights"/>
    <w:p>
      <w:pPr>
        <w:pStyle w:val="Heading2"/>
      </w:pPr>
      <w:r>
        <w:t xml:space="preserve">Country grid and weights</w:t>
      </w:r>
    </w:p>
    <w:p>
      <w:pPr>
        <w:pStyle w:val="FirstParagraph"/>
      </w:pPr>
      <w:r>
        <w:t xml:space="preserve">Each 1 km cell is assigned to a country, and the weights of every country are added once. The</w:t>
      </w:r>
      <w:r>
        <w:t xml:space="preserve"> </w:t>
      </w:r>
      <w:r>
        <w:t xml:space="preserve">sums are reused for every year.</w:t>
      </w:r>
    </w:p>
    <w:p>
      <w:pPr>
        <w:pStyle w:val="SourceCode"/>
      </w:pPr>
      <w:r>
        <w:rPr>
          <w:rStyle w:val="NormalTok"/>
        </w:rPr>
        <w:t xml:space="preserve">country_ids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make_country_ids</w:t>
      </w:r>
      <w:r>
        <w:rPr>
          <w:rStyle w:val="NormalTok"/>
        </w:rPr>
        <w:t xml:space="preserve">(eu_countries, faws_share)</w:t>
      </w:r>
      <w:r>
        <w:br/>
      </w:r>
      <w:r>
        <w:rPr>
          <w:rStyle w:val="NormalTok"/>
        </w:rPr>
        <w:t xml:space="preserve">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country_weight_sums</w:t>
      </w:r>
      <w:r>
        <w:rPr>
          <w:rStyle w:val="NormalTok"/>
        </w:rPr>
        <w:t xml:space="preserve">(faws_share, country_ids)</w:t>
      </w:r>
    </w:p>
    <w:p>
      <w:pPr>
        <w:pStyle w:val="FirstParagraph"/>
      </w:pPr>
      <w:r>
        <w:t xml:space="preserve">The weights of the 1 km grid can be compared with the exact hectares computed from the 100 m map.</w:t>
      </w:r>
      <w:r>
        <w:t xml:space="preserve"> </w:t>
      </w:r>
      <w:r>
        <w:t xml:space="preserve">The small shortfall comes from cells that fall outside the generalised country polygons, mostly</w:t>
      </w:r>
      <w:r>
        <w:t xml:space="preserve"> </w:t>
      </w:r>
      <w:r>
        <w:t xml:space="preserve">on coasts.</w:t>
      </w:r>
    </w:p>
    <w:p>
      <w:pPr>
        <w:pStyle w:val="SourceCode"/>
      </w:pPr>
      <w:r>
        <w:rPr>
          <w:rStyle w:val="NormalTok"/>
        </w:rPr>
        <w:t xml:space="preserve">weight_sums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(faws_area,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in 1 km weights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(weight_sum)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at 100 m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(faws_ha)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41"/>
        <w:gridCol w:w="22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in 1 km weights (Mha)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at 100 m (Mha)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139.26</w:t>
            </w:r>
          </w:p>
        </w:tc>
      </w:tr>
    </w:tbl>
    <w:bookmarkEnd w:id="35"/>
    <w:bookmarkStart w:id="36" w:name="spreading-the-national-nai"/>
    <w:p>
      <w:pPr>
        <w:pStyle w:val="Heading2"/>
      </w:pPr>
      <w:r>
        <w:t xml:space="preserve">Spreading the national NAI</w:t>
      </w:r>
    </w:p>
    <w:p>
      <w:pPr>
        <w:pStyle w:val="FirstParagraph"/>
      </w:pPr>
      <w:r>
        <w:t xml:space="preserve">For each reporting year, the helper</w:t>
      </w:r>
      <w:r>
        <w:t xml:space="preserve"> </w:t>
      </w:r>
      <w:r>
        <w:rPr>
          <w:rStyle w:val="VerbatimChar"/>
        </w:rPr>
        <w:t xml:space="preserve">spread_totals()</w:t>
      </w:r>
      <w:r>
        <w:t xml:space="preserve"> </w:t>
      </w:r>
      <w:r>
        <w:t xml:space="preserve">multiplies every cell by its country factor</w:t>
      </w:r>
      <w:r>
        <w:t xml:space="preserve"> </w:t>
      </w:r>
      <w:r>
        <w:t xml:space="preserve">(national NAI divided by the weight total of the country). The result is in thousand cubic metres</w:t>
      </w:r>
      <w:r>
        <w:t xml:space="preserve"> </w:t>
      </w:r>
      <w:r>
        <w:t xml:space="preserve">per 1 km cell, and each year is saved as a compressed GeoTIFF in</w:t>
      </w:r>
      <w:r>
        <w:t xml:space="preserve"> </w:t>
      </w:r>
      <w:r>
        <w:rPr>
          <w:rStyle w:val="VerbatimChar"/>
        </w:rPr>
        <w:t xml:space="preserve">data/outputs/gis/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flow_map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(nai_filled,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faws_share,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weight_sums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(flow_map)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"nai_faws_"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flow_map,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"wood_nai_faws_1km_%s.tif"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conservation-check"/>
    <w:p>
      <w:pPr>
        <w:pStyle w:val="Heading2"/>
      </w:pPr>
      <w:r>
        <w:t xml:space="preserve">Conservation check</w:t>
      </w:r>
    </w:p>
    <w:p>
      <w:pPr>
        <w:pStyle w:val="FirstParagraph"/>
      </w:pPr>
      <w:r>
        <w:t xml:space="preserve">The sum of each map must equal the sum of the national values of that year. The check reads the</w:t>
      </w:r>
      <w:r>
        <w:t xml:space="preserve"> </w:t>
      </w:r>
      <w:r>
        <w:t xml:space="preserve">maps back from disk, so it also verifies the files that are delivered.</w:t>
      </w:r>
    </w:p>
    <w:p>
      <w:pPr>
        <w:pStyle w:val="SourceCode"/>
      </w:pPr>
      <w:r>
        <w:rPr>
          <w:rStyle w:val="NormalTok"/>
        </w:rPr>
        <w:t xml:space="preserve">nai_maps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"wood_nai_faws_1km_%s.tif"</w:t>
      </w:r>
      <w:r>
        <w:rPr>
          <w:rStyle w:val="NormalTok"/>
        </w:rPr>
        <w:t xml:space="preserve">, years_report)))</w:t>
      </w:r>
      <w:r>
        <w:br/>
      </w:r>
      <w:r>
        <w:br/>
      </w:r>
      <w:r>
        <w:rPr>
          <w:rStyle w:val="NormalTok"/>
        </w:rPr>
        <w:t xml:space="preserve">national_totals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(nai_maps,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451"/>
        <w:gridCol w:w="321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</w:tbl>
    <w:p>
      <w:pPr>
        <w:pStyle w:val="FirstParagraph"/>
      </w:pPr>
      <w:r>
        <w:t xml:space="preserve">A second check confirms that no country is left without a map although it has a national value.</w:t>
      </w:r>
      <w:r>
        <w:t xml:space="preserve"> </w:t>
      </w:r>
      <w:r>
        <w:t xml:space="preserve">A country with a national NAI and no FAWS cells would lose its flow, and the table would list it.</w:t>
      </w:r>
    </w:p>
    <w:p>
      <w:pPr>
        <w:pStyle w:val="SourceCode"/>
      </w:pPr>
      <w:r>
        <w:rPr>
          <w:rStyle w:val="NormalTok"/>
        </w:rPr>
        <w:t xml:space="preserve">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(years_report))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(weight_sums,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(weight_sum)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weight_sum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geo,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(1000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158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(1000 m3)</w:t>
            </w:r>
          </w:p>
        </w:tc>
      </w:tr>
    </w:tbl>
    <w:bookmarkEnd w:id="37"/>
    <w:bookmarkStart w:id="41" w:name="maps"/>
    <w:p>
      <w:pPr>
        <w:pStyle w:val="Heading2"/>
      </w:pPr>
      <w:r>
        <w:t xml:space="preserve">Maps</w:t>
      </w:r>
    </w:p>
    <w:p>
      <w:pPr>
        <w:pStyle w:val="FirstParagraph"/>
      </w:pPr>
      <w:r>
        <w:t xml:space="preserve">The maps are shown at 10 km (sum of the 100 cells of 1 km) so that they draw quickly. The delivered</w:t>
      </w:r>
      <w:r>
        <w:t xml:space="preserve"> </w:t>
      </w:r>
      <w:r>
        <w:t xml:space="preserve">files keep the 1 km resolution.</w:t>
      </w:r>
    </w:p>
    <w:p>
      <w:pPr>
        <w:pStyle w:val="SourceCode"/>
      </w:pPr>
      <w:r>
        <w:rPr>
          <w:rStyle w:val="NormalTok"/>
        </w:rPr>
        <w:t xml:space="preserve">map_data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(nai_maps,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"nai_faws_"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"nai_faws_"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year))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(map_data)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nai))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 10 km cell"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nai-map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56" w:name="X8e24b68ac7a0b27f5da90d71b859a6580368683"/>
    <w:p>
      <w:pPr>
        <w:pStyle w:val="Heading1"/>
      </w:pPr>
      <w:r>
        <w:t xml:space="preserve">Refinement: Corine Land Cover forest by year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refinement with its own outputs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Everything above is the baseline and is not changed by this section. The refinement writes to</w:t>
            </w:r>
            <w:r>
              <w:t xml:space="preserve"> </w:t>
            </w:r>
            <w:r>
              <w:t xml:space="preserve">the subfolders</w:t>
            </w:r>
            <w:r>
              <w:t xml:space="preserve"> </w:t>
            </w:r>
            <w:r>
              <w:rPr>
                <w:rStyle w:val="VerbatimChar"/>
              </w:rPr>
              <w:t xml:space="preserve">data/outputs/gis/corine_refinement/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data/outputs/results/corine_refinement/</w:t>
            </w:r>
            <w:r>
              <w:t xml:space="preserve">,</w:t>
            </w:r>
            <w:r>
              <w:t xml:space="preserve"> </w:t>
            </w:r>
            <w:r>
              <w:t xml:space="preserve">and every file name starts with</w:t>
            </w:r>
            <w:r>
              <w:t xml:space="preserve"> </w:t>
            </w:r>
            <w:r>
              <w:rPr>
                <w:rStyle w:val="VerbatimChar"/>
              </w:rPr>
              <w:t xml:space="preserve">corine_refinement_</w:t>
            </w:r>
            <w:r>
              <w:t xml:space="preserve">, so it cannot be mistaken for the baseline.</w:t>
            </w:r>
          </w:p>
          <w:p/>
        </w:tc>
      </w:tr>
    </w:tbl>
    <w:bookmarkStart w:id="46" w:name="why-and-how"/>
    <w:p>
      <w:pPr>
        <w:pStyle w:val="Heading2"/>
      </w:pPr>
      <w:r>
        <w:t xml:space="preserve">Why and how</w:t>
      </w:r>
    </w:p>
    <w:p>
      <w:pPr>
        <w:pStyle w:val="FirstParagraph"/>
      </w:pPr>
      <w:r>
        <w:t xml:space="preserve">Corine Land Cover is a European land cover map made by photo-interpreting satellite images, with</w:t>
      </w:r>
      <w:r>
        <w:t xml:space="preserve"> </w:t>
      </w:r>
      <w:r>
        <w:t xml:space="preserve">44 classes and a minimum mapped unit of 25 ha. It is produced for 1990, 2000, 2006, 2012 and 2018.</w:t>
      </w:r>
      <w:r>
        <w:t xml:space="preserve"> </w:t>
      </w:r>
      <w:r>
        <w:t xml:space="preserve">The classes of forest are broad-leaved, coniferous and mixed forest.</w:t>
      </w:r>
    </w:p>
    <w:p>
      <w:pPr>
        <w:pStyle w:val="BodyText"/>
      </w:pPr>
      <w:r>
        <w:t xml:space="preserve">The baseline uses the 2020 FAWS pattern for every year. Corine Land Cover (CLC) maps forest</w:t>
      </w:r>
      <w:r>
        <w:t xml:space="preserve"> </w:t>
      </w:r>
      <w:r>
        <w:t xml:space="preserve">for 2000, 2006, 2012 and 2018</w:t>
      </w:r>
      <w:r>
        <w:t xml:space="preserve"> </w:t>
      </w:r>
      <w:r>
        <w:t xml:space="preserve">(European Environment Agency, 2020)</w:t>
      </w:r>
      <w:r>
        <w:t xml:space="preserve">, so combining the two lets the spatial key change with forest</w:t>
      </w:r>
      <w:r>
        <w:t xml:space="preserve"> </w:t>
      </w:r>
      <w:r>
        <w:t xml:space="preserve">extent. The refined key of a year is the 100 m overlap of FAWS and CLC forest (broad-leaved,</w:t>
      </w:r>
      <w:r>
        <w:t xml:space="preserve"> </w:t>
      </w:r>
      <w:r>
        <w:t xml:space="preserve">coniferous and mixed forest, CLC 311, 312 and 313) of that epoch, summed to 1 km shares. The</w:t>
      </w:r>
      <w:r>
        <w:t xml:space="preserve"> </w:t>
      </w:r>
      <w:r>
        <w:t xml:space="preserve">national NAI is spread over it in the same way as in the baseline, so the sum of each country is</w:t>
      </w:r>
      <w:r>
        <w:t xml:space="preserve"> </w:t>
      </w:r>
      <w:r>
        <w:t xml:space="preserve">conserved. CLC 2018 is the latest epoch and is also used for 2024.</w:t>
      </w:r>
    </w:p>
    <w:p>
      <w:pPr>
        <w:pStyle w:val="BodyText"/>
      </w:pPr>
      <w:r>
        <w:t xml:space="preserve">The CLC rasters are 3 GB each as downloaded. The script</w:t>
      </w:r>
      <w:r>
        <w:t xml:space="preserve"> </w:t>
      </w:r>
      <w:r>
        <w:rPr>
          <w:rStyle w:val="VerbatimChar"/>
        </w:rPr>
        <w:t xml:space="preserve">scripts/05_prepare_clc.R</w:t>
      </w:r>
      <w:r>
        <w:t xml:space="preserve"> </w:t>
      </w:r>
      <w:r>
        <w:t xml:space="preserve">reduces them to</w:t>
      </w:r>
      <w:r>
        <w:t xml:space="preserve"> </w:t>
      </w:r>
      <w:r>
        <w:t xml:space="preserve">four 1 km files of about 9 MB in</w:t>
      </w:r>
      <w:r>
        <w:t xml:space="preserve"> </w:t>
      </w:r>
      <w:r>
        <w:rPr>
          <w:rStyle w:val="VerbatimChar"/>
        </w:rPr>
        <w:t xml:space="preserve">data/inputs/corine/</w:t>
      </w:r>
      <w:r>
        <w:t xml:space="preserve">. The version used is V2020_20u1</w:t>
      </w:r>
      <w:r>
        <w:t xml:space="preserve"> </w:t>
      </w:r>
      <w:r>
        <w:t xml:space="preserve">(the Copernicus Land Monitoring Service release that revised all epochs consistently).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"scripts/05_prepare_clc.R"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46"/>
    <w:bookmarkStart w:id="47" w:name="weights-by-epoch"/>
    <w:p>
      <w:pPr>
        <w:pStyle w:val="Heading2"/>
      </w:pPr>
      <w:r>
        <w:t xml:space="preserve">Weights by epoch</w:t>
      </w:r>
    </w:p>
    <w:p>
      <w:pPr>
        <w:pStyle w:val="SourceCode"/>
      </w:pPr>
      <w:r>
        <w:rPr>
          <w:rStyle w:val="NormalTok"/>
        </w:rPr>
        <w:t xml:space="preserve">clc_epochs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CLC epoch used for each reporting year</w:t>
      </w:r>
      <w:r>
        <w:br/>
      </w:r>
      <w:r>
        <w:rPr>
          <w:rStyle w:val="NormalTok"/>
        </w:rPr>
        <w:t xml:space="preserve">clc_for_year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2006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2012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2018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2024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refine_gis_dir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refine_results_dir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clc_weights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(clc_epochs, \(e)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"data/inputs/corine/FAWS_x_CLC%s_1km.tif"</w:t>
      </w:r>
      <w:r>
        <w:rPr>
          <w:rStyle w:val="NormalTok"/>
        </w:rPr>
        <w:t xml:space="preserve">, e)))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(clc_weights)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clc_epochs</w:t>
      </w:r>
      <w:r>
        <w:br/>
      </w:r>
      <w:r>
        <w:br/>
      </w:r>
      <w:r>
        <w:rPr>
          <w:rStyle w:val="NormalTok"/>
        </w:rPr>
        <w:t xml:space="preserve">clc_weight_sums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(clc_weights, country_weight_sums,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country_ids)</w:t>
      </w:r>
    </w:p>
    <w:p>
      <w:pPr>
        <w:pStyle w:val="FirstParagraph"/>
      </w:pPr>
      <w:r>
        <w:t xml:space="preserve">The table gives the area where FAWS and CLC forest coincide, as a share of the FAWS area. CLC</w:t>
      </w:r>
      <w:r>
        <w:t xml:space="preserve"> </w:t>
      </w:r>
      <w:r>
        <w:t xml:space="preserve">forest and FAWS come from different sources and mapping units (CLC has a minimum mapping unit of</w:t>
      </w:r>
      <w:r>
        <w:t xml:space="preserve"> </w:t>
      </w:r>
      <w:r>
        <w:t xml:space="preserve">25 ha), so the overlap is partial, and it differs by country.</w:t>
      </w:r>
    </w:p>
    <w:p>
      <w:pPr>
        <w:pStyle w:val="SourceCode"/>
      </w:pPr>
      <w:r>
        <w:rPr>
          <w:rStyle w:val="NormalTok"/>
        </w:rPr>
        <w:t xml:space="preserve">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(clc_weight_sums,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(weight_sums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faws =</w:t>
      </w:r>
      <w:r>
        <w:rPr>
          <w:rStyle w:val="NormalTok"/>
        </w:rPr>
        <w:t xml:space="preserve"> weight_sum),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overlap_ha =</w:t>
      </w:r>
      <w:r>
        <w:rPr>
          <w:rStyle w:val="NormalTok"/>
        </w:rPr>
        <w:t xml:space="preserve"> weight_sum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faws_ha_1km =</w:t>
      </w:r>
      <w:r>
        <w:rPr>
          <w:rStyle w:val="NormalTok"/>
        </w:rPr>
        <w:t xml:space="preserve"> faws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overlap_share =</w:t>
      </w:r>
      <w:r>
        <w:rPr>
          <w:rStyle w:val="NormalTok"/>
        </w:rPr>
        <w:t xml:space="preserve"> overlap_ha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faws_ha_1km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overlap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(faws_ha_1km)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FAWS and CLC forest (Mha)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(overlap_ha)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Overlap (% of FAWS)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(overlap_ha)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(faws_ha_1km),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epoch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CLC epoch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epoch)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11"/>
        <w:gridCol w:w="1451"/>
        <w:gridCol w:w="2711"/>
        <w:gridCol w:w="214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CLC epoch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(Mha)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FAWS and CLC forest (Mha)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(% of FAWS)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78.2</w:t>
            </w:r>
          </w:p>
        </w:tc>
      </w:tr>
    </w:tbl>
    <w:p>
      <w:pPr>
        <w:pStyle w:val="FirstParagraph"/>
      </w:pPr>
      <w:r>
        <w:t xml:space="preserve">No country loses all of its weights, so every national value can be placed. The countries with</w:t>
      </w:r>
      <w:r>
        <w:t xml:space="preserve"> </w:t>
      </w:r>
      <w:r>
        <w:t xml:space="preserve">the lowest overlap in 2018 are listed below, since their refined maps depend most on CLC.</w:t>
      </w:r>
    </w:p>
    <w:p>
      <w:pPr>
        <w:pStyle w:val="SourceCode"/>
      </w:pPr>
      <w:r>
        <w:rPr>
          <w:rStyle w:val="NormalTok"/>
        </w:rPr>
        <w:t xml:space="preserve">overlap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(epoch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(overlap_share)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geo,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Overlap (% of FAWS)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overlap_share)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214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(% of FAWS)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</w:tbl>
    <w:bookmarkEnd w:id="47"/>
    <w:bookmarkStart w:id="48" w:name="spreading-the-national-nai-1"/>
    <w:p>
      <w:pPr>
        <w:pStyle w:val="Heading2"/>
      </w:pPr>
      <w:r>
        <w:t xml:space="preserve">Spreading the national NAI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epoch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clc_for_year[[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(yr)]]</w:t>
      </w:r>
      <w:r>
        <w:br/>
      </w:r>
      <w:r>
        <w:rPr>
          <w:rStyle w:val="NormalTok"/>
        </w:rPr>
        <w:t xml:space="preserve">  refined_map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(nai_filled,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clc_weights[[epoch]],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clc_weight_sums[[epoch]]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(refined_map)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"nai_clc_"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refined_map,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"corine_refinement_wood_nai_faws_1km_%s.tif"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conservation check reads the files back, as in the baseline.</w:t>
      </w:r>
    </w:p>
    <w:p>
      <w:pPr>
        <w:pStyle w:val="SourceCode"/>
      </w:pPr>
      <w:r>
        <w:rPr>
          <w:rStyle w:val="NormalTok"/>
        </w:rPr>
        <w:t xml:space="preserve">refined_maps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"corine_refinement_wood_nai_faws_1km_%s.tif"</w:t>
      </w:r>
      <w:r>
        <w:rPr>
          <w:rStyle w:val="NormalTok"/>
        </w:rPr>
        <w:t xml:space="preserve">, years_report))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CLC epoch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(clc_for_year[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(years_report)]),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(refined_maps,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1311"/>
        <w:gridCol w:w="2451"/>
        <w:gridCol w:w="321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CLC epoch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</w:tbl>
    <w:bookmarkEnd w:id="48"/>
    <w:bookmarkStart w:id="55" w:name="comparison-with-the-baseline"/>
    <w:p>
      <w:pPr>
        <w:pStyle w:val="Heading2"/>
      </w:pPr>
      <w:r>
        <w:t xml:space="preserve">Comparison with the baseline</w:t>
      </w:r>
    </w:p>
    <w:p>
      <w:pPr>
        <w:pStyle w:val="FirstParagraph"/>
      </w:pPr>
      <w:r>
        <w:t xml:space="preserve">Both sets of maps hold the same national totals, so differences are only in where the flow falls</w:t>
      </w:r>
      <w:r>
        <w:t xml:space="preserve"> </w:t>
      </w:r>
      <w:r>
        <w:t xml:space="preserve">inside each country. For each year, the table reports the share of the total NAI that sits in a</w:t>
      </w:r>
      <w:r>
        <w:t xml:space="preserve"> </w:t>
      </w:r>
      <w:r>
        <w:t xml:space="preserve">different place at 10 km resolution, and the correlation between the two maps at that resolution.</w:t>
      </w:r>
    </w:p>
    <w:p>
      <w:pPr>
        <w:pStyle w:val="SourceCode"/>
      </w:pPr>
      <w:r>
        <w:rPr>
          <w:rStyle w:val="NormalTok"/>
        </w:rPr>
        <w:t xml:space="preserve">base_10km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(nai_maps,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refined_10km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(refined_maps,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moved (% of total)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(refined_10km[[i]]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base_10km[[i]]),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(base_10km[[i]],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}),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Correlation of cells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(base_10km[[i]]),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(refined_10km[[i]]),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221"/>
        <w:gridCol w:w="19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moved (% of 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Correlation of cells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</w:tr>
    </w:tbl>
    <w:p>
      <w:pPr>
        <w:pStyle w:val="FirstParagraph"/>
      </w:pPr>
      <w:r>
        <w:t xml:space="preserve">The maps show the difference (refined minus baseline) for the first and last CLC epochs. Red</w:t>
      </w:r>
      <w:r>
        <w:t xml:space="preserve"> </w:t>
      </w:r>
      <w:r>
        <w:t xml:space="preserve">cells receive more flow with the refinement and blue cells receive less.</w:t>
      </w:r>
    </w:p>
    <w:p>
      <w:pPr>
        <w:pStyle w:val="SourceCode"/>
      </w:pPr>
      <w:r>
        <w:rPr>
          <w:rStyle w:val="NormalTok"/>
        </w:rPr>
        <w:t xml:space="preserve">diff_data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(refined_10km[[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2018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(difference)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difference),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(diff_data)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(difference, diff_limit),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diff_limit)))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"#2166ac"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"#b2182b"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 m3 per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10 km cell"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clc-difference-map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chart shows what only the refinement can show, which is the change of the spatial</w:t>
      </w:r>
      <w:r>
        <w:t xml:space="preserve"> </w:t>
      </w:r>
      <w:r>
        <w:t xml:space="preserve">pattern between the 2000 and 2018 epochs. For each country, it gives the share of the national NAI</w:t>
      </w:r>
      <w:r>
        <w:t xml:space="preserve"> </w:t>
      </w:r>
      <w:r>
        <w:t xml:space="preserve">that would sit in a different cell if the 2018 pattern replaced the 2000 pattern. The baseline</w:t>
      </w:r>
      <w:r>
        <w:t xml:space="preserve"> </w:t>
      </w:r>
      <w:r>
        <w:t xml:space="preserve">would show zero for every country.</w:t>
      </w:r>
    </w:p>
    <w:p>
      <w:pPr>
        <w:pStyle w:val="SourceCode"/>
      </w:pPr>
      <w:r>
        <w:rPr>
          <w:rStyle w:val="NormalTok"/>
        </w:rPr>
        <w:t xml:space="preserve">pattern_change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country_ids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Share of the national NAI per 1 km cell, in 2000 and 2018 epochs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(id, \(i) {</w:t>
      </w:r>
      <w:r>
        <w:br/>
      </w:r>
      <w:r>
        <w:rPr>
          <w:rStyle w:val="NormalTok"/>
        </w:rPr>
        <w:t xml:space="preserve">      mask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country_ids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raster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clc_weights[[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mask</w:t>
      </w:r>
      <w:r>
        <w:br/>
      </w:r>
      <w:r>
        <w:rPr>
          <w:rStyle w:val="NormalTok"/>
        </w:rPr>
        <w:t xml:space="preserve">    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clc_weights[[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mask</w:t>
      </w:r>
      <w:r>
        <w:br/>
      </w:r>
      <w:r>
        <w:rPr>
          <w:rStyle w:val="NormalTok"/>
        </w:rPr>
        <w:t xml:space="preserve">      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(a,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sb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(b,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sb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sb),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pattern_change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(geo, gain))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gain,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national NAI that moves between 2000 and 2018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ndex_files/figure-docx/clc-pattern-change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largest shifts are in Ireland, Portugal and Spain. Part of what looks like change in forest</w:t>
      </w:r>
      <w:r>
        <w:t xml:space="preserve"> </w:t>
      </w:r>
      <w:r>
        <w:t xml:space="preserve">may come from differences in how national teams classified land in each CLC epoch, and from</w:t>
      </w:r>
      <w:r>
        <w:t xml:space="preserve"> </w:t>
      </w:r>
      <w:r>
        <w:t xml:space="preserve">fires and plantation cycles, so the pattern change should be read with caution and not as a</w:t>
      </w:r>
      <w:r>
        <w:t xml:space="preserve"> </w:t>
      </w:r>
      <w:r>
        <w:t xml:space="preserve">measure of forest gain or loss.</w:t>
      </w:r>
    </w:p>
    <w:p>
      <w:pPr>
        <w:pStyle w:val="BodyText"/>
      </w:pPr>
      <w:r>
        <w:t xml:space="preserve">The refined maps are more detailed in time and use a second dataset, but they are not obviously</w:t>
      </w:r>
      <w:r>
        <w:t xml:space="preserve"> </w:t>
      </w:r>
      <w:r>
        <w:t xml:space="preserve">more accurate. CLC and FAWS were mapped independently, and CLC classes forest at a coarser</w:t>
      </w:r>
      <w:r>
        <w:t xml:space="preserve"> </w:t>
      </w:r>
      <w:r>
        <w:t xml:space="preserve">minimum unit than the 100 m FAWS map. The baseline remains the main result, and the refinement</w:t>
      </w:r>
      <w:r>
        <w:t xml:space="preserve"> </w:t>
      </w:r>
      <w:r>
        <w:t xml:space="preserve">is an alternative for users who need the change of forest extent over time.</w:t>
      </w:r>
    </w:p>
    <w:p>
      <w:pPr>
        <w:pStyle w:val="SourceCode"/>
      </w:pP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overlap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(epoch, geo, faws_ha_1km, overlap_ha, overlap_share),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"corine_refinement_faws_clc_overlap_by_country"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refine_results_dir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comparison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"[^A-Za-z0-9]+"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x)),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"corine_refinement_comparison_with_baseline"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refine_results_dir</w:t>
      </w:r>
      <w:r>
        <w:br/>
      </w:r>
      <w:r>
        <w:rPr>
          <w:rStyle w:val="NormalTok"/>
        </w:rPr>
        <w:t xml:space="preserve">)</w:t>
      </w:r>
    </w:p>
    <w:bookmarkEnd w:id="55"/>
    <w:bookmarkEnd w:id="56"/>
    <w:bookmarkStart w:id="57" w:name="exports"/>
    <w:p>
      <w:pPr>
        <w:pStyle w:val="Heading1"/>
      </w:pPr>
      <w:r>
        <w:t xml:space="preserve">Exports</w:t>
      </w:r>
    </w:p>
    <w:p>
      <w:pPr>
        <w:pStyle w:val="FirstParagraph"/>
      </w:pPr>
      <w:r>
        <w:t xml:space="preserve">The tables are saved as</w:t>
      </w:r>
      <w:r>
        <w:t xml:space="preserve"> </w:t>
      </w:r>
      <w:r>
        <w:rPr>
          <w:rStyle w:val="VerbatimChar"/>
        </w:rPr>
        <w:t xml:space="preserve">.rds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export_table()</w:t>
      </w:r>
      <w:r>
        <w:t xml:space="preserve">, and a workbook with the</w:t>
      </w:r>
      <w:r>
        <w:t xml:space="preserve"> </w:t>
      </w:r>
      <w:r>
        <w:t xml:space="preserve">reporting-year tables is saved for users. A GeoPackage of the countries carries the</w:t>
      </w:r>
      <w:r>
        <w:t xml:space="preserve"> </w:t>
      </w:r>
      <w:r>
        <w:t xml:space="preserve">reporting-year values for use in GIS.</w:t>
      </w:r>
    </w:p>
    <w:p>
      <w:pPr>
        <w:pStyle w:val="SourceCode"/>
      </w:pPr>
      <w:r>
        <w:rPr>
          <w:rStyle w:val="NormalTok"/>
        </w:rPr>
        <w:t xml:space="preserve">nai_export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nai_faws_1000m3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nai_source =</w:t>
      </w:r>
      <w:r>
        <w:rPr>
          <w:rStyle w:val="NormalTok"/>
        </w:rPr>
        <w:t xml:space="preserve"> source)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(nai_export, </w:t>
      </w:r>
      <w:r>
        <w:rPr>
          <w:rStyle w:val="StringTok"/>
        </w:rPr>
        <w:t xml:space="preserve">"wood_nai_faws_country_year"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overuse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(nai_source, removals_source), as.character)),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"wood_overuse_country_year"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summary_sheets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nai_report_years =</w:t>
      </w:r>
      <w:r>
        <w:rPr>
          <w:rStyle w:val="NormalTok"/>
        </w:rPr>
        <w:t xml:space="preserve"> nai_export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nai_faws_1000m3)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nai_faws_1000m3),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overuse_report_years =</w:t>
      </w:r>
      <w:r>
        <w:rPr>
          <w:rStyle w:val="NormalTok"/>
        </w:rPr>
        <w:t xml:space="preserve"> 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(nai_source, removals_source), as.character)),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sensitivity_fallback_scaled =</w:t>
      </w:r>
      <w:r>
        <w:rPr>
          <w:rStyle w:val="NormalTok"/>
        </w:rPr>
        <w:t xml:space="preserve"> nai_adjusted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geo, year,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inca_rule =</w:t>
      </w:r>
      <w:r>
        <w:rPr>
          <w:rStyle w:val="NormalTok"/>
        </w:rPr>
        <w:t xml:space="preserve"> value,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scaled_by_faws_share =</w:t>
      </w:r>
      <w:r>
        <w:rPr>
          <w:rStyle w:val="NormalTok"/>
        </w:rPr>
        <w:t xml:space="preserve"> value_adjusted,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(source)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faws_area_by_country =</w:t>
      </w:r>
      <w:r>
        <w:rPr>
          <w:rStyle w:val="NormalTok"/>
        </w:rPr>
        <w:t xml:space="preserve"> faws_area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(summary_sheets,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"wood_provision_summary.xlsx"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results workbook has the tables of the actual flow and of the overuse for NUTS0, NUTS2 and NUTS3.</w:t>
      </w:r>
      <w:r>
        <w:t xml:space="preserve"> </w:t>
      </w:r>
      <w:r>
        <w:t xml:space="preserve">Regions share the national value in proportion to their FAWS weight, so they add up to the country.</w:t>
      </w:r>
      <w:r>
        <w:t xml:space="preserve"> </w:t>
      </w:r>
      <w:r>
        <w:t xml:space="preserve">The sheets in monetary terms are added by the monetary valuation document.</w:t>
      </w:r>
    </w:p>
    <w:p>
      <w:pPr>
        <w:pStyle w:val="SourceCode"/>
      </w:pPr>
      <w:r>
        <w:rPr>
          <w:rStyle w:val="FunctionTok"/>
        </w:rPr>
        <w:t xml:space="preserve">write_results_workbook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overuse,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(nuts_weights_file), years_report, </w:t>
      </w:r>
      <w:r>
        <w:rPr>
          <w:rStyle w:val="AttributeTok"/>
        </w:rPr>
        <w:t xml:space="preserve">base_year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"wood_provision_results.xlsx"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country_values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nai, removals, overuse)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(nai, removals, overuse),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names_glue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"{.value}_{year}"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(eu27)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(country_values,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StringTok"/>
        </w:rPr>
        <w:t xml:space="preserve">"wood_provision_countries.gpkg"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bookmarkEnd w:id="57"/>
    <w:bookmarkStart w:id="58" w:name="downloads"/>
    <w:p>
      <w:pPr>
        <w:pStyle w:val="Heading1"/>
      </w:pPr>
      <w:r>
        <w:t xml:space="preserve">Downloads</w:t>
      </w:r>
    </w:p>
    <w:p>
      <w:pPr>
        <w:pStyle w:val="FirstParagraph"/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data/outputs/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project.resources</w:t>
      </w:r>
      <w:r>
        <w:t xml:space="preserve">, so these files are copied into the</w:t>
      </w:r>
      <w:r>
        <w:t xml:space="preserve"> </w:t>
      </w:r>
      <w:r>
        <w:t xml:space="preserve">published site. The links below are relative to this page.</w:t>
      </w:r>
    </w:p>
    <w:p>
      <w:pPr>
        <w:pStyle w:val="SourceCode"/>
      </w:pPr>
      <w:r>
        <w:rPr>
          <w:rStyle w:val="NormalTok"/>
        </w:rPr>
        <w:t xml:space="preserve">tables_dl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"wood_nai_faws_country_year.xlsx"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"wood_nai_faws_country_year.rds"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"wood_overuse_country_year.xlsx"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"wood_overuse_country_year.rds"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"wood_provision_summary.xlsx"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"wood_provision_results.xlsx"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"National NAI of FAWS by year, 2000 to 2024, with the origin of every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"The same panel as an R object"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"NAI, removals, balance, ratio and overuse flag by country and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"The same panel as an R object"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"Reporting-year tables and the fallback sensitivity check, one sheet 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"Results tables for NUTS0, NUTS2 and NUTS3 in physical terms, with the monetary sheets added by the monetary valuation document"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maps_dl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"wood_nai_faws_1km_%s.tif"</w:t>
      </w:r>
      <w:r>
        <w:rPr>
          <w:rStyle w:val="NormalTok"/>
        </w:rPr>
        <w:t xml:space="preserve">, years_report),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"wood_provision_countries.gpkg"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"NAI of FAWS in %s, thousand m3 per 1 km cell, EPSG:3035"</w:t>
      </w:r>
      <w:r>
        <w:rPr>
          <w:rStyle w:val="NormalTok"/>
        </w:rPr>
        <w:t xml:space="preserve">, years_report),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"EU27 country polygons with NAI, removals and overuse flag for the reporting years"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refinement_dl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"corine_refinement_faws_clc_overlap_by_country.xlsx"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"corine_refinement_comparison_with_baseline.xlsx"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"corine_refinement_wood_nai_faws_1km_%s.tif"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"results/corine_refinement"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"gis/corine_refinement"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(years_report))),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"Refinement: area where FAWS and CLC forest coincide, by country and CLC epoch"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"Refinement: how far the refined maps differ from the baseline maps,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"Refinement: NAI of FAWS in %s spread over FAWS and CLC forest, thousand m3 per 1 km cell"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(tables_dl, maps_dl, refinement_dl)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"../../../data/outputs"</w:t>
      </w:r>
      <w:r>
        <w:rPr>
          <w:rStyle w:val="NormalTok"/>
        </w:rPr>
        <w:t xml:space="preserve">, Folder, File))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(downloads, </w:t>
      </w:r>
      <w:r>
        <w:rPr>
          <w:rStyle w:val="AttributeTok"/>
        </w:rPr>
        <w:t xml:space="preserve">col_keys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compose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as_paragraph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hyperlink_text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File,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Path))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fontsize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73"/>
        <w:gridCol w:w="111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nai_faws_country_year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wood_nai_faws_country_year.xlsx</w:t>
              </w:r>
            </w:hyperlink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National NAI of FAWS by year, 2000 to 2024, with the origin of every value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nai_faws_country_year.rds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wood_nai_faws_country_year.rds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same panel as an R object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overuse_country_year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wood_overuse_country_year.xlsx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NAI, removals, balance, ratio and overuse flag by country and year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overuse_country_year.rds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wood_overuse_country_year.rds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same panel as an R object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provision_summary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wood_provision_summary.xlsx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Reporting-year tables and the fallback sensitivity check, one sheet each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provision_results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wood_provision_results.xlsx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 tables for NUTS0, NUTS2 and NUTS3 in physical terms, with the monetary sheets added by the monetary valuation document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2000,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2006,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2012,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2018,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nai_faws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wood_nai_faws_1km_2024.tif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of FAWS in 2024, thousand m3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provision_countries.gpkg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wood_provision_countries.gpkg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EU27 country polygons with NAI, removals and overuse flag for the reporting years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corine_refinement/corine_refinement_faws_clc_overlap_by_country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corine_refinement_faws_clc_overlap_by_country.xlsx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area where FAWS and CLC forest coincide, by country and CLC epoch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corine_refinement/corine_refinement_comparison_with_baseline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corine_refinement_comparison_with_baseline.xlsx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how far the refined maps differ from the baseline maps, by year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2000 spread over FAWS and CLC forest, thousand m3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2006 spread over FAWS and CLC forest, thousand m3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2012 spread over FAWS and CLC forest, thousand m3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2018 spread over FAWS and CLC forest, thousand m3 per 1 km cell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nai_faws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corine_refinement_wood_nai_faws_1km_2024.tif</w:t>
              </w:r>
            </w:hyperlink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NAI of FAWS in 2024 spread over FAWS and CLC forest, thousand m3 per 1 km cell</w:t>
            </w:r>
          </w:p>
        </w:tc>
      </w:tr>
    </w:tbl>
    <w:bookmarkEnd w:id="58"/>
    <w:bookmarkStart w:id="60" w:name="X452330f75794bc675f09dc246b593d35f37a5f5"/>
    <w:p>
      <w:pPr>
        <w:pStyle w:val="Heading1"/>
      </w:pPr>
      <w:r>
        <w:t xml:space="preserve">Limitations and proposals to refine the spatial key</w:t>
      </w:r>
    </w:p>
    <w:p>
      <w:pPr>
        <w:pStyle w:val="Compact"/>
        <w:numPr>
          <w:ilvl w:val="0"/>
          <w:numId w:val="1003"/>
        </w:numPr>
      </w:pPr>
      <w:r>
        <w:t xml:space="preserve">The FAWS map is a single year. Time variation in forest extent is not represented in the</w:t>
      </w:r>
      <w:r>
        <w:t xml:space="preserve"> </w:t>
      </w:r>
      <w:r>
        <w:t xml:space="preserve">baseline, so the maps of 2000 and 2006 apply the 2020 pattern to older national values. The</w:t>
      </w:r>
      <w:r>
        <w:t xml:space="preserve"> </w:t>
      </w:r>
      <w:r>
        <w:t xml:space="preserve">Corine refinement above adds that variation, with the limits discussed in its section.</w:t>
      </w:r>
    </w:p>
    <w:p>
      <w:pPr>
        <w:pStyle w:val="Compact"/>
        <w:numPr>
          <w:ilvl w:val="0"/>
          <w:numId w:val="1003"/>
        </w:numPr>
      </w:pPr>
      <w:r>
        <w:t xml:space="preserve">The FAWS map says where wood supply is possible and says nothing about growing conditions.</w:t>
      </w:r>
      <w:r>
        <w:t xml:space="preserve"> </w:t>
      </w:r>
      <w:r>
        <w:t xml:space="preserve">Cells with the same FAWS share receive the same flow inside a country. INCA Part II used dry</w:t>
      </w:r>
      <w:r>
        <w:t xml:space="preserve"> </w:t>
      </w:r>
      <w:r>
        <w:t xml:space="preserve">matter productivity for this purpose</w:t>
      </w:r>
      <w:r>
        <w:t xml:space="preserve"> </w:t>
      </w:r>
      <w:r>
        <w:t xml:space="preserve">(Vallecillo et al., 2019)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NAI of FAWS is reported by few countries before 2018. The fallback to total forest probably</w:t>
      </w:r>
      <w:r>
        <w:t xml:space="preserve"> </w:t>
      </w:r>
      <w:r>
        <w:t xml:space="preserve">overstates the flow, as the sensitivity check shows. The INCA plugin replaces missing values</w:t>
      </w:r>
      <w:r>
        <w:t xml:space="preserve"> </w:t>
      </w:r>
      <w:r>
        <w:t xml:space="preserve">with estimates from the JRC carbon budget model, which are not available in this repository.</w:t>
      </w:r>
    </w:p>
    <w:p>
      <w:pPr>
        <w:pStyle w:val="Compact"/>
        <w:numPr>
          <w:ilvl w:val="0"/>
          <w:numId w:val="1003"/>
        </w:numPr>
      </w:pPr>
      <w:r>
        <w:t xml:space="preserve">The 2024 values mostly repeat the latest available year, since Eurostat holds 2024 for very few</w:t>
      </w:r>
      <w:r>
        <w:t xml:space="preserve"> </w:t>
      </w:r>
      <w:r>
        <w:t xml:space="preserve">countries. They should be refreshed when the dataset is updated.</w:t>
      </w:r>
    </w:p>
    <w:p>
      <w:pPr>
        <w:pStyle w:val="Compact"/>
        <w:numPr>
          <w:ilvl w:val="0"/>
          <w:numId w:val="1003"/>
        </w:numPr>
      </w:pPr>
      <w:r>
        <w:t xml:space="preserve">The FAWS and boundary layers are aggregated to 1 km, so cells on the coast and on borders are</w:t>
      </w:r>
      <w:r>
        <w:t xml:space="preserve"> </w:t>
      </w:r>
      <w:r>
        <w:t xml:space="preserve">assigned to one country by their centre point.</w:t>
      </w:r>
    </w:p>
    <w:p>
      <w:pPr>
        <w:pStyle w:val="FirstParagraph"/>
      </w:pPr>
      <w:r>
        <w:t xml:space="preserve">Further candidate refinements include the biomass available for wood supply map as a</w:t>
      </w:r>
      <w:r>
        <w:t xml:space="preserve"> </w:t>
      </w:r>
      <w:r>
        <w:t xml:space="preserve">weight and dry matter productivity as a within-FAWS weight. The monetary valuation that follows</w:t>
      </w:r>
      <w:r>
        <w:t xml:space="preserve"> </w:t>
      </w:r>
      <w:r>
        <w:t xml:space="preserve">the physical accounts is in its own</w:t>
      </w:r>
      <w:r>
        <w:t xml:space="preserve"> </w:t>
      </w:r>
      <w:hyperlink r:id="rId59">
        <w:r>
          <w:rPr>
            <w:rStyle w:val="Hyperlink"/>
          </w:rPr>
          <w:t xml:space="preserve">document</w:t>
        </w:r>
      </w:hyperlink>
      <w:r>
        <w:t xml:space="preserve">.</w:t>
      </w:r>
    </w:p>
    <w:bookmarkEnd w:id="60"/>
    <w:bookmarkStart w:id="75" w:name="references"/>
    <w:p>
      <w:pPr>
        <w:pStyle w:val="Heading1"/>
      </w:pPr>
      <w:r>
        <w:t xml:space="preserve">References</w:t>
      </w:r>
    </w:p>
    <w:bookmarkStart w:id="74" w:name="refs"/>
    <w:bookmarkStart w:id="62" w:name="ref-avitabile2023"/>
    <w:p>
      <w:pPr>
        <w:pStyle w:val="Bibliography"/>
      </w:pPr>
      <w:r>
        <w:t xml:space="preserve">Avitabile, V. et al.</w:t>
      </w:r>
      <w:r>
        <w:t xml:space="preserve"> (2023).</w:t>
      </w:r>
      <w:r>
        <w:t xml:space="preserve"> </w:t>
      </w:r>
      <w:r>
        <w:rPr>
          <w:i/>
          <w:iCs/>
        </w:rPr>
        <w:t xml:space="preserve">Biomass production, supply, uses and flows in the european union</w:t>
      </w:r>
      <w:r>
        <w:t xml:space="preserve"> </w:t>
      </w:r>
      <w:r>
        <w:t xml:space="preserve">(No. EUR 31566 EN, JRC132358). Publications Office of the European Union.</w:t>
      </w:r>
      <w:r>
        <w:t xml:space="preserve"> </w:t>
      </w:r>
      <w:hyperlink r:id="rId61">
        <w:r>
          <w:rPr>
            <w:rStyle w:val="Hyperlink"/>
          </w:rPr>
          <w:t xml:space="preserve">https://doi.org/10.2760/811744</w:t>
        </w:r>
      </w:hyperlink>
    </w:p>
    <w:bookmarkEnd w:id="62"/>
    <w:bookmarkStart w:id="64" w:name="ref-jrc2026faws"/>
    <w:p>
      <w:pPr>
        <w:pStyle w:val="Bibliography"/>
      </w:pPr>
      <w:r>
        <w:t xml:space="preserve">European Commission, Joint Research Centre. (2026).</w:t>
      </w:r>
      <w:r>
        <w:t xml:space="preserve"> </w:t>
      </w:r>
      <w:r>
        <w:rPr>
          <w:i/>
          <w:iCs/>
        </w:rPr>
        <w:t xml:space="preserve">Map of the forest available for wood supply (FAWS) of EU27 for 2020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https://doi.org/10.2905/JRC.SF31H30</w:t>
        </w:r>
      </w:hyperlink>
    </w:p>
    <w:bookmarkEnd w:id="64"/>
    <w:bookmarkStart w:id="66" w:name="ref-copernicus2020clc"/>
    <w:p>
      <w:pPr>
        <w:pStyle w:val="Bibliography"/>
      </w:pPr>
      <w:r>
        <w:t xml:space="preserve">European Environment Agency. (2020).</w:t>
      </w:r>
      <w:r>
        <w:t xml:space="preserve"> </w:t>
      </w:r>
      <w:r>
        <w:rPr>
          <w:i/>
          <w:iCs/>
        </w:rPr>
        <w:t xml:space="preserve">Corine land cover (CLC), raster 100 m, version 2020_20u1, epochs 2000, 2006, 2012 and 2018</w:t>
      </w:r>
      <w:r>
        <w:t xml:space="preserve">. Copernicus Land Monitoring Service.</w:t>
      </w:r>
      <w:r>
        <w:t xml:space="preserve"> </w:t>
      </w:r>
      <w:hyperlink r:id="rId65">
        <w:r>
          <w:rPr>
            <w:rStyle w:val="Hyperlink"/>
          </w:rPr>
          <w:t xml:space="preserve">https://doi.org/10.2909/960998c1-1870-4e82-8051-6485205ebbac</w:t>
        </w:r>
      </w:hyperlink>
    </w:p>
    <w:bookmarkEnd w:id="66"/>
    <w:bookmarkStart w:id="67" w:name="ref-eurostat2026handbook"/>
    <w:p>
      <w:pPr>
        <w:pStyle w:val="Bibliography"/>
      </w:pPr>
      <w:r>
        <w:t xml:space="preserve">Eurostat. (2026a).</w:t>
      </w:r>
      <w:r>
        <w:t xml:space="preserve"> </w:t>
      </w:r>
      <w:r>
        <w:rPr>
          <w:i/>
          <w:iCs/>
        </w:rPr>
        <w:t xml:space="preserve">Ecosystem accounts handbook, 2026 edition</w:t>
      </w:r>
      <w:r>
        <w:t xml:space="preserve">. Luxembourg: Publications Office of the European Union.</w:t>
      </w:r>
    </w:p>
    <w:bookmarkEnd w:id="67"/>
    <w:bookmarkStart w:id="69" w:name="ref-eurostat2026forvolefa"/>
    <w:p>
      <w:pPr>
        <w:pStyle w:val="Bibliography"/>
      </w:pPr>
      <w:r>
        <w:t xml:space="preserve">Eurostat. (2026b).</w:t>
      </w:r>
      <w:r>
        <w:t xml:space="preserve"> </w:t>
      </w:r>
      <w:r>
        <w:rPr>
          <w:i/>
          <w:iCs/>
        </w:rPr>
        <w:t xml:space="preserve">Volume of timber over bark (EFA questionnaire) [for_vol_efa]</w:t>
      </w:r>
      <w:r>
        <w:t xml:space="preserve">. Eurostat database.</w:t>
      </w:r>
      <w:r>
        <w:t xml:space="preserve"> </w:t>
      </w:r>
      <w:hyperlink r:id="rId68">
        <w:r>
          <w:rPr>
            <w:rStyle w:val="Hyperlink"/>
          </w:rPr>
          <w:t xml:space="preserve">https://doi.org/10.2908/FOR_VOL_EFA</w:t>
        </w:r>
      </w:hyperlink>
    </w:p>
    <w:bookmarkEnd w:id="69"/>
    <w:bookmarkStart w:id="71" w:name="ref-gisco2024nuts"/>
    <w:p>
      <w:pPr>
        <w:pStyle w:val="Bibliography"/>
      </w:pPr>
      <w:r>
        <w:t xml:space="preserve">Eurostat GISCO. (2024).</w:t>
      </w:r>
      <w:r>
        <w:t xml:space="preserve"> </w:t>
      </w:r>
      <w:r>
        <w:rPr>
          <w:i/>
          <w:iCs/>
        </w:rPr>
        <w:t xml:space="preserve">Administrative units, statistical units: NUTS 2024, scale 1:1 million</w:t>
      </w:r>
      <w:r>
        <w:t xml:space="preserve">. Retrieved from</w:t>
      </w:r>
      <w:r>
        <w:t xml:space="preserve"> </w:t>
      </w:r>
      <w:hyperlink r:id="rId70">
        <w:r>
          <w:rPr>
            <w:rStyle w:val="Hyperlink"/>
          </w:rPr>
          <w:t xml:space="preserve">https://ec.europa.eu/eurostat/web/gisco/geodata/statistical-units/territorial-units-statistics</w:t>
        </w:r>
      </w:hyperlink>
    </w:p>
    <w:bookmarkEnd w:id="71"/>
    <w:bookmarkStart w:id="72" w:name="ref-lanotte2021"/>
    <w:p>
      <w:pPr>
        <w:pStyle w:val="Bibliography"/>
      </w:pPr>
      <w:r>
        <w:t xml:space="preserve">La Notte, A., Vallecillo, S., Garcia-Bendito, E., Grammatikopoulou, I., Czúcz, B., Ferrini, S., … Maes, J. (2021).</w:t>
      </w:r>
      <w:r>
        <w:t xml:space="preserve"> </w:t>
      </w:r>
      <w:r>
        <w:rPr>
          <w:i/>
          <w:iCs/>
        </w:rPr>
        <w:t xml:space="preserve">Ecosystem services accounting. Part III: Pilot accounts for habitat and species maintenance, on-site soil retention and water purification</w:t>
      </w:r>
      <w:r>
        <w:t xml:space="preserve"> </w:t>
      </w:r>
      <w:r>
        <w:t xml:space="preserve">(No. EUR 30856 EN, JRC126566). Publications Office of the European Union.</w:t>
      </w:r>
    </w:p>
    <w:bookmarkEnd w:id="72"/>
    <w:bookmarkStart w:id="73" w:name="ref-vallecillo2019"/>
    <w:p>
      <w:pPr>
        <w:pStyle w:val="Bibliography"/>
      </w:pPr>
      <w:r>
        <w:t xml:space="preserve">Vallecillo, S., La Notte, A., Kakoulaki, G., Kamberaj, J., Robert, N., Dottori, F., … Maes, J. (2019).</w:t>
      </w:r>
      <w:r>
        <w:t xml:space="preserve"> </w:t>
      </w:r>
      <w:r>
        <w:rPr>
          <w:i/>
          <w:iCs/>
        </w:rPr>
        <w:t xml:space="preserve">Ecosystem services accounting. Part II: Pilot accounts for crop and timber provision, global climate regulation and flood control</w:t>
      </w:r>
      <w:r>
        <w:t xml:space="preserve"> </w:t>
      </w:r>
      <w:r>
        <w:t xml:space="preserve">(No. EUR 29731 EN, JRC116334). Publications Office of the European Union.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hyperlink" Id="rId59" Target="../monetary-valuation/" TargetMode="External" /><Relationship Type="http://schemas.openxmlformats.org/officeDocument/2006/relationships/hyperlink" Id="rId61" Target="https://doi.org/10.2760/811744" TargetMode="External" /><Relationship Type="http://schemas.openxmlformats.org/officeDocument/2006/relationships/hyperlink" Id="rId63" Target="https://doi.org/10.2905/JRC.SF31H30" TargetMode="External" /><Relationship Type="http://schemas.openxmlformats.org/officeDocument/2006/relationships/hyperlink" Id="rId68" Target="https://doi.org/10.2908/FOR_VOL_EFA" TargetMode="External" /><Relationship Type="http://schemas.openxmlformats.org/officeDocument/2006/relationships/hyperlink" Id="rId65" Target="https://doi.org/10.2909/960998c1-1870-4e82-8051-6485205ebbac" TargetMode="External" /><Relationship Type="http://schemas.openxmlformats.org/officeDocument/2006/relationships/hyperlink" Id="rId70" Target="https://ec.europa.eu/eurostat/web/gisco/geodata/statistical-units/territorial-units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monetary-valuation/" TargetMode="External" /><Relationship Type="http://schemas.openxmlformats.org/officeDocument/2006/relationships/hyperlink" Id="rId61" Target="https://doi.org/10.2760/811744" TargetMode="External" /><Relationship Type="http://schemas.openxmlformats.org/officeDocument/2006/relationships/hyperlink" Id="rId63" Target="https://doi.org/10.2905/JRC.SF31H30" TargetMode="External" /><Relationship Type="http://schemas.openxmlformats.org/officeDocument/2006/relationships/hyperlink" Id="rId68" Target="https://doi.org/10.2908/FOR_VOL_EFA" TargetMode="External" /><Relationship Type="http://schemas.openxmlformats.org/officeDocument/2006/relationships/hyperlink" Id="rId65" Target="https://doi.org/10.2909/960998c1-1870-4e82-8051-6485205ebbac" TargetMode="External" /><Relationship Type="http://schemas.openxmlformats.org/officeDocument/2006/relationships/hyperlink" Id="rId70" Target="https://ec.europa.eu/eurostat/web/gisco/geodata/statistical-units/territorial-units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Wood Provision Ecosystem Service</dc:title>
  <dc:creator/>
  <cp:keywords/>
  <dcterms:created xsi:type="dcterms:W3CDTF">2026-10-30T11:48:28Z</dcterms:created>
  <dcterms:modified xsi:type="dcterms:W3CDTF">2026-10-30T11:48:28Z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wood-provision.bib</vt:lpwstr>
  </property>
  <property fmtid="{D5CDD505-2E9C-101B-9397-08002B2CF9AE}" pid="4" name="csl">
    <vt:lpwstr>../../../assets/apa-6th-edition.csl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Spatially explicit net annual increment and overuse check: annotated R processing routine</vt:lpwstr>
  </property>
  <property fmtid="{D5CDD505-2E9C-101B-9397-08002B2CF9AE}" pid="11" name="toc-title">
    <vt:lpwstr>Table of contents</vt:lpwstr>
  </property>
</Properties>
</file>