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C4E4F" w14:textId="77777777" w:rsidR="00664DF3" w:rsidRDefault="007218EF">
      <w:pPr>
        <w:pStyle w:val="Title"/>
      </w:pPr>
      <w:r>
        <w:t>Cuenta de Bioeconomía de Panamá</w:t>
      </w:r>
    </w:p>
    <w:p w14:paraId="7D24DB27" w14:textId="77777777" w:rsidR="00664DF3" w:rsidRDefault="007218EF">
      <w:pPr>
        <w:pStyle w:val="Author"/>
      </w:pPr>
      <w:r>
        <w:t>Renato Vargas</w:t>
      </w:r>
    </w:p>
    <w:p w14:paraId="09F858B0" w14:textId="77777777" w:rsidR="00664DF3" w:rsidRDefault="007218EF">
      <w:pPr>
        <w:pStyle w:val="Author"/>
      </w:pPr>
      <w:r>
        <w:t>Andrés Mondaini</w:t>
      </w:r>
    </w:p>
    <w:p w14:paraId="176F129C" w14:textId="77777777" w:rsidR="00664DF3" w:rsidRDefault="007218EF">
      <w:pPr>
        <w:pStyle w:val="Author"/>
      </w:pPr>
      <w:r>
        <w:t>Adrián Rodríguez</w:t>
      </w:r>
    </w:p>
    <w:sdt>
      <w:sdtPr>
        <w:rPr>
          <w:rFonts w:asciiTheme="minorHAnsi" w:eastAsiaTheme="minorHAnsi" w:hAnsiTheme="minorHAnsi" w:cstheme="minorBidi"/>
          <w:color w:val="auto"/>
          <w:sz w:val="24"/>
          <w:szCs w:val="24"/>
        </w:rPr>
        <w:id w:val="-795596795"/>
        <w:docPartObj>
          <w:docPartGallery w:val="Table of Contents"/>
          <w:docPartUnique/>
        </w:docPartObj>
      </w:sdtPr>
      <w:sdtEndPr/>
      <w:sdtContent>
        <w:p w14:paraId="1B29A6C4" w14:textId="77777777" w:rsidR="00664DF3" w:rsidRDefault="007218EF">
          <w:pPr>
            <w:pStyle w:val="TOCHeading"/>
          </w:pPr>
          <w:r>
            <w:t>Tabla de contenidos</w:t>
          </w:r>
        </w:p>
        <w:p w14:paraId="65518584" w14:textId="16881EB9" w:rsidR="0036588C" w:rsidRDefault="007218EF">
          <w:pPr>
            <w:pStyle w:val="TOC2"/>
            <w:tabs>
              <w:tab w:val="right" w:leader="dot" w:pos="9350"/>
            </w:tabs>
            <w:rPr>
              <w:rFonts w:eastAsiaTheme="minorEastAsia"/>
              <w:noProof/>
              <w:kern w:val="2"/>
              <w:lang w:val="en-US"/>
              <w14:ligatures w14:val="standardContextual"/>
            </w:rPr>
          </w:pPr>
          <w:r>
            <w:fldChar w:fldCharType="begin"/>
          </w:r>
          <w:r>
            <w:rPr>
              <w:rStyle w:val="IndexLink"/>
              <w:webHidden/>
            </w:rPr>
            <w:instrText xml:space="preserve"> TOC \z \o "1-3" \u \h</w:instrText>
          </w:r>
          <w:r>
            <w:rPr>
              <w:rStyle w:val="IndexLink"/>
            </w:rPr>
            <w:fldChar w:fldCharType="separate"/>
          </w:r>
          <w:hyperlink w:anchor="_Toc227259855" w:history="1">
            <w:r w:rsidR="0036588C" w:rsidRPr="00487F58">
              <w:rPr>
                <w:rStyle w:val="Hyperlink"/>
                <w:noProof/>
              </w:rPr>
              <w:t>Resumen</w:t>
            </w:r>
            <w:r w:rsidR="0036588C">
              <w:rPr>
                <w:noProof/>
                <w:webHidden/>
              </w:rPr>
              <w:tab/>
            </w:r>
            <w:r w:rsidR="0036588C">
              <w:rPr>
                <w:noProof/>
                <w:webHidden/>
              </w:rPr>
              <w:fldChar w:fldCharType="begin"/>
            </w:r>
            <w:r w:rsidR="0036588C">
              <w:rPr>
                <w:noProof/>
                <w:webHidden/>
              </w:rPr>
              <w:instrText xml:space="preserve"> PAGEREF _Toc227259855 \h </w:instrText>
            </w:r>
            <w:r w:rsidR="0036588C">
              <w:rPr>
                <w:noProof/>
                <w:webHidden/>
              </w:rPr>
            </w:r>
            <w:r w:rsidR="0036588C">
              <w:rPr>
                <w:noProof/>
                <w:webHidden/>
              </w:rPr>
              <w:fldChar w:fldCharType="separate"/>
            </w:r>
            <w:r w:rsidR="0036588C">
              <w:rPr>
                <w:noProof/>
                <w:webHidden/>
              </w:rPr>
              <w:t>1</w:t>
            </w:r>
            <w:r w:rsidR="0036588C">
              <w:rPr>
                <w:noProof/>
                <w:webHidden/>
              </w:rPr>
              <w:fldChar w:fldCharType="end"/>
            </w:r>
          </w:hyperlink>
        </w:p>
        <w:p w14:paraId="037BFB90" w14:textId="0C8A36BB" w:rsidR="0036588C" w:rsidRDefault="0036588C">
          <w:pPr>
            <w:pStyle w:val="TOC2"/>
            <w:tabs>
              <w:tab w:val="right" w:leader="dot" w:pos="9350"/>
            </w:tabs>
            <w:rPr>
              <w:rFonts w:eastAsiaTheme="minorEastAsia"/>
              <w:noProof/>
              <w:kern w:val="2"/>
              <w:lang w:val="en-US"/>
              <w14:ligatures w14:val="standardContextual"/>
            </w:rPr>
          </w:pPr>
          <w:hyperlink w:anchor="_Toc227259856" w:history="1">
            <w:r w:rsidRPr="00487F58">
              <w:rPr>
                <w:rStyle w:val="Hyperlink"/>
                <w:noProof/>
              </w:rPr>
              <w:t>1 Introducción</w:t>
            </w:r>
            <w:r>
              <w:rPr>
                <w:noProof/>
                <w:webHidden/>
              </w:rPr>
              <w:tab/>
            </w:r>
            <w:r>
              <w:rPr>
                <w:noProof/>
                <w:webHidden/>
              </w:rPr>
              <w:fldChar w:fldCharType="begin"/>
            </w:r>
            <w:r>
              <w:rPr>
                <w:noProof/>
                <w:webHidden/>
              </w:rPr>
              <w:instrText xml:space="preserve"> PAGEREF _Toc227259856 \h </w:instrText>
            </w:r>
            <w:r>
              <w:rPr>
                <w:noProof/>
                <w:webHidden/>
              </w:rPr>
            </w:r>
            <w:r>
              <w:rPr>
                <w:noProof/>
                <w:webHidden/>
              </w:rPr>
              <w:fldChar w:fldCharType="separate"/>
            </w:r>
            <w:r>
              <w:rPr>
                <w:noProof/>
                <w:webHidden/>
              </w:rPr>
              <w:t>2</w:t>
            </w:r>
            <w:r>
              <w:rPr>
                <w:noProof/>
                <w:webHidden/>
              </w:rPr>
              <w:fldChar w:fldCharType="end"/>
            </w:r>
          </w:hyperlink>
        </w:p>
        <w:p w14:paraId="466E7849" w14:textId="2EAF409D" w:rsidR="0036588C" w:rsidRDefault="0036588C">
          <w:pPr>
            <w:pStyle w:val="TOC2"/>
            <w:tabs>
              <w:tab w:val="right" w:leader="dot" w:pos="9350"/>
            </w:tabs>
            <w:rPr>
              <w:rFonts w:eastAsiaTheme="minorEastAsia"/>
              <w:noProof/>
              <w:kern w:val="2"/>
              <w:lang w:val="en-US"/>
              <w14:ligatures w14:val="standardContextual"/>
            </w:rPr>
          </w:pPr>
          <w:hyperlink w:anchor="_Toc227259857" w:history="1">
            <w:r w:rsidRPr="00487F58">
              <w:rPr>
                <w:rStyle w:val="Hyperlink"/>
                <w:noProof/>
              </w:rPr>
              <w:t>2 Marco conceptual y metodológico</w:t>
            </w:r>
            <w:r>
              <w:rPr>
                <w:noProof/>
                <w:webHidden/>
              </w:rPr>
              <w:tab/>
            </w:r>
            <w:r>
              <w:rPr>
                <w:noProof/>
                <w:webHidden/>
              </w:rPr>
              <w:fldChar w:fldCharType="begin"/>
            </w:r>
            <w:r>
              <w:rPr>
                <w:noProof/>
                <w:webHidden/>
              </w:rPr>
              <w:instrText xml:space="preserve"> PAGEREF _Toc227259857 \h </w:instrText>
            </w:r>
            <w:r>
              <w:rPr>
                <w:noProof/>
                <w:webHidden/>
              </w:rPr>
            </w:r>
            <w:r>
              <w:rPr>
                <w:noProof/>
                <w:webHidden/>
              </w:rPr>
              <w:fldChar w:fldCharType="separate"/>
            </w:r>
            <w:r>
              <w:rPr>
                <w:noProof/>
                <w:webHidden/>
              </w:rPr>
              <w:t>3</w:t>
            </w:r>
            <w:r>
              <w:rPr>
                <w:noProof/>
                <w:webHidden/>
              </w:rPr>
              <w:fldChar w:fldCharType="end"/>
            </w:r>
          </w:hyperlink>
        </w:p>
        <w:p w14:paraId="17097279" w14:textId="26145358" w:rsidR="0036588C" w:rsidRDefault="0036588C">
          <w:pPr>
            <w:pStyle w:val="TOC3"/>
            <w:tabs>
              <w:tab w:val="right" w:leader="dot" w:pos="9350"/>
            </w:tabs>
            <w:rPr>
              <w:rFonts w:eastAsiaTheme="minorEastAsia"/>
              <w:noProof/>
              <w:kern w:val="2"/>
              <w:lang w:val="en-US"/>
              <w14:ligatures w14:val="standardContextual"/>
            </w:rPr>
          </w:pPr>
          <w:hyperlink w:anchor="_Toc227259858" w:history="1">
            <w:r w:rsidRPr="00487F58">
              <w:rPr>
                <w:rStyle w:val="Hyperlink"/>
                <w:noProof/>
              </w:rPr>
              <w:t>2.1 El Sistema de Cuentas Nacionales y los cuadros de oferta y utilización</w:t>
            </w:r>
            <w:r>
              <w:rPr>
                <w:noProof/>
                <w:webHidden/>
              </w:rPr>
              <w:tab/>
            </w:r>
            <w:r>
              <w:rPr>
                <w:noProof/>
                <w:webHidden/>
              </w:rPr>
              <w:fldChar w:fldCharType="begin"/>
            </w:r>
            <w:r>
              <w:rPr>
                <w:noProof/>
                <w:webHidden/>
              </w:rPr>
              <w:instrText xml:space="preserve"> PAGEREF _Toc227259858 \h </w:instrText>
            </w:r>
            <w:r>
              <w:rPr>
                <w:noProof/>
                <w:webHidden/>
              </w:rPr>
            </w:r>
            <w:r>
              <w:rPr>
                <w:noProof/>
                <w:webHidden/>
              </w:rPr>
              <w:fldChar w:fldCharType="separate"/>
            </w:r>
            <w:r>
              <w:rPr>
                <w:noProof/>
                <w:webHidden/>
              </w:rPr>
              <w:t>3</w:t>
            </w:r>
            <w:r>
              <w:rPr>
                <w:noProof/>
                <w:webHidden/>
              </w:rPr>
              <w:fldChar w:fldCharType="end"/>
            </w:r>
          </w:hyperlink>
        </w:p>
        <w:p w14:paraId="60793949" w14:textId="2275E66E" w:rsidR="0036588C" w:rsidRDefault="0036588C">
          <w:pPr>
            <w:pStyle w:val="TOC3"/>
            <w:tabs>
              <w:tab w:val="right" w:leader="dot" w:pos="9350"/>
            </w:tabs>
            <w:rPr>
              <w:rFonts w:eastAsiaTheme="minorEastAsia"/>
              <w:noProof/>
              <w:kern w:val="2"/>
              <w:lang w:val="en-US"/>
              <w14:ligatures w14:val="standardContextual"/>
            </w:rPr>
          </w:pPr>
          <w:hyperlink w:anchor="_Toc227259859" w:history="1">
            <w:r w:rsidRPr="00487F58">
              <w:rPr>
                <w:rStyle w:val="Hyperlink"/>
                <w:noProof/>
              </w:rPr>
              <w:t>2.2 Definición de bioeconomía</w:t>
            </w:r>
            <w:r>
              <w:rPr>
                <w:noProof/>
                <w:webHidden/>
              </w:rPr>
              <w:tab/>
            </w:r>
            <w:r>
              <w:rPr>
                <w:noProof/>
                <w:webHidden/>
              </w:rPr>
              <w:fldChar w:fldCharType="begin"/>
            </w:r>
            <w:r>
              <w:rPr>
                <w:noProof/>
                <w:webHidden/>
              </w:rPr>
              <w:instrText xml:space="preserve"> PAGEREF _Toc227259859 \h </w:instrText>
            </w:r>
            <w:r>
              <w:rPr>
                <w:noProof/>
                <w:webHidden/>
              </w:rPr>
            </w:r>
            <w:r>
              <w:rPr>
                <w:noProof/>
                <w:webHidden/>
              </w:rPr>
              <w:fldChar w:fldCharType="separate"/>
            </w:r>
            <w:r>
              <w:rPr>
                <w:noProof/>
                <w:webHidden/>
              </w:rPr>
              <w:t>4</w:t>
            </w:r>
            <w:r>
              <w:rPr>
                <w:noProof/>
                <w:webHidden/>
              </w:rPr>
              <w:fldChar w:fldCharType="end"/>
            </w:r>
          </w:hyperlink>
        </w:p>
        <w:p w14:paraId="2597A19A" w14:textId="7E3C35E8" w:rsidR="0036588C" w:rsidRDefault="0036588C">
          <w:pPr>
            <w:pStyle w:val="TOC3"/>
            <w:tabs>
              <w:tab w:val="right" w:leader="dot" w:pos="9350"/>
            </w:tabs>
            <w:rPr>
              <w:rFonts w:eastAsiaTheme="minorEastAsia"/>
              <w:noProof/>
              <w:kern w:val="2"/>
              <w:lang w:val="en-US"/>
              <w14:ligatures w14:val="standardContextual"/>
            </w:rPr>
          </w:pPr>
          <w:hyperlink w:anchor="_Toc227259860" w:history="1">
            <w:r w:rsidRPr="00487F58">
              <w:rPr>
                <w:rStyle w:val="Hyperlink"/>
                <w:noProof/>
              </w:rPr>
              <w:t>2.3 Construcción de la cuenta satélite</w:t>
            </w:r>
            <w:r>
              <w:rPr>
                <w:noProof/>
                <w:webHidden/>
              </w:rPr>
              <w:tab/>
            </w:r>
            <w:r>
              <w:rPr>
                <w:noProof/>
                <w:webHidden/>
              </w:rPr>
              <w:fldChar w:fldCharType="begin"/>
            </w:r>
            <w:r>
              <w:rPr>
                <w:noProof/>
                <w:webHidden/>
              </w:rPr>
              <w:instrText xml:space="preserve"> PAGEREF _Toc227259860 \h </w:instrText>
            </w:r>
            <w:r>
              <w:rPr>
                <w:noProof/>
                <w:webHidden/>
              </w:rPr>
            </w:r>
            <w:r>
              <w:rPr>
                <w:noProof/>
                <w:webHidden/>
              </w:rPr>
              <w:fldChar w:fldCharType="separate"/>
            </w:r>
            <w:r>
              <w:rPr>
                <w:noProof/>
                <w:webHidden/>
              </w:rPr>
              <w:t>4</w:t>
            </w:r>
            <w:r>
              <w:rPr>
                <w:noProof/>
                <w:webHidden/>
              </w:rPr>
              <w:fldChar w:fldCharType="end"/>
            </w:r>
          </w:hyperlink>
        </w:p>
        <w:p w14:paraId="451F62FE" w14:textId="2CEA03F4" w:rsidR="0036588C" w:rsidRDefault="0036588C">
          <w:pPr>
            <w:pStyle w:val="TOC2"/>
            <w:tabs>
              <w:tab w:val="right" w:leader="dot" w:pos="9350"/>
            </w:tabs>
            <w:rPr>
              <w:rFonts w:eastAsiaTheme="minorEastAsia"/>
              <w:noProof/>
              <w:kern w:val="2"/>
              <w:lang w:val="en-US"/>
              <w14:ligatures w14:val="standardContextual"/>
            </w:rPr>
          </w:pPr>
          <w:hyperlink w:anchor="_Toc227259861" w:history="1">
            <w:r w:rsidRPr="00487F58">
              <w:rPr>
                <w:rStyle w:val="Hyperlink"/>
                <w:noProof/>
              </w:rPr>
              <w:t>3 Resultados</w:t>
            </w:r>
            <w:r>
              <w:rPr>
                <w:noProof/>
                <w:webHidden/>
              </w:rPr>
              <w:tab/>
            </w:r>
            <w:r>
              <w:rPr>
                <w:noProof/>
                <w:webHidden/>
              </w:rPr>
              <w:fldChar w:fldCharType="begin"/>
            </w:r>
            <w:r>
              <w:rPr>
                <w:noProof/>
                <w:webHidden/>
              </w:rPr>
              <w:instrText xml:space="preserve"> PAGEREF _Toc227259861 \h </w:instrText>
            </w:r>
            <w:r>
              <w:rPr>
                <w:noProof/>
                <w:webHidden/>
              </w:rPr>
            </w:r>
            <w:r>
              <w:rPr>
                <w:noProof/>
                <w:webHidden/>
              </w:rPr>
              <w:fldChar w:fldCharType="separate"/>
            </w:r>
            <w:r>
              <w:rPr>
                <w:noProof/>
                <w:webHidden/>
              </w:rPr>
              <w:t>5</w:t>
            </w:r>
            <w:r>
              <w:rPr>
                <w:noProof/>
                <w:webHidden/>
              </w:rPr>
              <w:fldChar w:fldCharType="end"/>
            </w:r>
          </w:hyperlink>
        </w:p>
        <w:p w14:paraId="60258024" w14:textId="128C2DDB" w:rsidR="0036588C" w:rsidRDefault="0036588C">
          <w:pPr>
            <w:pStyle w:val="TOC3"/>
            <w:tabs>
              <w:tab w:val="right" w:leader="dot" w:pos="9350"/>
            </w:tabs>
            <w:rPr>
              <w:rFonts w:eastAsiaTheme="minorEastAsia"/>
              <w:noProof/>
              <w:kern w:val="2"/>
              <w:lang w:val="en-US"/>
              <w14:ligatures w14:val="standardContextual"/>
            </w:rPr>
          </w:pPr>
          <w:hyperlink w:anchor="_Toc227259862" w:history="1">
            <w:r w:rsidRPr="00487F58">
              <w:rPr>
                <w:rStyle w:val="Hyperlink"/>
                <w:noProof/>
              </w:rPr>
              <w:t>3.1 Oferta bioeconómica</w:t>
            </w:r>
            <w:r>
              <w:rPr>
                <w:noProof/>
                <w:webHidden/>
              </w:rPr>
              <w:tab/>
            </w:r>
            <w:r>
              <w:rPr>
                <w:noProof/>
                <w:webHidden/>
              </w:rPr>
              <w:fldChar w:fldCharType="begin"/>
            </w:r>
            <w:r>
              <w:rPr>
                <w:noProof/>
                <w:webHidden/>
              </w:rPr>
              <w:instrText xml:space="preserve"> PAGEREF _Toc227259862 \h </w:instrText>
            </w:r>
            <w:r>
              <w:rPr>
                <w:noProof/>
                <w:webHidden/>
              </w:rPr>
            </w:r>
            <w:r>
              <w:rPr>
                <w:noProof/>
                <w:webHidden/>
              </w:rPr>
              <w:fldChar w:fldCharType="separate"/>
            </w:r>
            <w:r>
              <w:rPr>
                <w:noProof/>
                <w:webHidden/>
              </w:rPr>
              <w:t>5</w:t>
            </w:r>
            <w:r>
              <w:rPr>
                <w:noProof/>
                <w:webHidden/>
              </w:rPr>
              <w:fldChar w:fldCharType="end"/>
            </w:r>
          </w:hyperlink>
        </w:p>
        <w:p w14:paraId="19B1C510" w14:textId="5E2D5EF7" w:rsidR="0036588C" w:rsidRDefault="0036588C">
          <w:pPr>
            <w:pStyle w:val="TOC3"/>
            <w:tabs>
              <w:tab w:val="right" w:leader="dot" w:pos="9350"/>
            </w:tabs>
            <w:rPr>
              <w:rFonts w:eastAsiaTheme="minorEastAsia"/>
              <w:noProof/>
              <w:kern w:val="2"/>
              <w:lang w:val="en-US"/>
              <w14:ligatures w14:val="standardContextual"/>
            </w:rPr>
          </w:pPr>
          <w:hyperlink w:anchor="_Toc227259863" w:history="1">
            <w:r w:rsidRPr="00487F58">
              <w:rPr>
                <w:rStyle w:val="Hyperlink"/>
                <w:noProof/>
              </w:rPr>
              <w:t>3.2 Utilización bioeconómica</w:t>
            </w:r>
            <w:r>
              <w:rPr>
                <w:noProof/>
                <w:webHidden/>
              </w:rPr>
              <w:tab/>
            </w:r>
            <w:r>
              <w:rPr>
                <w:noProof/>
                <w:webHidden/>
              </w:rPr>
              <w:fldChar w:fldCharType="begin"/>
            </w:r>
            <w:r>
              <w:rPr>
                <w:noProof/>
                <w:webHidden/>
              </w:rPr>
              <w:instrText xml:space="preserve"> PAGEREF _Toc227259863 \h </w:instrText>
            </w:r>
            <w:r>
              <w:rPr>
                <w:noProof/>
                <w:webHidden/>
              </w:rPr>
            </w:r>
            <w:r>
              <w:rPr>
                <w:noProof/>
                <w:webHidden/>
              </w:rPr>
              <w:fldChar w:fldCharType="separate"/>
            </w:r>
            <w:r>
              <w:rPr>
                <w:noProof/>
                <w:webHidden/>
              </w:rPr>
              <w:t>6</w:t>
            </w:r>
            <w:r>
              <w:rPr>
                <w:noProof/>
                <w:webHidden/>
              </w:rPr>
              <w:fldChar w:fldCharType="end"/>
            </w:r>
          </w:hyperlink>
        </w:p>
        <w:p w14:paraId="53E1C470" w14:textId="756625F5" w:rsidR="0036588C" w:rsidRDefault="0036588C">
          <w:pPr>
            <w:pStyle w:val="TOC3"/>
            <w:tabs>
              <w:tab w:val="right" w:leader="dot" w:pos="9350"/>
            </w:tabs>
            <w:rPr>
              <w:rFonts w:eastAsiaTheme="minorEastAsia"/>
              <w:noProof/>
              <w:kern w:val="2"/>
              <w:lang w:val="en-US"/>
              <w14:ligatures w14:val="standardContextual"/>
            </w:rPr>
          </w:pPr>
          <w:hyperlink w:anchor="_Toc227259864" w:history="1">
            <w:r w:rsidRPr="00487F58">
              <w:rPr>
                <w:rStyle w:val="Hyperlink"/>
                <w:noProof/>
              </w:rPr>
              <w:t>3.3 Valor agregado bruto y PIB bioeconómico</w:t>
            </w:r>
            <w:r>
              <w:rPr>
                <w:noProof/>
                <w:webHidden/>
              </w:rPr>
              <w:tab/>
            </w:r>
            <w:r>
              <w:rPr>
                <w:noProof/>
                <w:webHidden/>
              </w:rPr>
              <w:fldChar w:fldCharType="begin"/>
            </w:r>
            <w:r>
              <w:rPr>
                <w:noProof/>
                <w:webHidden/>
              </w:rPr>
              <w:instrText xml:space="preserve"> PAGEREF _Toc227259864 \h </w:instrText>
            </w:r>
            <w:r>
              <w:rPr>
                <w:noProof/>
                <w:webHidden/>
              </w:rPr>
            </w:r>
            <w:r>
              <w:rPr>
                <w:noProof/>
                <w:webHidden/>
              </w:rPr>
              <w:fldChar w:fldCharType="separate"/>
            </w:r>
            <w:r>
              <w:rPr>
                <w:noProof/>
                <w:webHidden/>
              </w:rPr>
              <w:t>7</w:t>
            </w:r>
            <w:r>
              <w:rPr>
                <w:noProof/>
                <w:webHidden/>
              </w:rPr>
              <w:fldChar w:fldCharType="end"/>
            </w:r>
          </w:hyperlink>
        </w:p>
        <w:p w14:paraId="1739DD6C" w14:textId="0E17737C" w:rsidR="0036588C" w:rsidRDefault="0036588C">
          <w:pPr>
            <w:pStyle w:val="TOC3"/>
            <w:tabs>
              <w:tab w:val="right" w:leader="dot" w:pos="9350"/>
            </w:tabs>
            <w:rPr>
              <w:rFonts w:eastAsiaTheme="minorEastAsia"/>
              <w:noProof/>
              <w:kern w:val="2"/>
              <w:lang w:val="en-US"/>
              <w14:ligatures w14:val="standardContextual"/>
            </w:rPr>
          </w:pPr>
          <w:hyperlink w:anchor="_Toc227259865" w:history="1">
            <w:r w:rsidRPr="00487F58">
              <w:rPr>
                <w:rStyle w:val="Hyperlink"/>
                <w:noProof/>
              </w:rPr>
              <w:t>3.4 Composición bioeconómica de la producción y el consumo intermedio</w:t>
            </w:r>
            <w:r>
              <w:rPr>
                <w:noProof/>
                <w:webHidden/>
              </w:rPr>
              <w:tab/>
            </w:r>
            <w:r>
              <w:rPr>
                <w:noProof/>
                <w:webHidden/>
              </w:rPr>
              <w:fldChar w:fldCharType="begin"/>
            </w:r>
            <w:r>
              <w:rPr>
                <w:noProof/>
                <w:webHidden/>
              </w:rPr>
              <w:instrText xml:space="preserve"> PAGEREF _Toc227259865 \h </w:instrText>
            </w:r>
            <w:r>
              <w:rPr>
                <w:noProof/>
                <w:webHidden/>
              </w:rPr>
            </w:r>
            <w:r>
              <w:rPr>
                <w:noProof/>
                <w:webHidden/>
              </w:rPr>
              <w:fldChar w:fldCharType="separate"/>
            </w:r>
            <w:r>
              <w:rPr>
                <w:noProof/>
                <w:webHidden/>
              </w:rPr>
              <w:t>8</w:t>
            </w:r>
            <w:r>
              <w:rPr>
                <w:noProof/>
                <w:webHidden/>
              </w:rPr>
              <w:fldChar w:fldCharType="end"/>
            </w:r>
          </w:hyperlink>
        </w:p>
        <w:p w14:paraId="21F03ED2" w14:textId="496CC31B" w:rsidR="0036588C" w:rsidRDefault="0036588C">
          <w:pPr>
            <w:pStyle w:val="TOC3"/>
            <w:tabs>
              <w:tab w:val="right" w:leader="dot" w:pos="9350"/>
            </w:tabs>
            <w:rPr>
              <w:rFonts w:eastAsiaTheme="minorEastAsia"/>
              <w:noProof/>
              <w:kern w:val="2"/>
              <w:lang w:val="en-US"/>
              <w14:ligatures w14:val="standardContextual"/>
            </w:rPr>
          </w:pPr>
          <w:hyperlink w:anchor="_Toc227259866" w:history="1">
            <w:r w:rsidRPr="00487F58">
              <w:rPr>
                <w:rStyle w:val="Hyperlink"/>
                <w:noProof/>
              </w:rPr>
              <w:t>3.5 Importaciones bioeconómicas</w:t>
            </w:r>
            <w:r>
              <w:rPr>
                <w:noProof/>
                <w:webHidden/>
              </w:rPr>
              <w:tab/>
            </w:r>
            <w:r>
              <w:rPr>
                <w:noProof/>
                <w:webHidden/>
              </w:rPr>
              <w:fldChar w:fldCharType="begin"/>
            </w:r>
            <w:r>
              <w:rPr>
                <w:noProof/>
                <w:webHidden/>
              </w:rPr>
              <w:instrText xml:space="preserve"> PAGEREF _Toc227259866 \h </w:instrText>
            </w:r>
            <w:r>
              <w:rPr>
                <w:noProof/>
                <w:webHidden/>
              </w:rPr>
            </w:r>
            <w:r>
              <w:rPr>
                <w:noProof/>
                <w:webHidden/>
              </w:rPr>
              <w:fldChar w:fldCharType="separate"/>
            </w:r>
            <w:r>
              <w:rPr>
                <w:noProof/>
                <w:webHidden/>
              </w:rPr>
              <w:t>9</w:t>
            </w:r>
            <w:r>
              <w:rPr>
                <w:noProof/>
                <w:webHidden/>
              </w:rPr>
              <w:fldChar w:fldCharType="end"/>
            </w:r>
          </w:hyperlink>
        </w:p>
        <w:p w14:paraId="18A6B5D0" w14:textId="64941C17" w:rsidR="0036588C" w:rsidRDefault="0036588C">
          <w:pPr>
            <w:pStyle w:val="TOC3"/>
            <w:tabs>
              <w:tab w:val="right" w:leader="dot" w:pos="9350"/>
            </w:tabs>
            <w:rPr>
              <w:rFonts w:eastAsiaTheme="minorEastAsia"/>
              <w:noProof/>
              <w:kern w:val="2"/>
              <w:lang w:val="en-US"/>
              <w14:ligatures w14:val="standardContextual"/>
            </w:rPr>
          </w:pPr>
          <w:hyperlink w:anchor="_Toc227259867" w:history="1">
            <w:r w:rsidRPr="00487F58">
              <w:rPr>
                <w:rStyle w:val="Hyperlink"/>
                <w:noProof/>
              </w:rPr>
              <w:t>3.6 Impuestos netos sobre productos bioeconómicos</w:t>
            </w:r>
            <w:r>
              <w:rPr>
                <w:noProof/>
                <w:webHidden/>
              </w:rPr>
              <w:tab/>
            </w:r>
            <w:r>
              <w:rPr>
                <w:noProof/>
                <w:webHidden/>
              </w:rPr>
              <w:fldChar w:fldCharType="begin"/>
            </w:r>
            <w:r>
              <w:rPr>
                <w:noProof/>
                <w:webHidden/>
              </w:rPr>
              <w:instrText xml:space="preserve"> PAGEREF _Toc227259867 \h </w:instrText>
            </w:r>
            <w:r>
              <w:rPr>
                <w:noProof/>
                <w:webHidden/>
              </w:rPr>
            </w:r>
            <w:r>
              <w:rPr>
                <w:noProof/>
                <w:webHidden/>
              </w:rPr>
              <w:fldChar w:fldCharType="separate"/>
            </w:r>
            <w:r>
              <w:rPr>
                <w:noProof/>
                <w:webHidden/>
              </w:rPr>
              <w:t>10</w:t>
            </w:r>
            <w:r>
              <w:rPr>
                <w:noProof/>
                <w:webHidden/>
              </w:rPr>
              <w:fldChar w:fldCharType="end"/>
            </w:r>
          </w:hyperlink>
        </w:p>
        <w:p w14:paraId="4E99B6E4" w14:textId="1517AFF8" w:rsidR="0036588C" w:rsidRDefault="0036588C">
          <w:pPr>
            <w:pStyle w:val="TOC3"/>
            <w:tabs>
              <w:tab w:val="right" w:leader="dot" w:pos="9350"/>
            </w:tabs>
            <w:rPr>
              <w:rFonts w:eastAsiaTheme="minorEastAsia"/>
              <w:noProof/>
              <w:kern w:val="2"/>
              <w:lang w:val="en-US"/>
              <w14:ligatures w14:val="standardContextual"/>
            </w:rPr>
          </w:pPr>
          <w:hyperlink w:anchor="_Toc227259868" w:history="1">
            <w:r w:rsidRPr="00487F58">
              <w:rPr>
                <w:rStyle w:val="Hyperlink"/>
                <w:noProof/>
              </w:rPr>
              <w:t>3.7 Evolución temporal 2018–2022</w:t>
            </w:r>
            <w:r>
              <w:rPr>
                <w:noProof/>
                <w:webHidden/>
              </w:rPr>
              <w:tab/>
            </w:r>
            <w:r>
              <w:rPr>
                <w:noProof/>
                <w:webHidden/>
              </w:rPr>
              <w:fldChar w:fldCharType="begin"/>
            </w:r>
            <w:r>
              <w:rPr>
                <w:noProof/>
                <w:webHidden/>
              </w:rPr>
              <w:instrText xml:space="preserve"> PAGEREF _Toc227259868 \h </w:instrText>
            </w:r>
            <w:r>
              <w:rPr>
                <w:noProof/>
                <w:webHidden/>
              </w:rPr>
            </w:r>
            <w:r>
              <w:rPr>
                <w:noProof/>
                <w:webHidden/>
              </w:rPr>
              <w:fldChar w:fldCharType="separate"/>
            </w:r>
            <w:r>
              <w:rPr>
                <w:noProof/>
                <w:webHidden/>
              </w:rPr>
              <w:t>11</w:t>
            </w:r>
            <w:r>
              <w:rPr>
                <w:noProof/>
                <w:webHidden/>
              </w:rPr>
              <w:fldChar w:fldCharType="end"/>
            </w:r>
          </w:hyperlink>
        </w:p>
        <w:p w14:paraId="7A0A29DB" w14:textId="0331FC2D" w:rsidR="0036588C" w:rsidRDefault="0036588C">
          <w:pPr>
            <w:pStyle w:val="TOC3"/>
            <w:tabs>
              <w:tab w:val="right" w:leader="dot" w:pos="9350"/>
            </w:tabs>
            <w:rPr>
              <w:rFonts w:eastAsiaTheme="minorEastAsia"/>
              <w:noProof/>
              <w:kern w:val="2"/>
              <w:lang w:val="en-US"/>
              <w14:ligatures w14:val="standardContextual"/>
            </w:rPr>
          </w:pPr>
          <w:hyperlink w:anchor="_Toc227259869" w:history="1">
            <w:r w:rsidRPr="00487F58">
              <w:rPr>
                <w:rStyle w:val="Hyperlink"/>
                <w:noProof/>
              </w:rPr>
              <w:t>3.8 Comparación regional</w:t>
            </w:r>
            <w:r>
              <w:rPr>
                <w:noProof/>
                <w:webHidden/>
              </w:rPr>
              <w:tab/>
            </w:r>
            <w:r>
              <w:rPr>
                <w:noProof/>
                <w:webHidden/>
              </w:rPr>
              <w:fldChar w:fldCharType="begin"/>
            </w:r>
            <w:r>
              <w:rPr>
                <w:noProof/>
                <w:webHidden/>
              </w:rPr>
              <w:instrText xml:space="preserve"> PAGEREF _Toc227259869 \h </w:instrText>
            </w:r>
            <w:r>
              <w:rPr>
                <w:noProof/>
                <w:webHidden/>
              </w:rPr>
            </w:r>
            <w:r>
              <w:rPr>
                <w:noProof/>
                <w:webHidden/>
              </w:rPr>
              <w:fldChar w:fldCharType="separate"/>
            </w:r>
            <w:r>
              <w:rPr>
                <w:noProof/>
                <w:webHidden/>
              </w:rPr>
              <w:t>13</w:t>
            </w:r>
            <w:r>
              <w:rPr>
                <w:noProof/>
                <w:webHidden/>
              </w:rPr>
              <w:fldChar w:fldCharType="end"/>
            </w:r>
          </w:hyperlink>
        </w:p>
        <w:p w14:paraId="72F4BF60" w14:textId="412ADAE1" w:rsidR="0036588C" w:rsidRDefault="0036588C">
          <w:pPr>
            <w:pStyle w:val="TOC2"/>
            <w:tabs>
              <w:tab w:val="right" w:leader="dot" w:pos="9350"/>
            </w:tabs>
            <w:rPr>
              <w:rFonts w:eastAsiaTheme="minorEastAsia"/>
              <w:noProof/>
              <w:kern w:val="2"/>
              <w:lang w:val="en-US"/>
              <w14:ligatures w14:val="standardContextual"/>
            </w:rPr>
          </w:pPr>
          <w:hyperlink w:anchor="_Toc227259870" w:history="1">
            <w:r w:rsidRPr="00487F58">
              <w:rPr>
                <w:rStyle w:val="Hyperlink"/>
                <w:noProof/>
              </w:rPr>
              <w:t>4 Conclusiones y recomendaciones</w:t>
            </w:r>
            <w:r>
              <w:rPr>
                <w:noProof/>
                <w:webHidden/>
              </w:rPr>
              <w:tab/>
            </w:r>
            <w:r>
              <w:rPr>
                <w:noProof/>
                <w:webHidden/>
              </w:rPr>
              <w:fldChar w:fldCharType="begin"/>
            </w:r>
            <w:r>
              <w:rPr>
                <w:noProof/>
                <w:webHidden/>
              </w:rPr>
              <w:instrText xml:space="preserve"> PAGEREF _Toc227259870 \h </w:instrText>
            </w:r>
            <w:r>
              <w:rPr>
                <w:noProof/>
                <w:webHidden/>
              </w:rPr>
            </w:r>
            <w:r>
              <w:rPr>
                <w:noProof/>
                <w:webHidden/>
              </w:rPr>
              <w:fldChar w:fldCharType="separate"/>
            </w:r>
            <w:r>
              <w:rPr>
                <w:noProof/>
                <w:webHidden/>
              </w:rPr>
              <w:t>14</w:t>
            </w:r>
            <w:r>
              <w:rPr>
                <w:noProof/>
                <w:webHidden/>
              </w:rPr>
              <w:fldChar w:fldCharType="end"/>
            </w:r>
          </w:hyperlink>
        </w:p>
        <w:p w14:paraId="325EB9CA" w14:textId="5775BE95" w:rsidR="0036588C" w:rsidRDefault="0036588C">
          <w:pPr>
            <w:pStyle w:val="TOC2"/>
            <w:tabs>
              <w:tab w:val="right" w:leader="dot" w:pos="9350"/>
            </w:tabs>
            <w:rPr>
              <w:rFonts w:eastAsiaTheme="minorEastAsia"/>
              <w:noProof/>
              <w:kern w:val="2"/>
              <w:lang w:val="en-US"/>
              <w14:ligatures w14:val="standardContextual"/>
            </w:rPr>
          </w:pPr>
          <w:hyperlink w:anchor="_Toc227259871" w:history="1">
            <w:r w:rsidRPr="00487F58">
              <w:rPr>
                <w:rStyle w:val="Hyperlink"/>
                <w:noProof/>
              </w:rPr>
              <w:t>Referencias</w:t>
            </w:r>
            <w:r>
              <w:rPr>
                <w:noProof/>
                <w:webHidden/>
              </w:rPr>
              <w:tab/>
            </w:r>
            <w:r>
              <w:rPr>
                <w:noProof/>
                <w:webHidden/>
              </w:rPr>
              <w:fldChar w:fldCharType="begin"/>
            </w:r>
            <w:r>
              <w:rPr>
                <w:noProof/>
                <w:webHidden/>
              </w:rPr>
              <w:instrText xml:space="preserve"> PAGEREF _Toc227259871 \h </w:instrText>
            </w:r>
            <w:r>
              <w:rPr>
                <w:noProof/>
                <w:webHidden/>
              </w:rPr>
            </w:r>
            <w:r>
              <w:rPr>
                <w:noProof/>
                <w:webHidden/>
              </w:rPr>
              <w:fldChar w:fldCharType="separate"/>
            </w:r>
            <w:r>
              <w:rPr>
                <w:noProof/>
                <w:webHidden/>
              </w:rPr>
              <w:t>16</w:t>
            </w:r>
            <w:r>
              <w:rPr>
                <w:noProof/>
                <w:webHidden/>
              </w:rPr>
              <w:fldChar w:fldCharType="end"/>
            </w:r>
          </w:hyperlink>
        </w:p>
        <w:p w14:paraId="4D81B555" w14:textId="770A5438" w:rsidR="00664DF3" w:rsidRDefault="007218EF">
          <w:pPr>
            <w:pStyle w:val="TOC2"/>
            <w:tabs>
              <w:tab w:val="right" w:leader="dot" w:pos="9359"/>
            </w:tabs>
          </w:pPr>
          <w:r>
            <w:rPr>
              <w:rStyle w:val="IndexLink"/>
            </w:rPr>
            <w:fldChar w:fldCharType="end"/>
          </w:r>
        </w:p>
      </w:sdtContent>
    </w:sdt>
    <w:p w14:paraId="04164F1B" w14:textId="77777777" w:rsidR="00664DF3" w:rsidRDefault="007218EF">
      <w:pPr>
        <w:pStyle w:val="Heading2"/>
      </w:pPr>
      <w:bookmarkStart w:id="0" w:name="resumen"/>
      <w:bookmarkStart w:id="1" w:name="_Toc227259855"/>
      <w:r>
        <w:t>Resumen</w:t>
      </w:r>
      <w:bookmarkEnd w:id="1"/>
    </w:p>
    <w:p w14:paraId="66E56E63" w14:textId="77777777" w:rsidR="00664DF3" w:rsidRDefault="007218EF">
      <w:pPr>
        <w:pStyle w:val="FirstParagraph"/>
      </w:pPr>
      <w:r>
        <w:t>El presente documento describe la construcción de una cuenta satélite de bioeconomía para Panamá, utilizando los Cuadros de Oferta y Utilización (COU) del Sistema de Cuentas Nacionales para el período 2018–2022. A través de una clasificación de productos basada en la Clasificación Central de Productos (CPC), se distingue entre productos de bioeconomía directa, bioeconomía extendida y no bioeconomía. Los resultados para 2022 indican que la bioeconomía directa representa aproximadamente el 8% de la producción</w:t>
      </w:r>
      <w:r>
        <w:t xml:space="preserve"> total del país y cerca del 5% del valor agregado bruto, mientras que la bioeconomía extendida aporta un 5% adicional a la producción y un 4% al valor agregado. La serie </w:t>
      </w:r>
      <w:r>
        <w:lastRenderedPageBreak/>
        <w:t>temporal 2018–2022 permite observar la resiliencia relativa de los sectores bioeconómicos durante la contracción económica asociada a la pandemia de COVID-19 en 2020 y su posterior recuperación. Estos resultados constituyen una línea base para el seguimiento de la bioeconomía panameña y sientan las bases para análisis más profundos cuando s</w:t>
      </w:r>
      <w:r>
        <w:t>e disponga de una matriz de insumo-producto actualizada.</w:t>
      </w:r>
    </w:p>
    <w:p w14:paraId="0AC8B2EB" w14:textId="77777777" w:rsidR="00664DF3" w:rsidRDefault="007218EF">
      <w:pPr>
        <w:pStyle w:val="BodyText"/>
      </w:pPr>
      <w:r>
        <w:rPr>
          <w:b/>
          <w:bCs/>
        </w:rPr>
        <w:t>Palabras clave:</w:t>
      </w:r>
      <w:r>
        <w:t xml:space="preserve"> bioeconomía, cuentas nacionales, cuentas satélite, cuadros de oferta y utilización, Panamá.</w:t>
      </w:r>
      <w:bookmarkEnd w:id="0"/>
    </w:p>
    <w:p w14:paraId="5084AAE0" w14:textId="77777777" w:rsidR="00664DF3" w:rsidRDefault="007218EF">
      <w:pPr>
        <w:pStyle w:val="Heading2"/>
      </w:pPr>
      <w:bookmarkStart w:id="2" w:name="introducción"/>
      <w:bookmarkStart w:id="3" w:name="_Toc227259856"/>
      <w:r>
        <w:t>1 Introducción</w:t>
      </w:r>
      <w:bookmarkEnd w:id="3"/>
    </w:p>
    <w:p w14:paraId="0C9C347C" w14:textId="77777777" w:rsidR="00664DF3" w:rsidRDefault="007218EF">
      <w:pPr>
        <w:pStyle w:val="FirstParagraph"/>
      </w:pPr>
      <w:r>
        <w:t>La medición de la bioeconomía se ha posicionado como un tema estratégico para los países de América Latina y el Caribe, pues es una región cuya dotación de recursos naturales y biológicos le confiere ventajas comparativas relevantes para el desarrollo de actividades económicas basadas en la biomasa (Rodríguez et al., 2017). Si bien la bioeconomía abarca un espectro amplio de sectores productivos, su contribución al producto interno bruto (PIB) y al empleo no siempre es visible en las estadísticas macroeconó</w:t>
      </w:r>
      <w:r>
        <w:t>micas convencionales, lo que dificulta su incorporación en el diseño de políticas públicas.</w:t>
      </w:r>
    </w:p>
    <w:p w14:paraId="5F963C1B" w14:textId="77777777" w:rsidR="00664DF3" w:rsidRDefault="007218EF">
      <w:pPr>
        <w:pStyle w:val="BodyText"/>
      </w:pPr>
      <w:r>
        <w:t>En años recientes, la Comisión Económica para América Latina y el Caribe (CEPAL) ha impulsado el desarrollo de cuentas satélite de bioeconomía para diversos países de la región, aplicando una metodología que se apoya en el marco del Sistema de Cuentas Nacionales (SCN) y en las clasificaciones internacionales de productos y actividades económicas (Vargas et al., 2022, 2023). Estos esfuerzos han permitido obtener estimaciones comparables de la contribución de la bioeconomía en trece países latinoamericanos, r</w:t>
      </w:r>
      <w:r>
        <w:t>evelando estructuras productivas heterogéneas que reflejan las particularidades de cada economía nacional.</w:t>
      </w:r>
    </w:p>
    <w:p w14:paraId="218CC774" w14:textId="77777777" w:rsidR="00664DF3" w:rsidRDefault="007218EF">
      <w:pPr>
        <w:pStyle w:val="BodyText"/>
      </w:pPr>
      <w:r>
        <w:t>Panamá presenta un perfil económico singular en la región. Su economía, fuertemente orientada al sector de servicios; en particular logística, comercio internacional y finanzas, se distingue de las economías vecinas con mayor peso relativo de la agricultura y la manufactura. No obstante, el sector agropecuario, la pesca, la industria alimentaria y otras actividades basadas en recursos biológicos desempeñan un papel significativo en el tejido productivo panameño y en la seguridad alimentaria del país. Cuanti</w:t>
      </w:r>
      <w:r>
        <w:t>ficar la dimensión bioeconómica de estas actividades resulta fundamental para una comprensión integral de la estructura productiva nacional.</w:t>
      </w:r>
    </w:p>
    <w:p w14:paraId="30CC7958" w14:textId="77777777" w:rsidR="00664DF3" w:rsidRDefault="007218EF">
      <w:pPr>
        <w:pStyle w:val="BodyText"/>
      </w:pPr>
      <w:r>
        <w:t>El presente documento aplica la metodología de cuentas satélite de bioeconomía al caso de Panamá, utilizando los Cuadros de Oferta y Utilización (COU) del Sistema de Cuentas Nacionales elaborados por el Instituto Nacional de Estadística y Censo (INEC) para el período 2018–2022 (INEC Panamá, 2024). A diferencia de otros ejercicios realizados para la región, como el caso de Ecuador que incorporó la Matriz de Insumo-Producto en el análisis (Vargas, 2025), Panamá no cuenta con una Matriz de Insumo Producto (MIP</w:t>
      </w:r>
      <w:r>
        <w:t xml:space="preserve">) actualizada, lo </w:t>
      </w:r>
      <w:r>
        <w:lastRenderedPageBreak/>
        <w:t>que delimita el alcance del análisis a la contribución directa de la bioeconomía sin incluir encadenamientos productivos ni multiplicadores.</w:t>
      </w:r>
    </w:p>
    <w:p w14:paraId="2F57F465" w14:textId="77777777" w:rsidR="00664DF3" w:rsidRDefault="007218EF">
      <w:pPr>
        <w:pStyle w:val="BodyText"/>
      </w:pPr>
      <w:r>
        <w:t xml:space="preserve">El documento se organiza de la siguiente manera. La </w:t>
      </w:r>
      <w:hyperlink w:anchor="sec-metodologia">
        <w:r>
          <w:rPr>
            <w:rStyle w:val="Hyperlink"/>
          </w:rPr>
          <w:t>Sección 2</w:t>
        </w:r>
      </w:hyperlink>
      <w:r>
        <w:t xml:space="preserve"> presenta el marco conceptual y metodológico, incluyendo una breve descripción del SCN, la definición operativa de bioeconomía utilizada y el proceso de clasificación de productos. La </w:t>
      </w:r>
      <w:hyperlink w:anchor="sec-resultados">
        <w:r>
          <w:rPr>
            <w:rStyle w:val="Hyperlink"/>
          </w:rPr>
          <w:t>Sección 3</w:t>
        </w:r>
      </w:hyperlink>
      <w:r>
        <w:t xml:space="preserve"> expone los principales resultados para el año 2022 y la evolución temporal del período 2018–2022, así como una comparación con otros países de la región. Finalmente, la </w:t>
      </w:r>
      <w:hyperlink w:anchor="sec-conclusiones">
        <w:r>
          <w:rPr>
            <w:rStyle w:val="Hyperlink"/>
          </w:rPr>
          <w:t>Sección 4</w:t>
        </w:r>
      </w:hyperlink>
      <w:r>
        <w:t xml:space="preserve"> ofrece las conclusiones, limitaciones del ejercicio y recomendaciones para futuras actualizaciones.</w:t>
      </w:r>
      <w:bookmarkEnd w:id="2"/>
    </w:p>
    <w:p w14:paraId="5C478ED9" w14:textId="77777777" w:rsidR="00664DF3" w:rsidRDefault="007218EF">
      <w:pPr>
        <w:pStyle w:val="Heading2"/>
      </w:pPr>
      <w:bookmarkStart w:id="4" w:name="sec-metodologia"/>
      <w:bookmarkStart w:id="5" w:name="_Toc227259857"/>
      <w:r>
        <w:t>2 Marco conceptual y metodológico</w:t>
      </w:r>
      <w:bookmarkEnd w:id="5"/>
    </w:p>
    <w:p w14:paraId="403FF199" w14:textId="77777777" w:rsidR="00664DF3" w:rsidRDefault="007218EF">
      <w:pPr>
        <w:pStyle w:val="Heading3"/>
      </w:pPr>
      <w:bookmarkStart w:id="6" w:name="X5bf90392ca0eb473ad4336291c28430afefdc75"/>
      <w:bookmarkStart w:id="7" w:name="_Toc227259858"/>
      <w:r>
        <w:t>2.1 El Sistema de Cuentas Nacionales y los cuadros de oferta y utilización</w:t>
      </w:r>
      <w:bookmarkEnd w:id="7"/>
    </w:p>
    <w:p w14:paraId="70246175" w14:textId="77777777" w:rsidR="00664DF3" w:rsidRDefault="007218EF">
      <w:pPr>
        <w:pStyle w:val="FirstParagraph"/>
      </w:pPr>
      <w:r>
        <w:t>El Sistema de Cuentas Nacionales 2008 (Comisión Europea et al., 2016) constituye el marco estadístico internacional que organiza la información sobre la actividad económica de un país. Dentro de este sistema, los Cuadros de Oferta y Utilización (COU) ocupan un lugar central, ya que integran de manera coherente la información sobre la producción, el consumo intermedio, la demanda final y el valor agregado de una economía.</w:t>
      </w:r>
    </w:p>
    <w:p w14:paraId="3EBBAE67" w14:textId="77777777" w:rsidR="00664DF3" w:rsidRDefault="007218EF">
      <w:pPr>
        <w:pStyle w:val="BodyText"/>
      </w:pPr>
      <w:r>
        <w:t xml:space="preserve">El cuadro de oferta describe el origen de los bienes y servicios disponibles en la economía. En sus filas se registran los productos, clasificados según la Clasificación Central de Productos (CPC), y en sus columnas las actividades económicas que los producen, clasificadas según la Clasificación Industrial Internacional Uniforme (CIIU). A estas columnas se suman las importaciones, los impuestos sobre los productos, las subvenciones y los márgenes de distribución. La identidad contable fundamental establece </w:t>
      </w:r>
      <w:r>
        <w:t>que la oferta total de cada producto es igual a su utilización total.</w:t>
      </w:r>
    </w:p>
    <w:p w14:paraId="411E8AA5" w14:textId="77777777" w:rsidR="00664DF3" w:rsidRDefault="007218EF">
      <w:pPr>
        <w:pStyle w:val="BodyText"/>
      </w:pPr>
      <w:r>
        <w:t>El cuadro de utilización, por su parte, muestra el destino de esos bienes y servicios. Su cuerpo principal registra el consumo intermedio. Es decir, los insumos que cada actividad económica adquiere para su proceso productivo. Sus columnas adicionales recogen las exportaciones, el gasto de consumo final y la formación bruta de capital. El valor agregado bruto (VAB) de cada actividad se obtiene como la diferencia entre el valor bruto de su producción a precios básicos y su consumo intermedio:</w:t>
      </w:r>
    </w:p>
    <w:p w14:paraId="4BB9C4FE" w14:textId="77777777" w:rsidR="00664DF3" w:rsidRDefault="007218EF">
      <w:pPr>
        <w:pStyle w:val="BodyText"/>
        <w:jc w:val="center"/>
      </w:pPr>
      <m:oMathPara>
        <m:oMathParaPr>
          <m:jc m:val="center"/>
        </m:oMathParaPr>
        <m:oMath>
          <m:r>
            <m:rPr>
              <m:lit/>
              <m:nor/>
            </m:rPr>
            <m:t>VAB=Producción</m:t>
          </m:r>
          <m:r>
            <w:rPr>
              <w:rFonts w:ascii="Cambria Math" w:hAnsi="Cambria Math"/>
            </w:rPr>
            <m:t>-</m:t>
          </m:r>
          <m:r>
            <m:rPr>
              <m:lit/>
              <m:nor/>
            </m:rPr>
            <m:t>Consumo intermedio</m:t>
          </m:r>
        </m:oMath>
      </m:oMathPara>
    </w:p>
    <w:p w14:paraId="30C71114" w14:textId="77777777" w:rsidR="00664DF3" w:rsidRDefault="007218EF">
      <w:pPr>
        <w:pStyle w:val="FirstParagraph"/>
      </w:pPr>
      <w:r>
        <w:t>El PIB por el lado de la producción se calcula sumando al VAB total los impuestos netos sobre los productos:</w:t>
      </w:r>
    </w:p>
    <w:p w14:paraId="5FE6E6B5" w14:textId="77777777" w:rsidR="00664DF3" w:rsidRDefault="007218EF">
      <w:pPr>
        <w:pStyle w:val="BodyText"/>
        <w:jc w:val="center"/>
      </w:pPr>
      <m:oMathPara>
        <m:oMathParaPr>
          <m:jc m:val="center"/>
        </m:oMathParaPr>
        <m:oMath>
          <m:r>
            <m:rPr>
              <m:lit/>
              <m:nor/>
            </m:rPr>
            <m:t>PIB=</m:t>
          </m:r>
          <m:r>
            <w:rPr>
              <w:rFonts w:ascii="Cambria Math" w:hAnsi="Cambria Math"/>
            </w:rPr>
            <m:t>∑</m:t>
          </m:r>
          <m:r>
            <m:rPr>
              <m:lit/>
              <m:nor/>
            </m:rPr>
            <m:t>VAB+Impuestos sobre productos</m:t>
          </m:r>
          <m:r>
            <w:rPr>
              <w:rFonts w:ascii="Cambria Math" w:hAnsi="Cambria Math"/>
            </w:rPr>
            <m:t>-</m:t>
          </m:r>
          <m:r>
            <m:rPr>
              <m:lit/>
              <m:nor/>
            </m:rPr>
            <m:t>Subvenciones a productos</m:t>
          </m:r>
        </m:oMath>
      </m:oMathPara>
    </w:p>
    <w:p w14:paraId="382DA1AB" w14:textId="77777777" w:rsidR="00664DF3" w:rsidRDefault="007218EF">
      <w:pPr>
        <w:pStyle w:val="FirstParagraph"/>
      </w:pPr>
      <w:r>
        <w:t xml:space="preserve">Para Panamá, los COU utilizados en este ejercicio comprenden 278 productos y 89 actividades económicas para cada uno de los años del período 2018–2022, a precios </w:t>
      </w:r>
      <w:r>
        <w:lastRenderedPageBreak/>
        <w:t>corrientes expresados en millones de balboas (B/.), moneda equivalente al dólar estadounidense.</w:t>
      </w:r>
      <w:bookmarkEnd w:id="6"/>
    </w:p>
    <w:p w14:paraId="499FF6E3" w14:textId="77777777" w:rsidR="00664DF3" w:rsidRDefault="007218EF">
      <w:pPr>
        <w:pStyle w:val="Heading3"/>
      </w:pPr>
      <w:bookmarkStart w:id="8" w:name="definición-de-bioeconomía"/>
      <w:bookmarkStart w:id="9" w:name="_Toc227259859"/>
      <w:r>
        <w:t>2.2 Definición de bioeconomía</w:t>
      </w:r>
      <w:bookmarkEnd w:id="9"/>
    </w:p>
    <w:p w14:paraId="18CF2D2C" w14:textId="77777777" w:rsidR="00664DF3" w:rsidRDefault="007218EF">
      <w:pPr>
        <w:pStyle w:val="FirstParagraph"/>
      </w:pPr>
      <w:r>
        <w:t xml:space="preserve">La definición de bioeconomía adoptada en este trabajo sigue la propuesta del Consejo Alemán de Bioeconomía, presentada en la Cumbre Global de Bioeconomía de 2018, que establece que la bioeconomía comprende “la producción, utilización y conservación de recursos biológicos, incluyendo el conocimiento, la ciencia, la tecnología y la innovación relacionados, para proporcionar información, productos, procesos y servicios a todos los sectores económicos, con el propósito de avanzar hacia una economía sostenible” </w:t>
      </w:r>
      <w:r>
        <w:t>(German Bioeconomy Council, 2018).</w:t>
      </w:r>
    </w:p>
    <w:p w14:paraId="5F04A821" w14:textId="77777777" w:rsidR="00664DF3" w:rsidRDefault="007218EF">
      <w:pPr>
        <w:pStyle w:val="BodyText"/>
      </w:pPr>
      <w:r>
        <w:t>Esta definición, ampliamente aceptada en la literatura internacional (IACGB, 2018, 2020), permite operacionalizar la medición de la bioeconomía a través de los sistemas de cuentas nacionales, al vincularla con los flujos de productos de origen biológico que circulan en la economía. De acuerdo con el enfoque metodológico desarrollado por Vargas et al. (2022) y ampliado en Vargas et al. (2023), se distinguen tres categorías de productos:</w:t>
      </w:r>
    </w:p>
    <w:p w14:paraId="50B2EE34" w14:textId="77777777" w:rsidR="00664DF3" w:rsidRDefault="007218EF">
      <w:pPr>
        <w:numPr>
          <w:ilvl w:val="0"/>
          <w:numId w:val="1"/>
        </w:numPr>
      </w:pPr>
      <w:r>
        <w:rPr>
          <w:b/>
          <w:bCs/>
        </w:rPr>
        <w:t>Bioeconomía:</w:t>
      </w:r>
      <w:r>
        <w:t xml:space="preserve"> Productos que son directamente recursos biológicos o cuyo proceso de producción implica la transformación primaria de biomasa (por ejemplo, productos agrícolas, forestales, pesqueros, alimentos procesados, madera aserrada).</w:t>
      </w:r>
    </w:p>
    <w:p w14:paraId="7B691029" w14:textId="77777777" w:rsidR="00664DF3" w:rsidRDefault="007218EF">
      <w:pPr>
        <w:numPr>
          <w:ilvl w:val="0"/>
          <w:numId w:val="1"/>
        </w:numPr>
      </w:pPr>
      <w:r>
        <w:rPr>
          <w:b/>
          <w:bCs/>
        </w:rPr>
        <w:t>Bioeconomía extendida:</w:t>
      </w:r>
      <w:r>
        <w:t xml:space="preserve"> Productos cuya elaboración requiere insumos biológicos en una proporción significativa, pero que también incluyen un componente cuya fracción no es evidente de productos no biológicos (por ejemplo, productos farmacéuticos de base biológica, textiles de fibras naturales, biocombustibles).</w:t>
      </w:r>
    </w:p>
    <w:p w14:paraId="089DFBD8" w14:textId="77777777" w:rsidR="00664DF3" w:rsidRDefault="007218EF">
      <w:pPr>
        <w:numPr>
          <w:ilvl w:val="0"/>
          <w:numId w:val="1"/>
        </w:numPr>
      </w:pPr>
      <w:r>
        <w:rPr>
          <w:b/>
          <w:bCs/>
        </w:rPr>
        <w:t>No bioeconomía:</w:t>
      </w:r>
      <w:r>
        <w:t xml:space="preserve"> Productos cuyo origen y proceso productivo no involucran de manera directa ni significativa recursos biológicos (por ejemplo, productos de minería, manufactura de metales, servicios financieros).</w:t>
      </w:r>
      <w:bookmarkEnd w:id="8"/>
    </w:p>
    <w:p w14:paraId="2FD34631" w14:textId="77777777" w:rsidR="00664DF3" w:rsidRDefault="007218EF">
      <w:pPr>
        <w:pStyle w:val="Heading3"/>
      </w:pPr>
      <w:bookmarkStart w:id="10" w:name="construcción-de-la-cuenta-satélite"/>
      <w:bookmarkStart w:id="11" w:name="_Toc227259860"/>
      <w:r>
        <w:t>2.3 Construcción de la cuenta satélite</w:t>
      </w:r>
      <w:bookmarkEnd w:id="11"/>
    </w:p>
    <w:p w14:paraId="57388C88" w14:textId="77777777" w:rsidR="00664DF3" w:rsidRDefault="007218EF">
      <w:pPr>
        <w:pStyle w:val="FirstParagraph"/>
      </w:pPr>
      <w:r>
        <w:t>La construcción de la cuenta satélite de bioeconomía para Panamá sigue la metodología documentada en Vargas et al. (2022) y Vargas et al. (2023), adaptada a las particularidades de la información disponible para el país. El proceso se desarrolló en las siguientes etapas:</w:t>
      </w:r>
    </w:p>
    <w:p w14:paraId="2F74293B" w14:textId="77777777" w:rsidR="00664DF3" w:rsidRDefault="007218EF">
      <w:pPr>
        <w:numPr>
          <w:ilvl w:val="0"/>
          <w:numId w:val="6"/>
        </w:numPr>
      </w:pPr>
      <w:r>
        <w:rPr>
          <w:b/>
          <w:bCs/>
        </w:rPr>
        <w:t>Clasificación de productos:</w:t>
      </w:r>
      <w:r>
        <w:t xml:space="preserve"> Cada uno de los 278 productos del COU de Panamá, identificados mediante la CPC, fue clasificado en una de las tres categorías bioeconómicas descritas anteriormente. Esta clasificación se realizó mediante un análisis de la naturaleza de cada producto en relación con su contenido de recursos biológicos, siguiendo los criterios establecidos en los trabajos previos para otros países de la región.</w:t>
      </w:r>
    </w:p>
    <w:p w14:paraId="165E7E86" w14:textId="77777777" w:rsidR="00664DF3" w:rsidRDefault="007218EF">
      <w:pPr>
        <w:numPr>
          <w:ilvl w:val="0"/>
          <w:numId w:val="2"/>
        </w:numPr>
      </w:pPr>
      <w:r>
        <w:rPr>
          <w:b/>
          <w:bCs/>
        </w:rPr>
        <w:lastRenderedPageBreak/>
        <w:t>Reorganización de los COU:</w:t>
      </w:r>
      <w:r>
        <w:t xml:space="preserve"> Los cuadros de oferta y utilización fueron reestructurados incorporando la dimensión bioeconómica como una variable adicional de desagregación. Esto permite observar, para cada actividad económica, qué proporción de su producción y de sus insumos corresponde a productos bioeconómicos, de bioeconomía extendida o no bioeconómicos.</w:t>
      </w:r>
    </w:p>
    <w:p w14:paraId="42289619" w14:textId="77777777" w:rsidR="00664DF3" w:rsidRDefault="007218EF">
      <w:pPr>
        <w:numPr>
          <w:ilvl w:val="0"/>
          <w:numId w:val="2"/>
        </w:numPr>
      </w:pPr>
      <w:r>
        <w:rPr>
          <w:b/>
          <w:bCs/>
        </w:rPr>
        <w:t xml:space="preserve">Cálculo del valor agregado </w:t>
      </w:r>
      <w:proofErr w:type="spellStart"/>
      <w:r>
        <w:rPr>
          <w:b/>
          <w:bCs/>
        </w:rPr>
        <w:t>bioeconómico</w:t>
      </w:r>
      <w:proofErr w:type="spellEnd"/>
      <w:r>
        <w:rPr>
          <w:b/>
          <w:bCs/>
        </w:rPr>
        <w:t>:</w:t>
      </w:r>
      <w:r>
        <w:t xml:space="preserve"> El valor agregado asociado a cada categoría bioeconómica se estimó a través del método del consumo intermedio. Este método distribuye el valor agregado de cada actividad económica en proporción a la composición bioeconómica de su producción, considerando la estructura de insumos. El VAB </w:t>
      </w:r>
      <w:proofErr w:type="spellStart"/>
      <w:r>
        <w:t>bioeconómico</w:t>
      </w:r>
      <w:proofErr w:type="spellEnd"/>
      <w:r>
        <w:t xml:space="preserve"> se obtiene como la diferencia entre la producción clasificada como bioeconómica y el consumo intermedio de productos bioeconómicos.</w:t>
      </w:r>
    </w:p>
    <w:p w14:paraId="2A13187F" w14:textId="77777777" w:rsidR="00664DF3" w:rsidRDefault="007218EF">
      <w:pPr>
        <w:pStyle w:val="FirstParagraph"/>
      </w:pPr>
      <w:r>
        <w:t>Es importante señalar que este enfoque captura únicamente la contribución directa de la bioeconomía. Para estimar la contribución indirecta, que incluye los efectos de encadenamiento productivo y los multiplicadores de demanda, sería necesario contar con una Matriz de Insumo-Producto actualizada, como se realizó en el caso de Ecuador (Miller y Blair, 2009; Vargas, 2025).</w:t>
      </w:r>
      <w:bookmarkEnd w:id="4"/>
      <w:bookmarkEnd w:id="10"/>
    </w:p>
    <w:p w14:paraId="399F8AB1" w14:textId="77777777" w:rsidR="00664DF3" w:rsidRDefault="007218EF">
      <w:pPr>
        <w:pStyle w:val="Heading2"/>
      </w:pPr>
      <w:bookmarkStart w:id="12" w:name="sec-resultados"/>
      <w:bookmarkStart w:id="13" w:name="_Toc227259861"/>
      <w:r>
        <w:t>3 Resultados</w:t>
      </w:r>
      <w:bookmarkEnd w:id="13"/>
    </w:p>
    <w:p w14:paraId="389877E0" w14:textId="77777777" w:rsidR="00664DF3" w:rsidRDefault="007218EF">
      <w:pPr>
        <w:pStyle w:val="Heading3"/>
      </w:pPr>
      <w:bookmarkStart w:id="14" w:name="oferta-bioeconómica"/>
      <w:bookmarkStart w:id="15" w:name="_Toc227259862"/>
      <w:r>
        <w:t>3.1 Oferta bioeconómica</w:t>
      </w:r>
      <w:bookmarkEnd w:id="15"/>
    </w:p>
    <w:p w14:paraId="4C3BA278" w14:textId="77777777" w:rsidR="00664DF3" w:rsidRDefault="007218EF">
      <w:pPr>
        <w:pStyle w:val="FirstParagraph"/>
      </w:pPr>
      <w:r>
        <w:t xml:space="preserve">El </w:t>
      </w:r>
      <w:hyperlink w:anchor="tbl-oferta">
        <w:r>
          <w:rPr>
            <w:rStyle w:val="Hyperlink"/>
          </w:rPr>
          <w:t>Tabla 1</w:t>
        </w:r>
      </w:hyperlink>
      <w:r>
        <w:t xml:space="preserve"> presenta la composición de la oferta total de Panamá para el año 2022, desagregada por categoría bioeconómica y por grandes sectores de actividad económica. La producción se organiza según las secciones de la CIIU, agrupadas en siete grandes categorías, a las cuales se suman las importaciones, los impuestos netos sobre productos y los márgenes de distribución.</w:t>
      </w:r>
    </w:p>
    <w:tbl>
      <w:tblPr>
        <w:tblW w:w="5000" w:type="pct"/>
        <w:tblLayout w:type="fixed"/>
        <w:tblLook w:val="04A0" w:firstRow="1" w:lastRow="0" w:firstColumn="1" w:lastColumn="0" w:noHBand="0" w:noVBand="1"/>
      </w:tblPr>
      <w:tblGrid>
        <w:gridCol w:w="9360"/>
      </w:tblGrid>
      <w:tr w:rsidR="00664DF3" w14:paraId="46A8FA86" w14:textId="77777777">
        <w:tc>
          <w:tcPr>
            <w:tcW w:w="9360" w:type="dxa"/>
          </w:tcPr>
          <w:p w14:paraId="26D4A41F" w14:textId="77777777" w:rsidR="00664DF3" w:rsidRDefault="007218EF" w:rsidP="00701AD6">
            <w:pPr>
              <w:pStyle w:val="ImageCaption"/>
              <w:keepNext/>
              <w:spacing w:before="200"/>
            </w:pPr>
            <w:r>
              <w:lastRenderedPageBreak/>
              <w:t>Tabla 1: Cuadro de oferta bioeconómica de Panamá, 2022 (millones de B/.)</w:t>
            </w:r>
          </w:p>
        </w:tc>
      </w:tr>
    </w:tbl>
    <w:p w14:paraId="5B9FC889" w14:textId="5EAB3FF6" w:rsidR="00664DF3" w:rsidRDefault="00664DF3">
      <w:pPr>
        <w:pStyle w:val="Caption"/>
        <w:keepNext/>
        <w:spacing w:after="60"/>
      </w:pPr>
    </w:p>
    <w:tbl>
      <w:tblPr>
        <w:tblW w:w="5000" w:type="pct"/>
        <w:jc w:val="center"/>
        <w:tblLayout w:type="fixed"/>
        <w:tblCellMar>
          <w:left w:w="60" w:type="dxa"/>
          <w:right w:w="60" w:type="dxa"/>
        </w:tblCellMar>
        <w:tblLook w:val="0000" w:firstRow="0" w:lastRow="0" w:firstColumn="0" w:lastColumn="0" w:noHBand="0" w:noVBand="0"/>
      </w:tblPr>
      <w:tblGrid>
        <w:gridCol w:w="666"/>
        <w:gridCol w:w="667"/>
        <w:gridCol w:w="667"/>
        <w:gridCol w:w="668"/>
        <w:gridCol w:w="667"/>
        <w:gridCol w:w="668"/>
        <w:gridCol w:w="667"/>
        <w:gridCol w:w="668"/>
        <w:gridCol w:w="668"/>
        <w:gridCol w:w="667"/>
        <w:gridCol w:w="668"/>
        <w:gridCol w:w="667"/>
        <w:gridCol w:w="668"/>
        <w:gridCol w:w="668"/>
      </w:tblGrid>
      <w:tr w:rsidR="00664DF3" w:rsidRPr="009C7C8A" w14:paraId="12064EBC" w14:textId="77777777">
        <w:trPr>
          <w:cantSplit/>
          <w:tblHeader/>
          <w:jc w:val="center"/>
        </w:trPr>
        <w:tc>
          <w:tcPr>
            <w:tcW w:w="668" w:type="dxa"/>
            <w:tcBorders>
              <w:top w:val="single" w:sz="16" w:space="0" w:color="D3D3D3"/>
              <w:left w:val="single" w:sz="6" w:space="0" w:color="D3D3D3"/>
              <w:bottom w:val="single" w:sz="16" w:space="0" w:color="D3D3D3"/>
              <w:right w:val="single" w:sz="6" w:space="0" w:color="D3D3D3"/>
            </w:tcBorders>
          </w:tcPr>
          <w:p w14:paraId="1BDD1227" w14:textId="77777777" w:rsidR="00664DF3" w:rsidRPr="009C7C8A" w:rsidRDefault="00664DF3">
            <w:pPr>
              <w:keepNext/>
              <w:spacing w:after="60"/>
              <w:rPr>
                <w:sz w:val="16"/>
                <w:szCs w:val="16"/>
              </w:rPr>
            </w:pPr>
          </w:p>
        </w:tc>
        <w:tc>
          <w:tcPr>
            <w:tcW w:w="669" w:type="dxa"/>
            <w:tcBorders>
              <w:top w:val="single" w:sz="16" w:space="0" w:color="D3D3D3"/>
              <w:left w:val="single" w:sz="6" w:space="0" w:color="D3D3D3"/>
              <w:bottom w:val="single" w:sz="16" w:space="0" w:color="D3D3D3"/>
            </w:tcBorders>
          </w:tcPr>
          <w:p w14:paraId="0B0E289B" w14:textId="77777777" w:rsidR="00664DF3" w:rsidRPr="009C7C8A" w:rsidRDefault="007218EF">
            <w:pPr>
              <w:keepNext/>
              <w:spacing w:after="60"/>
              <w:jc w:val="right"/>
              <w:rPr>
                <w:sz w:val="16"/>
                <w:szCs w:val="16"/>
              </w:rPr>
            </w:pPr>
            <w:r w:rsidRPr="009C7C8A">
              <w:rPr>
                <w:rFonts w:ascii="Calibri" w:hAnsi="Calibri"/>
                <w:sz w:val="16"/>
                <w:szCs w:val="16"/>
              </w:rPr>
              <w:t>A: Agricultura</w:t>
            </w:r>
          </w:p>
        </w:tc>
        <w:tc>
          <w:tcPr>
            <w:tcW w:w="668" w:type="dxa"/>
            <w:tcBorders>
              <w:top w:val="single" w:sz="16" w:space="0" w:color="D3D3D3"/>
              <w:bottom w:val="single" w:sz="16" w:space="0" w:color="D3D3D3"/>
            </w:tcBorders>
          </w:tcPr>
          <w:p w14:paraId="39386BE5" w14:textId="77777777" w:rsidR="00664DF3" w:rsidRPr="009C7C8A" w:rsidRDefault="007218EF">
            <w:pPr>
              <w:keepNext/>
              <w:spacing w:after="60"/>
              <w:jc w:val="right"/>
              <w:rPr>
                <w:sz w:val="16"/>
                <w:szCs w:val="16"/>
              </w:rPr>
            </w:pPr>
            <w:r w:rsidRPr="009C7C8A">
              <w:rPr>
                <w:rFonts w:ascii="Calibri" w:hAnsi="Calibri"/>
                <w:sz w:val="16"/>
                <w:szCs w:val="16"/>
              </w:rPr>
              <w:t>B: Minas y canteras</w:t>
            </w:r>
          </w:p>
        </w:tc>
        <w:tc>
          <w:tcPr>
            <w:tcW w:w="669" w:type="dxa"/>
            <w:tcBorders>
              <w:top w:val="single" w:sz="16" w:space="0" w:color="D3D3D3"/>
              <w:bottom w:val="single" w:sz="16" w:space="0" w:color="D3D3D3"/>
            </w:tcBorders>
          </w:tcPr>
          <w:p w14:paraId="449002C3" w14:textId="77777777" w:rsidR="00664DF3" w:rsidRPr="009C7C8A" w:rsidRDefault="007218EF">
            <w:pPr>
              <w:keepNext/>
              <w:spacing w:after="60"/>
              <w:jc w:val="right"/>
              <w:rPr>
                <w:sz w:val="16"/>
                <w:szCs w:val="16"/>
              </w:rPr>
            </w:pPr>
            <w:r w:rsidRPr="009C7C8A">
              <w:rPr>
                <w:rFonts w:ascii="Calibri" w:hAnsi="Calibri"/>
                <w:sz w:val="16"/>
                <w:szCs w:val="16"/>
              </w:rPr>
              <w:t>C: Manufactura</w:t>
            </w:r>
          </w:p>
        </w:tc>
        <w:tc>
          <w:tcPr>
            <w:tcW w:w="668" w:type="dxa"/>
            <w:tcBorders>
              <w:top w:val="single" w:sz="16" w:space="0" w:color="D3D3D3"/>
              <w:bottom w:val="single" w:sz="16" w:space="0" w:color="D3D3D3"/>
            </w:tcBorders>
          </w:tcPr>
          <w:p w14:paraId="63C6D31F" w14:textId="77777777" w:rsidR="00664DF3" w:rsidRPr="009C7C8A" w:rsidRDefault="007218EF">
            <w:pPr>
              <w:keepNext/>
              <w:spacing w:after="60"/>
              <w:jc w:val="right"/>
              <w:rPr>
                <w:sz w:val="16"/>
                <w:szCs w:val="16"/>
              </w:rPr>
            </w:pPr>
            <w:r w:rsidRPr="009C7C8A">
              <w:rPr>
                <w:rFonts w:ascii="Calibri" w:hAnsi="Calibri"/>
                <w:sz w:val="16"/>
                <w:szCs w:val="16"/>
              </w:rPr>
              <w:t>D-E: Serv. públicos</w:t>
            </w:r>
          </w:p>
        </w:tc>
        <w:tc>
          <w:tcPr>
            <w:tcW w:w="669" w:type="dxa"/>
            <w:tcBorders>
              <w:top w:val="single" w:sz="16" w:space="0" w:color="D3D3D3"/>
              <w:bottom w:val="single" w:sz="16" w:space="0" w:color="D3D3D3"/>
            </w:tcBorders>
          </w:tcPr>
          <w:p w14:paraId="5D9E35C2" w14:textId="77777777" w:rsidR="00664DF3" w:rsidRPr="009C7C8A" w:rsidRDefault="007218EF">
            <w:pPr>
              <w:keepNext/>
              <w:spacing w:after="60"/>
              <w:jc w:val="right"/>
              <w:rPr>
                <w:sz w:val="16"/>
                <w:szCs w:val="16"/>
              </w:rPr>
            </w:pPr>
            <w:r w:rsidRPr="009C7C8A">
              <w:rPr>
                <w:rFonts w:ascii="Calibri" w:hAnsi="Calibri"/>
                <w:sz w:val="16"/>
                <w:szCs w:val="16"/>
              </w:rPr>
              <w:t>F: Construcción</w:t>
            </w:r>
          </w:p>
        </w:tc>
        <w:tc>
          <w:tcPr>
            <w:tcW w:w="668" w:type="dxa"/>
            <w:tcBorders>
              <w:top w:val="single" w:sz="16" w:space="0" w:color="D3D3D3"/>
              <w:bottom w:val="single" w:sz="16" w:space="0" w:color="D3D3D3"/>
            </w:tcBorders>
          </w:tcPr>
          <w:p w14:paraId="19814A17" w14:textId="77777777" w:rsidR="00664DF3" w:rsidRPr="009C7C8A" w:rsidRDefault="007218EF">
            <w:pPr>
              <w:keepNext/>
              <w:spacing w:after="60"/>
              <w:jc w:val="right"/>
              <w:rPr>
                <w:sz w:val="16"/>
                <w:szCs w:val="16"/>
              </w:rPr>
            </w:pPr>
            <w:r w:rsidRPr="009C7C8A">
              <w:rPr>
                <w:rFonts w:ascii="Calibri" w:hAnsi="Calibri"/>
                <w:sz w:val="16"/>
                <w:szCs w:val="16"/>
              </w:rPr>
              <w:t>G: Comercio</w:t>
            </w:r>
          </w:p>
        </w:tc>
        <w:tc>
          <w:tcPr>
            <w:tcW w:w="669" w:type="dxa"/>
            <w:tcBorders>
              <w:top w:val="single" w:sz="16" w:space="0" w:color="D3D3D3"/>
              <w:bottom w:val="single" w:sz="16" w:space="0" w:color="D3D3D3"/>
            </w:tcBorders>
          </w:tcPr>
          <w:p w14:paraId="10041C71" w14:textId="77777777" w:rsidR="00664DF3" w:rsidRPr="009C7C8A" w:rsidRDefault="007218EF">
            <w:pPr>
              <w:keepNext/>
              <w:spacing w:after="60"/>
              <w:jc w:val="right"/>
              <w:rPr>
                <w:sz w:val="16"/>
                <w:szCs w:val="16"/>
              </w:rPr>
            </w:pPr>
            <w:r w:rsidRPr="009C7C8A">
              <w:rPr>
                <w:rFonts w:ascii="Calibri" w:hAnsi="Calibri"/>
                <w:sz w:val="16"/>
                <w:szCs w:val="16"/>
              </w:rPr>
              <w:t>H-S: Otros servicios</w:t>
            </w:r>
          </w:p>
        </w:tc>
        <w:tc>
          <w:tcPr>
            <w:tcW w:w="669" w:type="dxa"/>
            <w:tcBorders>
              <w:top w:val="single" w:sz="16" w:space="0" w:color="D3D3D3"/>
              <w:bottom w:val="single" w:sz="16" w:space="0" w:color="D3D3D3"/>
            </w:tcBorders>
          </w:tcPr>
          <w:p w14:paraId="08C3C47D" w14:textId="77777777" w:rsidR="00664DF3" w:rsidRPr="009C7C8A" w:rsidRDefault="007218EF">
            <w:pPr>
              <w:keepNext/>
              <w:spacing w:after="60"/>
              <w:jc w:val="right"/>
              <w:rPr>
                <w:sz w:val="16"/>
                <w:szCs w:val="16"/>
              </w:rPr>
            </w:pPr>
            <w:r w:rsidRPr="009C7C8A">
              <w:rPr>
                <w:rFonts w:ascii="Calibri" w:hAnsi="Calibri"/>
                <w:sz w:val="16"/>
                <w:szCs w:val="16"/>
              </w:rPr>
              <w:t>Ajuste CIF/FOB</w:t>
            </w:r>
          </w:p>
        </w:tc>
        <w:tc>
          <w:tcPr>
            <w:tcW w:w="668" w:type="dxa"/>
            <w:tcBorders>
              <w:top w:val="single" w:sz="16" w:space="0" w:color="D3D3D3"/>
              <w:bottom w:val="single" w:sz="16" w:space="0" w:color="D3D3D3"/>
            </w:tcBorders>
          </w:tcPr>
          <w:p w14:paraId="5955B40B" w14:textId="77777777" w:rsidR="00664DF3" w:rsidRPr="009C7C8A" w:rsidRDefault="007218EF">
            <w:pPr>
              <w:keepNext/>
              <w:spacing w:after="60"/>
              <w:jc w:val="right"/>
              <w:rPr>
                <w:sz w:val="16"/>
                <w:szCs w:val="16"/>
              </w:rPr>
            </w:pPr>
            <w:r w:rsidRPr="009C7C8A">
              <w:rPr>
                <w:rFonts w:ascii="Calibri" w:hAnsi="Calibri"/>
                <w:sz w:val="16"/>
                <w:szCs w:val="16"/>
              </w:rPr>
              <w:t>Imp. netos</w:t>
            </w:r>
          </w:p>
        </w:tc>
        <w:tc>
          <w:tcPr>
            <w:tcW w:w="669" w:type="dxa"/>
            <w:tcBorders>
              <w:top w:val="single" w:sz="16" w:space="0" w:color="D3D3D3"/>
              <w:bottom w:val="single" w:sz="16" w:space="0" w:color="D3D3D3"/>
            </w:tcBorders>
          </w:tcPr>
          <w:p w14:paraId="47E8F285" w14:textId="77777777" w:rsidR="00664DF3" w:rsidRPr="009C7C8A" w:rsidRDefault="007218EF">
            <w:pPr>
              <w:keepNext/>
              <w:spacing w:after="60"/>
              <w:jc w:val="right"/>
              <w:rPr>
                <w:sz w:val="16"/>
                <w:szCs w:val="16"/>
              </w:rPr>
            </w:pPr>
            <w:r w:rsidRPr="009C7C8A">
              <w:rPr>
                <w:rFonts w:ascii="Calibri" w:hAnsi="Calibri"/>
                <w:sz w:val="16"/>
                <w:szCs w:val="16"/>
              </w:rPr>
              <w:t>Importaciones</w:t>
            </w:r>
          </w:p>
        </w:tc>
        <w:tc>
          <w:tcPr>
            <w:tcW w:w="668" w:type="dxa"/>
            <w:tcBorders>
              <w:top w:val="single" w:sz="16" w:space="0" w:color="D3D3D3"/>
              <w:bottom w:val="single" w:sz="16" w:space="0" w:color="D3D3D3"/>
            </w:tcBorders>
          </w:tcPr>
          <w:p w14:paraId="4EACC111" w14:textId="77777777" w:rsidR="00664DF3" w:rsidRPr="009C7C8A" w:rsidRDefault="007218EF">
            <w:pPr>
              <w:keepNext/>
              <w:spacing w:after="60"/>
              <w:jc w:val="right"/>
              <w:rPr>
                <w:sz w:val="16"/>
                <w:szCs w:val="16"/>
              </w:rPr>
            </w:pPr>
            <w:r w:rsidRPr="009C7C8A">
              <w:rPr>
                <w:rFonts w:ascii="Calibri" w:hAnsi="Calibri"/>
                <w:sz w:val="16"/>
                <w:szCs w:val="16"/>
              </w:rPr>
              <w:t>Márgenes</w:t>
            </w:r>
          </w:p>
        </w:tc>
        <w:tc>
          <w:tcPr>
            <w:tcW w:w="669" w:type="dxa"/>
            <w:tcBorders>
              <w:top w:val="single" w:sz="16" w:space="0" w:color="D3D3D3"/>
              <w:bottom w:val="single" w:sz="16" w:space="0" w:color="D3D3D3"/>
            </w:tcBorders>
          </w:tcPr>
          <w:p w14:paraId="54778077" w14:textId="77777777" w:rsidR="00664DF3" w:rsidRPr="009C7C8A" w:rsidRDefault="007218EF">
            <w:pPr>
              <w:keepNext/>
              <w:spacing w:after="60"/>
              <w:jc w:val="right"/>
              <w:rPr>
                <w:sz w:val="16"/>
                <w:szCs w:val="16"/>
              </w:rPr>
            </w:pPr>
            <w:r w:rsidRPr="009C7C8A">
              <w:rPr>
                <w:rFonts w:ascii="Calibri" w:hAnsi="Calibri"/>
                <w:sz w:val="16"/>
                <w:szCs w:val="16"/>
              </w:rPr>
              <w:t>Otro</w:t>
            </w:r>
          </w:p>
        </w:tc>
        <w:tc>
          <w:tcPr>
            <w:tcW w:w="669" w:type="dxa"/>
            <w:tcBorders>
              <w:top w:val="single" w:sz="16" w:space="0" w:color="D3D3D3"/>
              <w:bottom w:val="single" w:sz="16" w:space="0" w:color="D3D3D3"/>
              <w:right w:val="single" w:sz="6" w:space="0" w:color="D3D3D3"/>
            </w:tcBorders>
          </w:tcPr>
          <w:p w14:paraId="07884687" w14:textId="77777777" w:rsidR="00664DF3" w:rsidRPr="009C7C8A" w:rsidRDefault="007218EF">
            <w:pPr>
              <w:keepNext/>
              <w:spacing w:after="60"/>
              <w:jc w:val="right"/>
              <w:rPr>
                <w:sz w:val="16"/>
                <w:szCs w:val="16"/>
              </w:rPr>
            </w:pPr>
            <w:r w:rsidRPr="009C7C8A">
              <w:rPr>
                <w:rFonts w:ascii="Calibri" w:hAnsi="Calibri"/>
                <w:sz w:val="16"/>
                <w:szCs w:val="16"/>
              </w:rPr>
              <w:t>Total</w:t>
            </w:r>
          </w:p>
        </w:tc>
      </w:tr>
      <w:tr w:rsidR="00664DF3" w:rsidRPr="009C7C8A" w14:paraId="615ADBD7" w14:textId="77777777">
        <w:trPr>
          <w:cantSplit/>
          <w:jc w:val="center"/>
        </w:trPr>
        <w:tc>
          <w:tcPr>
            <w:tcW w:w="668" w:type="dxa"/>
            <w:tcBorders>
              <w:top w:val="single" w:sz="6" w:space="0" w:color="D3D3D3"/>
              <w:left w:val="single" w:sz="6" w:space="0" w:color="D3D3D3"/>
              <w:bottom w:val="single" w:sz="6" w:space="0" w:color="D3D3D3"/>
              <w:right w:val="single" w:sz="6" w:space="0" w:color="D3D3D3"/>
            </w:tcBorders>
          </w:tcPr>
          <w:p w14:paraId="170743C9" w14:textId="77777777" w:rsidR="00664DF3" w:rsidRPr="009C7C8A" w:rsidRDefault="007218EF">
            <w:pPr>
              <w:keepNext/>
              <w:spacing w:after="60"/>
              <w:rPr>
                <w:sz w:val="16"/>
                <w:szCs w:val="16"/>
              </w:rPr>
            </w:pPr>
            <w:r w:rsidRPr="009C7C8A">
              <w:rPr>
                <w:rFonts w:ascii="Calibri" w:hAnsi="Calibri"/>
                <w:sz w:val="16"/>
                <w:szCs w:val="16"/>
              </w:rPr>
              <w:t>Bioeconomía</w:t>
            </w:r>
          </w:p>
        </w:tc>
        <w:tc>
          <w:tcPr>
            <w:tcW w:w="669" w:type="dxa"/>
            <w:tcBorders>
              <w:top w:val="single" w:sz="6" w:space="0" w:color="D3D3D3"/>
              <w:left w:val="single" w:sz="6" w:space="0" w:color="D3D3D3"/>
              <w:bottom w:val="single" w:sz="6" w:space="0" w:color="D3D3D3"/>
              <w:right w:val="single" w:sz="6" w:space="0" w:color="D3D3D3"/>
            </w:tcBorders>
          </w:tcPr>
          <w:p w14:paraId="0CC0466C" w14:textId="77777777" w:rsidR="00664DF3" w:rsidRPr="009C7C8A" w:rsidRDefault="007218EF">
            <w:pPr>
              <w:keepNext/>
              <w:spacing w:after="60"/>
              <w:jc w:val="right"/>
              <w:rPr>
                <w:sz w:val="16"/>
                <w:szCs w:val="16"/>
              </w:rPr>
            </w:pPr>
            <w:r w:rsidRPr="009C7C8A">
              <w:rPr>
                <w:rFonts w:ascii="Calibri" w:hAnsi="Calibri"/>
                <w:sz w:val="16"/>
                <w:szCs w:val="16"/>
              </w:rPr>
              <w:t>3,284.4</w:t>
            </w:r>
          </w:p>
        </w:tc>
        <w:tc>
          <w:tcPr>
            <w:tcW w:w="668" w:type="dxa"/>
            <w:tcBorders>
              <w:top w:val="single" w:sz="6" w:space="0" w:color="D3D3D3"/>
              <w:left w:val="single" w:sz="6" w:space="0" w:color="D3D3D3"/>
              <w:bottom w:val="single" w:sz="6" w:space="0" w:color="D3D3D3"/>
              <w:right w:val="single" w:sz="6" w:space="0" w:color="D3D3D3"/>
            </w:tcBorders>
          </w:tcPr>
          <w:p w14:paraId="475A4CE3" w14:textId="77777777" w:rsidR="00664DF3" w:rsidRPr="009C7C8A" w:rsidRDefault="007218EF">
            <w:pPr>
              <w:keepNext/>
              <w:spacing w:after="60"/>
              <w:jc w:val="right"/>
              <w:rPr>
                <w:sz w:val="16"/>
                <w:szCs w:val="16"/>
              </w:rPr>
            </w:pPr>
            <w:r w:rsidRPr="009C7C8A">
              <w:rPr>
                <w:rFonts w:ascii="Calibri" w:hAnsi="Calibri"/>
                <w:sz w:val="16"/>
                <w:szCs w:val="16"/>
              </w:rPr>
              <w:t>0.0</w:t>
            </w:r>
          </w:p>
        </w:tc>
        <w:tc>
          <w:tcPr>
            <w:tcW w:w="669" w:type="dxa"/>
            <w:tcBorders>
              <w:top w:val="single" w:sz="6" w:space="0" w:color="D3D3D3"/>
              <w:left w:val="single" w:sz="6" w:space="0" w:color="D3D3D3"/>
              <w:bottom w:val="single" w:sz="6" w:space="0" w:color="D3D3D3"/>
              <w:right w:val="single" w:sz="6" w:space="0" w:color="D3D3D3"/>
            </w:tcBorders>
          </w:tcPr>
          <w:p w14:paraId="6E448E62" w14:textId="77777777" w:rsidR="00664DF3" w:rsidRPr="009C7C8A" w:rsidRDefault="007218EF">
            <w:pPr>
              <w:keepNext/>
              <w:spacing w:after="60"/>
              <w:jc w:val="right"/>
              <w:rPr>
                <w:sz w:val="16"/>
                <w:szCs w:val="16"/>
              </w:rPr>
            </w:pPr>
            <w:r w:rsidRPr="009C7C8A">
              <w:rPr>
                <w:rFonts w:ascii="Calibri" w:hAnsi="Calibri"/>
                <w:sz w:val="16"/>
                <w:szCs w:val="16"/>
              </w:rPr>
              <w:t>5,908.1</w:t>
            </w:r>
          </w:p>
        </w:tc>
        <w:tc>
          <w:tcPr>
            <w:tcW w:w="668" w:type="dxa"/>
            <w:tcBorders>
              <w:top w:val="single" w:sz="6" w:space="0" w:color="D3D3D3"/>
              <w:left w:val="single" w:sz="6" w:space="0" w:color="D3D3D3"/>
              <w:bottom w:val="single" w:sz="6" w:space="0" w:color="D3D3D3"/>
              <w:right w:val="single" w:sz="6" w:space="0" w:color="D3D3D3"/>
            </w:tcBorders>
          </w:tcPr>
          <w:p w14:paraId="57173159" w14:textId="77777777" w:rsidR="00664DF3" w:rsidRPr="009C7C8A" w:rsidRDefault="007218EF">
            <w:pPr>
              <w:keepNext/>
              <w:spacing w:after="60"/>
              <w:jc w:val="right"/>
              <w:rPr>
                <w:sz w:val="16"/>
                <w:szCs w:val="16"/>
              </w:rPr>
            </w:pPr>
            <w:r w:rsidRPr="009C7C8A">
              <w:rPr>
                <w:rFonts w:ascii="Calibri" w:hAnsi="Calibri"/>
                <w:sz w:val="16"/>
                <w:szCs w:val="16"/>
              </w:rPr>
              <w:t>5.2</w:t>
            </w:r>
          </w:p>
        </w:tc>
        <w:tc>
          <w:tcPr>
            <w:tcW w:w="669" w:type="dxa"/>
            <w:tcBorders>
              <w:top w:val="single" w:sz="6" w:space="0" w:color="D3D3D3"/>
              <w:left w:val="single" w:sz="6" w:space="0" w:color="D3D3D3"/>
              <w:bottom w:val="single" w:sz="6" w:space="0" w:color="D3D3D3"/>
              <w:right w:val="single" w:sz="6" w:space="0" w:color="D3D3D3"/>
            </w:tcBorders>
          </w:tcPr>
          <w:p w14:paraId="2FCD04F7" w14:textId="77777777" w:rsidR="00664DF3" w:rsidRPr="009C7C8A" w:rsidRDefault="007218EF">
            <w:pPr>
              <w:keepNext/>
              <w:spacing w:after="60"/>
              <w:jc w:val="right"/>
              <w:rPr>
                <w:sz w:val="16"/>
                <w:szCs w:val="16"/>
              </w:rPr>
            </w:pPr>
            <w:r w:rsidRPr="009C7C8A">
              <w:rPr>
                <w:rFonts w:ascii="Calibri" w:hAnsi="Calibri"/>
                <w:sz w:val="16"/>
                <w:szCs w:val="16"/>
              </w:rPr>
              <w:t>0.0</w:t>
            </w:r>
          </w:p>
        </w:tc>
        <w:tc>
          <w:tcPr>
            <w:tcW w:w="668" w:type="dxa"/>
            <w:tcBorders>
              <w:top w:val="single" w:sz="6" w:space="0" w:color="D3D3D3"/>
              <w:left w:val="single" w:sz="6" w:space="0" w:color="D3D3D3"/>
              <w:bottom w:val="single" w:sz="6" w:space="0" w:color="D3D3D3"/>
              <w:right w:val="single" w:sz="6" w:space="0" w:color="D3D3D3"/>
            </w:tcBorders>
          </w:tcPr>
          <w:p w14:paraId="67444534" w14:textId="77777777" w:rsidR="00664DF3" w:rsidRPr="009C7C8A" w:rsidRDefault="007218EF">
            <w:pPr>
              <w:keepNext/>
              <w:spacing w:after="60"/>
              <w:jc w:val="right"/>
              <w:rPr>
                <w:sz w:val="16"/>
                <w:szCs w:val="16"/>
              </w:rPr>
            </w:pPr>
            <w:r w:rsidRPr="009C7C8A">
              <w:rPr>
                <w:rFonts w:ascii="Calibri" w:hAnsi="Calibri"/>
                <w:sz w:val="16"/>
                <w:szCs w:val="16"/>
              </w:rPr>
              <w:t>266.8</w:t>
            </w:r>
          </w:p>
        </w:tc>
        <w:tc>
          <w:tcPr>
            <w:tcW w:w="669" w:type="dxa"/>
            <w:tcBorders>
              <w:top w:val="single" w:sz="6" w:space="0" w:color="D3D3D3"/>
              <w:left w:val="single" w:sz="6" w:space="0" w:color="D3D3D3"/>
              <w:bottom w:val="single" w:sz="6" w:space="0" w:color="D3D3D3"/>
              <w:right w:val="single" w:sz="6" w:space="0" w:color="D3D3D3"/>
            </w:tcBorders>
          </w:tcPr>
          <w:p w14:paraId="411FD50D" w14:textId="77777777" w:rsidR="00664DF3" w:rsidRPr="009C7C8A" w:rsidRDefault="007218EF">
            <w:pPr>
              <w:keepNext/>
              <w:spacing w:after="60"/>
              <w:jc w:val="right"/>
              <w:rPr>
                <w:sz w:val="16"/>
                <w:szCs w:val="16"/>
              </w:rPr>
            </w:pPr>
            <w:r w:rsidRPr="009C7C8A">
              <w:rPr>
                <w:rFonts w:ascii="Calibri" w:hAnsi="Calibri"/>
                <w:sz w:val="16"/>
                <w:szCs w:val="16"/>
              </w:rPr>
              <w:t>61.8</w:t>
            </w:r>
          </w:p>
        </w:tc>
        <w:tc>
          <w:tcPr>
            <w:tcW w:w="669" w:type="dxa"/>
            <w:tcBorders>
              <w:top w:val="single" w:sz="6" w:space="0" w:color="D3D3D3"/>
              <w:left w:val="single" w:sz="6" w:space="0" w:color="D3D3D3"/>
              <w:bottom w:val="single" w:sz="6" w:space="0" w:color="D3D3D3"/>
              <w:right w:val="single" w:sz="6" w:space="0" w:color="D3D3D3"/>
            </w:tcBorders>
          </w:tcPr>
          <w:p w14:paraId="7D3D228B" w14:textId="77777777" w:rsidR="00664DF3" w:rsidRPr="009C7C8A" w:rsidRDefault="007218EF">
            <w:pPr>
              <w:keepNext/>
              <w:spacing w:after="60"/>
              <w:jc w:val="right"/>
              <w:rPr>
                <w:sz w:val="16"/>
                <w:szCs w:val="16"/>
              </w:rPr>
            </w:pPr>
            <w:r w:rsidRPr="009C7C8A">
              <w:rPr>
                <w:rFonts w:ascii="Calibri" w:hAnsi="Calibri"/>
                <w:sz w:val="16"/>
                <w:szCs w:val="16"/>
              </w:rPr>
              <w:t>0.0</w:t>
            </w:r>
          </w:p>
        </w:tc>
        <w:tc>
          <w:tcPr>
            <w:tcW w:w="668" w:type="dxa"/>
            <w:tcBorders>
              <w:top w:val="single" w:sz="6" w:space="0" w:color="D3D3D3"/>
              <w:left w:val="single" w:sz="6" w:space="0" w:color="D3D3D3"/>
              <w:bottom w:val="single" w:sz="6" w:space="0" w:color="D3D3D3"/>
              <w:right w:val="single" w:sz="6" w:space="0" w:color="D3D3D3"/>
            </w:tcBorders>
          </w:tcPr>
          <w:p w14:paraId="2D6331FF" w14:textId="77777777" w:rsidR="00664DF3" w:rsidRPr="009C7C8A" w:rsidRDefault="007218EF">
            <w:pPr>
              <w:keepNext/>
              <w:spacing w:after="60"/>
              <w:jc w:val="right"/>
              <w:rPr>
                <w:sz w:val="16"/>
                <w:szCs w:val="16"/>
              </w:rPr>
            </w:pPr>
            <w:r w:rsidRPr="009C7C8A">
              <w:rPr>
                <w:rFonts w:ascii="Calibri" w:hAnsi="Calibri"/>
                <w:sz w:val="16"/>
                <w:szCs w:val="16"/>
              </w:rPr>
              <w:t>393.1</w:t>
            </w:r>
          </w:p>
        </w:tc>
        <w:tc>
          <w:tcPr>
            <w:tcW w:w="669" w:type="dxa"/>
            <w:tcBorders>
              <w:top w:val="single" w:sz="6" w:space="0" w:color="D3D3D3"/>
              <w:left w:val="single" w:sz="6" w:space="0" w:color="D3D3D3"/>
              <w:bottom w:val="single" w:sz="6" w:space="0" w:color="D3D3D3"/>
              <w:right w:val="single" w:sz="6" w:space="0" w:color="D3D3D3"/>
            </w:tcBorders>
          </w:tcPr>
          <w:p w14:paraId="5181D515" w14:textId="77777777" w:rsidR="00664DF3" w:rsidRPr="009C7C8A" w:rsidRDefault="007218EF">
            <w:pPr>
              <w:keepNext/>
              <w:spacing w:after="60"/>
              <w:jc w:val="right"/>
              <w:rPr>
                <w:sz w:val="16"/>
                <w:szCs w:val="16"/>
              </w:rPr>
            </w:pPr>
            <w:r w:rsidRPr="009C7C8A">
              <w:rPr>
                <w:rFonts w:ascii="Calibri" w:hAnsi="Calibri"/>
                <w:sz w:val="16"/>
                <w:szCs w:val="16"/>
              </w:rPr>
              <w:t>3,721.3</w:t>
            </w:r>
          </w:p>
        </w:tc>
        <w:tc>
          <w:tcPr>
            <w:tcW w:w="668" w:type="dxa"/>
            <w:tcBorders>
              <w:top w:val="single" w:sz="6" w:space="0" w:color="D3D3D3"/>
              <w:left w:val="single" w:sz="6" w:space="0" w:color="D3D3D3"/>
              <w:bottom w:val="single" w:sz="6" w:space="0" w:color="D3D3D3"/>
              <w:right w:val="single" w:sz="6" w:space="0" w:color="D3D3D3"/>
            </w:tcBorders>
          </w:tcPr>
          <w:p w14:paraId="7CD87179" w14:textId="77777777" w:rsidR="00664DF3" w:rsidRPr="009C7C8A" w:rsidRDefault="007218EF">
            <w:pPr>
              <w:keepNext/>
              <w:spacing w:after="60"/>
              <w:jc w:val="right"/>
              <w:rPr>
                <w:sz w:val="16"/>
                <w:szCs w:val="16"/>
              </w:rPr>
            </w:pPr>
            <w:r w:rsidRPr="009C7C8A">
              <w:rPr>
                <w:rFonts w:ascii="Calibri" w:hAnsi="Calibri"/>
                <w:sz w:val="16"/>
                <w:szCs w:val="16"/>
              </w:rPr>
              <w:t>3,672.6</w:t>
            </w:r>
          </w:p>
        </w:tc>
        <w:tc>
          <w:tcPr>
            <w:tcW w:w="669" w:type="dxa"/>
            <w:tcBorders>
              <w:top w:val="single" w:sz="6" w:space="0" w:color="D3D3D3"/>
              <w:left w:val="single" w:sz="6" w:space="0" w:color="D3D3D3"/>
              <w:bottom w:val="single" w:sz="6" w:space="0" w:color="D3D3D3"/>
              <w:right w:val="single" w:sz="6" w:space="0" w:color="D3D3D3"/>
            </w:tcBorders>
          </w:tcPr>
          <w:p w14:paraId="16862FE9" w14:textId="77777777" w:rsidR="00664DF3" w:rsidRPr="009C7C8A" w:rsidRDefault="007218EF">
            <w:pPr>
              <w:keepNext/>
              <w:spacing w:after="60"/>
              <w:jc w:val="right"/>
              <w:rPr>
                <w:sz w:val="16"/>
                <w:szCs w:val="16"/>
              </w:rPr>
            </w:pPr>
            <w:r w:rsidRPr="009C7C8A">
              <w:rPr>
                <w:rFonts w:ascii="Calibri" w:hAnsi="Calibri"/>
                <w:sz w:val="16"/>
                <w:szCs w:val="16"/>
              </w:rPr>
              <w:t>-5.2</w:t>
            </w:r>
          </w:p>
        </w:tc>
        <w:tc>
          <w:tcPr>
            <w:tcW w:w="669" w:type="dxa"/>
            <w:tcBorders>
              <w:top w:val="single" w:sz="6" w:space="0" w:color="D3D3D3"/>
              <w:left w:val="single" w:sz="6" w:space="0" w:color="D3D3D3"/>
              <w:bottom w:val="single" w:sz="6" w:space="0" w:color="D3D3D3"/>
              <w:right w:val="single" w:sz="6" w:space="0" w:color="D3D3D3"/>
            </w:tcBorders>
          </w:tcPr>
          <w:p w14:paraId="34E8C859" w14:textId="77777777" w:rsidR="00664DF3" w:rsidRPr="009C7C8A" w:rsidRDefault="007218EF">
            <w:pPr>
              <w:keepNext/>
              <w:spacing w:after="60"/>
              <w:jc w:val="right"/>
              <w:rPr>
                <w:sz w:val="16"/>
                <w:szCs w:val="16"/>
              </w:rPr>
            </w:pPr>
            <w:r w:rsidRPr="009C7C8A">
              <w:rPr>
                <w:rFonts w:ascii="Calibri" w:hAnsi="Calibri"/>
                <w:sz w:val="16"/>
                <w:szCs w:val="16"/>
              </w:rPr>
              <w:t>17,313.3</w:t>
            </w:r>
          </w:p>
        </w:tc>
      </w:tr>
      <w:tr w:rsidR="00664DF3" w:rsidRPr="009C7C8A" w14:paraId="091D82C4" w14:textId="77777777">
        <w:trPr>
          <w:cantSplit/>
          <w:jc w:val="center"/>
        </w:trPr>
        <w:tc>
          <w:tcPr>
            <w:tcW w:w="668" w:type="dxa"/>
            <w:tcBorders>
              <w:top w:val="single" w:sz="6" w:space="0" w:color="D3D3D3"/>
              <w:left w:val="single" w:sz="6" w:space="0" w:color="D3D3D3"/>
              <w:bottom w:val="single" w:sz="6" w:space="0" w:color="D3D3D3"/>
              <w:right w:val="single" w:sz="6" w:space="0" w:color="D3D3D3"/>
            </w:tcBorders>
          </w:tcPr>
          <w:p w14:paraId="75B0BB51" w14:textId="77777777" w:rsidR="00664DF3" w:rsidRPr="009C7C8A" w:rsidRDefault="007218EF">
            <w:pPr>
              <w:keepNext/>
              <w:spacing w:after="60"/>
              <w:rPr>
                <w:sz w:val="16"/>
                <w:szCs w:val="16"/>
              </w:rPr>
            </w:pPr>
            <w:r w:rsidRPr="009C7C8A">
              <w:rPr>
                <w:rFonts w:ascii="Calibri" w:hAnsi="Calibri"/>
                <w:sz w:val="16"/>
                <w:szCs w:val="16"/>
              </w:rPr>
              <w:t>Bioeconomía extendida</w:t>
            </w:r>
          </w:p>
        </w:tc>
        <w:tc>
          <w:tcPr>
            <w:tcW w:w="669" w:type="dxa"/>
            <w:tcBorders>
              <w:top w:val="single" w:sz="6" w:space="0" w:color="D3D3D3"/>
              <w:left w:val="single" w:sz="6" w:space="0" w:color="D3D3D3"/>
              <w:bottom w:val="single" w:sz="6" w:space="0" w:color="D3D3D3"/>
              <w:right w:val="single" w:sz="6" w:space="0" w:color="D3D3D3"/>
            </w:tcBorders>
          </w:tcPr>
          <w:p w14:paraId="180F0811" w14:textId="77777777" w:rsidR="00664DF3" w:rsidRPr="009C7C8A" w:rsidRDefault="007218EF">
            <w:pPr>
              <w:keepNext/>
              <w:spacing w:after="60"/>
              <w:jc w:val="right"/>
              <w:rPr>
                <w:sz w:val="16"/>
                <w:szCs w:val="16"/>
              </w:rPr>
            </w:pPr>
            <w:r w:rsidRPr="009C7C8A">
              <w:rPr>
                <w:rFonts w:ascii="Calibri" w:hAnsi="Calibri"/>
                <w:sz w:val="16"/>
                <w:szCs w:val="16"/>
              </w:rPr>
              <w:t>0.0</w:t>
            </w:r>
          </w:p>
        </w:tc>
        <w:tc>
          <w:tcPr>
            <w:tcW w:w="668" w:type="dxa"/>
            <w:tcBorders>
              <w:top w:val="single" w:sz="6" w:space="0" w:color="D3D3D3"/>
              <w:left w:val="single" w:sz="6" w:space="0" w:color="D3D3D3"/>
              <w:bottom w:val="single" w:sz="6" w:space="0" w:color="D3D3D3"/>
              <w:right w:val="single" w:sz="6" w:space="0" w:color="D3D3D3"/>
            </w:tcBorders>
          </w:tcPr>
          <w:p w14:paraId="13B52E8C" w14:textId="77777777" w:rsidR="00664DF3" w:rsidRPr="009C7C8A" w:rsidRDefault="007218EF">
            <w:pPr>
              <w:keepNext/>
              <w:spacing w:after="60"/>
              <w:jc w:val="right"/>
              <w:rPr>
                <w:sz w:val="16"/>
                <w:szCs w:val="16"/>
              </w:rPr>
            </w:pPr>
            <w:r w:rsidRPr="009C7C8A">
              <w:rPr>
                <w:rFonts w:ascii="Calibri" w:hAnsi="Calibri"/>
                <w:sz w:val="16"/>
                <w:szCs w:val="16"/>
              </w:rPr>
              <w:t>62.0</w:t>
            </w:r>
          </w:p>
        </w:tc>
        <w:tc>
          <w:tcPr>
            <w:tcW w:w="669" w:type="dxa"/>
            <w:tcBorders>
              <w:top w:val="single" w:sz="6" w:space="0" w:color="D3D3D3"/>
              <w:left w:val="single" w:sz="6" w:space="0" w:color="D3D3D3"/>
              <w:bottom w:val="single" w:sz="6" w:space="0" w:color="D3D3D3"/>
              <w:right w:val="single" w:sz="6" w:space="0" w:color="D3D3D3"/>
            </w:tcBorders>
          </w:tcPr>
          <w:p w14:paraId="28C77772" w14:textId="77777777" w:rsidR="00664DF3" w:rsidRPr="009C7C8A" w:rsidRDefault="007218EF">
            <w:pPr>
              <w:keepNext/>
              <w:spacing w:after="60"/>
              <w:jc w:val="right"/>
              <w:rPr>
                <w:sz w:val="16"/>
                <w:szCs w:val="16"/>
              </w:rPr>
            </w:pPr>
            <w:r w:rsidRPr="009C7C8A">
              <w:rPr>
                <w:rFonts w:ascii="Calibri" w:hAnsi="Calibri"/>
                <w:sz w:val="16"/>
                <w:szCs w:val="16"/>
              </w:rPr>
              <w:t>648.3</w:t>
            </w:r>
          </w:p>
        </w:tc>
        <w:tc>
          <w:tcPr>
            <w:tcW w:w="668" w:type="dxa"/>
            <w:tcBorders>
              <w:top w:val="single" w:sz="6" w:space="0" w:color="D3D3D3"/>
              <w:left w:val="single" w:sz="6" w:space="0" w:color="D3D3D3"/>
              <w:bottom w:val="single" w:sz="6" w:space="0" w:color="D3D3D3"/>
              <w:right w:val="single" w:sz="6" w:space="0" w:color="D3D3D3"/>
            </w:tcBorders>
          </w:tcPr>
          <w:p w14:paraId="073E07F1" w14:textId="77777777" w:rsidR="00664DF3" w:rsidRPr="009C7C8A" w:rsidRDefault="007218EF">
            <w:pPr>
              <w:keepNext/>
              <w:spacing w:after="60"/>
              <w:jc w:val="right"/>
              <w:rPr>
                <w:sz w:val="16"/>
                <w:szCs w:val="16"/>
              </w:rPr>
            </w:pPr>
            <w:r w:rsidRPr="009C7C8A">
              <w:rPr>
                <w:rFonts w:ascii="Calibri" w:hAnsi="Calibri"/>
                <w:sz w:val="16"/>
                <w:szCs w:val="16"/>
              </w:rPr>
              <w:t>2,254.8</w:t>
            </w:r>
          </w:p>
        </w:tc>
        <w:tc>
          <w:tcPr>
            <w:tcW w:w="669" w:type="dxa"/>
            <w:tcBorders>
              <w:top w:val="single" w:sz="6" w:space="0" w:color="D3D3D3"/>
              <w:left w:val="single" w:sz="6" w:space="0" w:color="D3D3D3"/>
              <w:bottom w:val="single" w:sz="6" w:space="0" w:color="D3D3D3"/>
              <w:right w:val="single" w:sz="6" w:space="0" w:color="D3D3D3"/>
            </w:tcBorders>
          </w:tcPr>
          <w:p w14:paraId="71C34C83" w14:textId="77777777" w:rsidR="00664DF3" w:rsidRPr="009C7C8A" w:rsidRDefault="007218EF">
            <w:pPr>
              <w:keepNext/>
              <w:spacing w:after="60"/>
              <w:jc w:val="right"/>
              <w:rPr>
                <w:sz w:val="16"/>
                <w:szCs w:val="16"/>
              </w:rPr>
            </w:pPr>
            <w:r w:rsidRPr="009C7C8A">
              <w:rPr>
                <w:rFonts w:ascii="Calibri" w:hAnsi="Calibri"/>
                <w:sz w:val="16"/>
                <w:szCs w:val="16"/>
              </w:rPr>
              <w:t>0.0</w:t>
            </w:r>
          </w:p>
        </w:tc>
        <w:tc>
          <w:tcPr>
            <w:tcW w:w="668" w:type="dxa"/>
            <w:tcBorders>
              <w:top w:val="single" w:sz="6" w:space="0" w:color="D3D3D3"/>
              <w:left w:val="single" w:sz="6" w:space="0" w:color="D3D3D3"/>
              <w:bottom w:val="single" w:sz="6" w:space="0" w:color="D3D3D3"/>
              <w:right w:val="single" w:sz="6" w:space="0" w:color="D3D3D3"/>
            </w:tcBorders>
          </w:tcPr>
          <w:p w14:paraId="6C5B44FC" w14:textId="77777777" w:rsidR="00664DF3" w:rsidRPr="009C7C8A" w:rsidRDefault="007218EF">
            <w:pPr>
              <w:keepNext/>
              <w:spacing w:after="60"/>
              <w:jc w:val="right"/>
              <w:rPr>
                <w:sz w:val="16"/>
                <w:szCs w:val="16"/>
              </w:rPr>
            </w:pPr>
            <w:r w:rsidRPr="009C7C8A">
              <w:rPr>
                <w:rFonts w:ascii="Calibri" w:hAnsi="Calibri"/>
                <w:sz w:val="16"/>
                <w:szCs w:val="16"/>
              </w:rPr>
              <w:t>81.6</w:t>
            </w:r>
          </w:p>
        </w:tc>
        <w:tc>
          <w:tcPr>
            <w:tcW w:w="669" w:type="dxa"/>
            <w:tcBorders>
              <w:top w:val="single" w:sz="6" w:space="0" w:color="D3D3D3"/>
              <w:left w:val="single" w:sz="6" w:space="0" w:color="D3D3D3"/>
              <w:bottom w:val="single" w:sz="6" w:space="0" w:color="D3D3D3"/>
              <w:right w:val="single" w:sz="6" w:space="0" w:color="D3D3D3"/>
            </w:tcBorders>
          </w:tcPr>
          <w:p w14:paraId="04725A15" w14:textId="77777777" w:rsidR="00664DF3" w:rsidRPr="009C7C8A" w:rsidRDefault="007218EF">
            <w:pPr>
              <w:keepNext/>
              <w:spacing w:after="60"/>
              <w:jc w:val="right"/>
              <w:rPr>
                <w:sz w:val="16"/>
                <w:szCs w:val="16"/>
              </w:rPr>
            </w:pPr>
            <w:r w:rsidRPr="009C7C8A">
              <w:rPr>
                <w:rFonts w:ascii="Calibri" w:hAnsi="Calibri"/>
                <w:sz w:val="16"/>
                <w:szCs w:val="16"/>
              </w:rPr>
              <w:t>2,671.9</w:t>
            </w:r>
          </w:p>
        </w:tc>
        <w:tc>
          <w:tcPr>
            <w:tcW w:w="669" w:type="dxa"/>
            <w:tcBorders>
              <w:top w:val="single" w:sz="6" w:space="0" w:color="D3D3D3"/>
              <w:left w:val="single" w:sz="6" w:space="0" w:color="D3D3D3"/>
              <w:bottom w:val="single" w:sz="6" w:space="0" w:color="D3D3D3"/>
              <w:right w:val="single" w:sz="6" w:space="0" w:color="D3D3D3"/>
            </w:tcBorders>
          </w:tcPr>
          <w:p w14:paraId="31F685B6" w14:textId="77777777" w:rsidR="00664DF3" w:rsidRPr="009C7C8A" w:rsidRDefault="007218EF">
            <w:pPr>
              <w:keepNext/>
              <w:spacing w:after="60"/>
              <w:jc w:val="right"/>
              <w:rPr>
                <w:sz w:val="16"/>
                <w:szCs w:val="16"/>
              </w:rPr>
            </w:pPr>
            <w:r w:rsidRPr="009C7C8A">
              <w:rPr>
                <w:rFonts w:ascii="Calibri" w:hAnsi="Calibri"/>
                <w:sz w:val="16"/>
                <w:szCs w:val="16"/>
              </w:rPr>
              <w:t>0.0</w:t>
            </w:r>
          </w:p>
        </w:tc>
        <w:tc>
          <w:tcPr>
            <w:tcW w:w="668" w:type="dxa"/>
            <w:tcBorders>
              <w:top w:val="single" w:sz="6" w:space="0" w:color="D3D3D3"/>
              <w:left w:val="single" w:sz="6" w:space="0" w:color="D3D3D3"/>
              <w:bottom w:val="single" w:sz="6" w:space="0" w:color="D3D3D3"/>
              <w:right w:val="single" w:sz="6" w:space="0" w:color="D3D3D3"/>
            </w:tcBorders>
          </w:tcPr>
          <w:p w14:paraId="597465CA" w14:textId="77777777" w:rsidR="00664DF3" w:rsidRPr="009C7C8A" w:rsidRDefault="007218EF">
            <w:pPr>
              <w:keepNext/>
              <w:spacing w:after="60"/>
              <w:jc w:val="right"/>
              <w:rPr>
                <w:sz w:val="16"/>
                <w:szCs w:val="16"/>
              </w:rPr>
            </w:pPr>
            <w:r w:rsidRPr="009C7C8A">
              <w:rPr>
                <w:rFonts w:ascii="Calibri" w:hAnsi="Calibri"/>
                <w:sz w:val="16"/>
                <w:szCs w:val="16"/>
              </w:rPr>
              <w:t>311.4</w:t>
            </w:r>
          </w:p>
        </w:tc>
        <w:tc>
          <w:tcPr>
            <w:tcW w:w="669" w:type="dxa"/>
            <w:tcBorders>
              <w:top w:val="single" w:sz="6" w:space="0" w:color="D3D3D3"/>
              <w:left w:val="single" w:sz="6" w:space="0" w:color="D3D3D3"/>
              <w:bottom w:val="single" w:sz="6" w:space="0" w:color="D3D3D3"/>
              <w:right w:val="single" w:sz="6" w:space="0" w:color="D3D3D3"/>
            </w:tcBorders>
          </w:tcPr>
          <w:p w14:paraId="6171EBF2" w14:textId="77777777" w:rsidR="00664DF3" w:rsidRPr="009C7C8A" w:rsidRDefault="007218EF">
            <w:pPr>
              <w:keepNext/>
              <w:spacing w:after="60"/>
              <w:jc w:val="right"/>
              <w:rPr>
                <w:sz w:val="16"/>
                <w:szCs w:val="16"/>
              </w:rPr>
            </w:pPr>
            <w:r w:rsidRPr="009C7C8A">
              <w:rPr>
                <w:rFonts w:ascii="Calibri" w:hAnsi="Calibri"/>
                <w:sz w:val="16"/>
                <w:szCs w:val="16"/>
              </w:rPr>
              <w:t>8,278.6</w:t>
            </w:r>
          </w:p>
        </w:tc>
        <w:tc>
          <w:tcPr>
            <w:tcW w:w="668" w:type="dxa"/>
            <w:tcBorders>
              <w:top w:val="single" w:sz="6" w:space="0" w:color="D3D3D3"/>
              <w:left w:val="single" w:sz="6" w:space="0" w:color="D3D3D3"/>
              <w:bottom w:val="single" w:sz="6" w:space="0" w:color="D3D3D3"/>
              <w:right w:val="single" w:sz="6" w:space="0" w:color="D3D3D3"/>
            </w:tcBorders>
          </w:tcPr>
          <w:p w14:paraId="6A757C87" w14:textId="77777777" w:rsidR="00664DF3" w:rsidRPr="009C7C8A" w:rsidRDefault="007218EF">
            <w:pPr>
              <w:keepNext/>
              <w:spacing w:after="60"/>
              <w:jc w:val="right"/>
              <w:rPr>
                <w:sz w:val="16"/>
                <w:szCs w:val="16"/>
              </w:rPr>
            </w:pPr>
            <w:r w:rsidRPr="009C7C8A">
              <w:rPr>
                <w:rFonts w:ascii="Calibri" w:hAnsi="Calibri"/>
                <w:sz w:val="16"/>
                <w:szCs w:val="16"/>
              </w:rPr>
              <w:t>7,561.0</w:t>
            </w:r>
          </w:p>
        </w:tc>
        <w:tc>
          <w:tcPr>
            <w:tcW w:w="669" w:type="dxa"/>
            <w:tcBorders>
              <w:top w:val="single" w:sz="6" w:space="0" w:color="D3D3D3"/>
              <w:left w:val="single" w:sz="6" w:space="0" w:color="D3D3D3"/>
              <w:bottom w:val="single" w:sz="6" w:space="0" w:color="D3D3D3"/>
              <w:right w:val="single" w:sz="6" w:space="0" w:color="D3D3D3"/>
            </w:tcBorders>
          </w:tcPr>
          <w:p w14:paraId="38372A2D" w14:textId="77777777" w:rsidR="00664DF3" w:rsidRPr="009C7C8A" w:rsidRDefault="007218EF">
            <w:pPr>
              <w:keepNext/>
              <w:spacing w:after="60"/>
              <w:jc w:val="right"/>
              <w:rPr>
                <w:sz w:val="16"/>
                <w:szCs w:val="16"/>
              </w:rPr>
            </w:pPr>
            <w:r w:rsidRPr="009C7C8A">
              <w:rPr>
                <w:rFonts w:ascii="Calibri" w:hAnsi="Calibri"/>
                <w:sz w:val="16"/>
                <w:szCs w:val="16"/>
              </w:rPr>
              <w:t>-85.6</w:t>
            </w:r>
          </w:p>
        </w:tc>
        <w:tc>
          <w:tcPr>
            <w:tcW w:w="669" w:type="dxa"/>
            <w:tcBorders>
              <w:top w:val="single" w:sz="6" w:space="0" w:color="D3D3D3"/>
              <w:left w:val="single" w:sz="6" w:space="0" w:color="D3D3D3"/>
              <w:bottom w:val="single" w:sz="6" w:space="0" w:color="D3D3D3"/>
              <w:right w:val="single" w:sz="6" w:space="0" w:color="D3D3D3"/>
            </w:tcBorders>
          </w:tcPr>
          <w:p w14:paraId="3759BFBD" w14:textId="77777777" w:rsidR="00664DF3" w:rsidRPr="009C7C8A" w:rsidRDefault="007218EF">
            <w:pPr>
              <w:keepNext/>
              <w:spacing w:after="60"/>
              <w:jc w:val="right"/>
              <w:rPr>
                <w:sz w:val="16"/>
                <w:szCs w:val="16"/>
              </w:rPr>
            </w:pPr>
            <w:r w:rsidRPr="009C7C8A">
              <w:rPr>
                <w:rFonts w:ascii="Calibri" w:hAnsi="Calibri"/>
                <w:sz w:val="16"/>
                <w:szCs w:val="16"/>
              </w:rPr>
              <w:t>21,869.6</w:t>
            </w:r>
          </w:p>
        </w:tc>
      </w:tr>
      <w:tr w:rsidR="00664DF3" w:rsidRPr="009C7C8A" w14:paraId="310369F1" w14:textId="77777777">
        <w:trPr>
          <w:cantSplit/>
          <w:jc w:val="center"/>
        </w:trPr>
        <w:tc>
          <w:tcPr>
            <w:tcW w:w="668" w:type="dxa"/>
            <w:tcBorders>
              <w:top w:val="single" w:sz="6" w:space="0" w:color="D3D3D3"/>
              <w:left w:val="single" w:sz="6" w:space="0" w:color="D3D3D3"/>
              <w:bottom w:val="single" w:sz="6" w:space="0" w:color="D3D3D3"/>
              <w:right w:val="single" w:sz="6" w:space="0" w:color="D3D3D3"/>
            </w:tcBorders>
          </w:tcPr>
          <w:p w14:paraId="4C2E4928" w14:textId="77777777" w:rsidR="00664DF3" w:rsidRPr="009C7C8A" w:rsidRDefault="007218EF">
            <w:pPr>
              <w:keepNext/>
              <w:spacing w:after="60"/>
              <w:rPr>
                <w:sz w:val="16"/>
                <w:szCs w:val="16"/>
              </w:rPr>
            </w:pPr>
            <w:r w:rsidRPr="009C7C8A">
              <w:rPr>
                <w:rFonts w:ascii="Calibri" w:hAnsi="Calibri"/>
                <w:sz w:val="16"/>
                <w:szCs w:val="16"/>
              </w:rPr>
              <w:t>No bioeconomía</w:t>
            </w:r>
          </w:p>
        </w:tc>
        <w:tc>
          <w:tcPr>
            <w:tcW w:w="669" w:type="dxa"/>
            <w:tcBorders>
              <w:top w:val="single" w:sz="6" w:space="0" w:color="D3D3D3"/>
              <w:left w:val="single" w:sz="6" w:space="0" w:color="D3D3D3"/>
              <w:bottom w:val="single" w:sz="6" w:space="0" w:color="D3D3D3"/>
              <w:right w:val="single" w:sz="6" w:space="0" w:color="D3D3D3"/>
            </w:tcBorders>
          </w:tcPr>
          <w:p w14:paraId="26B966F7" w14:textId="77777777" w:rsidR="00664DF3" w:rsidRPr="009C7C8A" w:rsidRDefault="007218EF">
            <w:pPr>
              <w:keepNext/>
              <w:spacing w:after="60"/>
              <w:jc w:val="right"/>
              <w:rPr>
                <w:sz w:val="16"/>
                <w:szCs w:val="16"/>
              </w:rPr>
            </w:pPr>
            <w:r w:rsidRPr="009C7C8A">
              <w:rPr>
                <w:rFonts w:ascii="Calibri" w:hAnsi="Calibri"/>
                <w:sz w:val="16"/>
                <w:szCs w:val="16"/>
              </w:rPr>
              <w:t>2.6</w:t>
            </w:r>
          </w:p>
        </w:tc>
        <w:tc>
          <w:tcPr>
            <w:tcW w:w="668" w:type="dxa"/>
            <w:tcBorders>
              <w:top w:val="single" w:sz="6" w:space="0" w:color="D3D3D3"/>
              <w:left w:val="single" w:sz="6" w:space="0" w:color="D3D3D3"/>
              <w:bottom w:val="single" w:sz="6" w:space="0" w:color="D3D3D3"/>
              <w:right w:val="single" w:sz="6" w:space="0" w:color="D3D3D3"/>
            </w:tcBorders>
          </w:tcPr>
          <w:p w14:paraId="31AFC6A2" w14:textId="77777777" w:rsidR="00664DF3" w:rsidRPr="009C7C8A" w:rsidRDefault="007218EF">
            <w:pPr>
              <w:keepNext/>
              <w:spacing w:after="60"/>
              <w:jc w:val="right"/>
              <w:rPr>
                <w:sz w:val="16"/>
                <w:szCs w:val="16"/>
              </w:rPr>
            </w:pPr>
            <w:r w:rsidRPr="009C7C8A">
              <w:rPr>
                <w:rFonts w:ascii="Calibri" w:hAnsi="Calibri"/>
                <w:sz w:val="16"/>
                <w:szCs w:val="16"/>
              </w:rPr>
              <w:t>3,869.1</w:t>
            </w:r>
          </w:p>
        </w:tc>
        <w:tc>
          <w:tcPr>
            <w:tcW w:w="669" w:type="dxa"/>
            <w:tcBorders>
              <w:top w:val="single" w:sz="6" w:space="0" w:color="D3D3D3"/>
              <w:left w:val="single" w:sz="6" w:space="0" w:color="D3D3D3"/>
              <w:bottom w:val="single" w:sz="6" w:space="0" w:color="D3D3D3"/>
              <w:right w:val="single" w:sz="6" w:space="0" w:color="D3D3D3"/>
            </w:tcBorders>
          </w:tcPr>
          <w:p w14:paraId="3F63F178" w14:textId="77777777" w:rsidR="00664DF3" w:rsidRPr="009C7C8A" w:rsidRDefault="007218EF">
            <w:pPr>
              <w:keepNext/>
              <w:spacing w:after="60"/>
              <w:jc w:val="right"/>
              <w:rPr>
                <w:sz w:val="16"/>
                <w:szCs w:val="16"/>
              </w:rPr>
            </w:pPr>
            <w:r w:rsidRPr="009C7C8A">
              <w:rPr>
                <w:rFonts w:ascii="Calibri" w:hAnsi="Calibri"/>
                <w:sz w:val="16"/>
                <w:szCs w:val="16"/>
              </w:rPr>
              <w:t>2,985.1</w:t>
            </w:r>
          </w:p>
        </w:tc>
        <w:tc>
          <w:tcPr>
            <w:tcW w:w="668" w:type="dxa"/>
            <w:tcBorders>
              <w:top w:val="single" w:sz="6" w:space="0" w:color="D3D3D3"/>
              <w:left w:val="single" w:sz="6" w:space="0" w:color="D3D3D3"/>
              <w:bottom w:val="single" w:sz="6" w:space="0" w:color="D3D3D3"/>
              <w:right w:val="single" w:sz="6" w:space="0" w:color="D3D3D3"/>
            </w:tcBorders>
          </w:tcPr>
          <w:p w14:paraId="78336068" w14:textId="77777777" w:rsidR="00664DF3" w:rsidRPr="009C7C8A" w:rsidRDefault="007218EF">
            <w:pPr>
              <w:keepNext/>
              <w:spacing w:after="60"/>
              <w:jc w:val="right"/>
              <w:rPr>
                <w:sz w:val="16"/>
                <w:szCs w:val="16"/>
              </w:rPr>
            </w:pPr>
            <w:r w:rsidRPr="009C7C8A">
              <w:rPr>
                <w:rFonts w:ascii="Calibri" w:hAnsi="Calibri"/>
                <w:sz w:val="16"/>
                <w:szCs w:val="16"/>
              </w:rPr>
              <w:t>287.4</w:t>
            </w:r>
          </w:p>
        </w:tc>
        <w:tc>
          <w:tcPr>
            <w:tcW w:w="669" w:type="dxa"/>
            <w:tcBorders>
              <w:top w:val="single" w:sz="6" w:space="0" w:color="D3D3D3"/>
              <w:left w:val="single" w:sz="6" w:space="0" w:color="D3D3D3"/>
              <w:bottom w:val="single" w:sz="6" w:space="0" w:color="D3D3D3"/>
              <w:right w:val="single" w:sz="6" w:space="0" w:color="D3D3D3"/>
            </w:tcBorders>
          </w:tcPr>
          <w:p w14:paraId="6606717C" w14:textId="77777777" w:rsidR="00664DF3" w:rsidRPr="009C7C8A" w:rsidRDefault="007218EF">
            <w:pPr>
              <w:keepNext/>
              <w:spacing w:after="60"/>
              <w:jc w:val="right"/>
              <w:rPr>
                <w:sz w:val="16"/>
                <w:szCs w:val="16"/>
              </w:rPr>
            </w:pPr>
            <w:r w:rsidRPr="009C7C8A">
              <w:rPr>
                <w:rFonts w:ascii="Calibri" w:hAnsi="Calibri"/>
                <w:sz w:val="16"/>
                <w:szCs w:val="16"/>
              </w:rPr>
              <w:t>19,660.3</w:t>
            </w:r>
          </w:p>
        </w:tc>
        <w:tc>
          <w:tcPr>
            <w:tcW w:w="668" w:type="dxa"/>
            <w:tcBorders>
              <w:top w:val="single" w:sz="6" w:space="0" w:color="D3D3D3"/>
              <w:left w:val="single" w:sz="6" w:space="0" w:color="D3D3D3"/>
              <w:bottom w:val="single" w:sz="6" w:space="0" w:color="D3D3D3"/>
              <w:right w:val="single" w:sz="6" w:space="0" w:color="D3D3D3"/>
            </w:tcBorders>
          </w:tcPr>
          <w:p w14:paraId="203C9E0E" w14:textId="77777777" w:rsidR="00664DF3" w:rsidRPr="009C7C8A" w:rsidRDefault="007218EF">
            <w:pPr>
              <w:keepNext/>
              <w:spacing w:after="60"/>
              <w:jc w:val="right"/>
              <w:rPr>
                <w:sz w:val="16"/>
                <w:szCs w:val="16"/>
              </w:rPr>
            </w:pPr>
            <w:r w:rsidRPr="009C7C8A">
              <w:rPr>
                <w:rFonts w:ascii="Calibri" w:hAnsi="Calibri"/>
                <w:sz w:val="16"/>
                <w:szCs w:val="16"/>
              </w:rPr>
              <w:t>20,121.1</w:t>
            </w:r>
          </w:p>
        </w:tc>
        <w:tc>
          <w:tcPr>
            <w:tcW w:w="669" w:type="dxa"/>
            <w:tcBorders>
              <w:top w:val="single" w:sz="6" w:space="0" w:color="D3D3D3"/>
              <w:left w:val="single" w:sz="6" w:space="0" w:color="D3D3D3"/>
              <w:bottom w:val="single" w:sz="6" w:space="0" w:color="D3D3D3"/>
              <w:right w:val="single" w:sz="6" w:space="0" w:color="D3D3D3"/>
            </w:tcBorders>
          </w:tcPr>
          <w:p w14:paraId="50884A2A" w14:textId="77777777" w:rsidR="00664DF3" w:rsidRPr="009C7C8A" w:rsidRDefault="007218EF">
            <w:pPr>
              <w:keepNext/>
              <w:spacing w:after="60"/>
              <w:jc w:val="right"/>
              <w:rPr>
                <w:sz w:val="16"/>
                <w:szCs w:val="16"/>
              </w:rPr>
            </w:pPr>
            <w:r w:rsidRPr="009C7C8A">
              <w:rPr>
                <w:rFonts w:ascii="Calibri" w:hAnsi="Calibri"/>
                <w:sz w:val="16"/>
                <w:szCs w:val="16"/>
              </w:rPr>
              <w:t>50,700.5</w:t>
            </w:r>
          </w:p>
        </w:tc>
        <w:tc>
          <w:tcPr>
            <w:tcW w:w="669" w:type="dxa"/>
            <w:tcBorders>
              <w:top w:val="single" w:sz="6" w:space="0" w:color="D3D3D3"/>
              <w:left w:val="single" w:sz="6" w:space="0" w:color="D3D3D3"/>
              <w:bottom w:val="single" w:sz="6" w:space="0" w:color="D3D3D3"/>
              <w:right w:val="single" w:sz="6" w:space="0" w:color="D3D3D3"/>
            </w:tcBorders>
          </w:tcPr>
          <w:p w14:paraId="17920740" w14:textId="77777777" w:rsidR="00664DF3" w:rsidRPr="009C7C8A" w:rsidRDefault="007218EF">
            <w:pPr>
              <w:keepNext/>
              <w:spacing w:after="60"/>
              <w:jc w:val="right"/>
              <w:rPr>
                <w:sz w:val="16"/>
                <w:szCs w:val="16"/>
              </w:rPr>
            </w:pPr>
            <w:r w:rsidRPr="009C7C8A">
              <w:rPr>
                <w:rFonts w:ascii="Calibri" w:hAnsi="Calibri"/>
                <w:sz w:val="16"/>
                <w:szCs w:val="16"/>
              </w:rPr>
              <w:t>-2,363.1</w:t>
            </w:r>
          </w:p>
        </w:tc>
        <w:tc>
          <w:tcPr>
            <w:tcW w:w="668" w:type="dxa"/>
            <w:tcBorders>
              <w:top w:val="single" w:sz="6" w:space="0" w:color="D3D3D3"/>
              <w:left w:val="single" w:sz="6" w:space="0" w:color="D3D3D3"/>
              <w:bottom w:val="single" w:sz="6" w:space="0" w:color="D3D3D3"/>
              <w:right w:val="single" w:sz="6" w:space="0" w:color="D3D3D3"/>
            </w:tcBorders>
          </w:tcPr>
          <w:p w14:paraId="582CDB7E" w14:textId="77777777" w:rsidR="00664DF3" w:rsidRPr="009C7C8A" w:rsidRDefault="007218EF">
            <w:pPr>
              <w:keepNext/>
              <w:spacing w:after="60"/>
              <w:jc w:val="right"/>
              <w:rPr>
                <w:sz w:val="16"/>
                <w:szCs w:val="16"/>
              </w:rPr>
            </w:pPr>
            <w:r w:rsidRPr="009C7C8A">
              <w:rPr>
                <w:rFonts w:ascii="Calibri" w:hAnsi="Calibri"/>
                <w:sz w:val="16"/>
                <w:szCs w:val="16"/>
              </w:rPr>
              <w:t>1,843.5</w:t>
            </w:r>
          </w:p>
        </w:tc>
        <w:tc>
          <w:tcPr>
            <w:tcW w:w="669" w:type="dxa"/>
            <w:tcBorders>
              <w:top w:val="single" w:sz="6" w:space="0" w:color="D3D3D3"/>
              <w:left w:val="single" w:sz="6" w:space="0" w:color="D3D3D3"/>
              <w:bottom w:val="single" w:sz="6" w:space="0" w:color="D3D3D3"/>
              <w:right w:val="single" w:sz="6" w:space="0" w:color="D3D3D3"/>
            </w:tcBorders>
          </w:tcPr>
          <w:p w14:paraId="4BED6849" w14:textId="77777777" w:rsidR="00664DF3" w:rsidRPr="009C7C8A" w:rsidRDefault="007218EF">
            <w:pPr>
              <w:keepNext/>
              <w:spacing w:after="60"/>
              <w:jc w:val="right"/>
              <w:rPr>
                <w:sz w:val="16"/>
                <w:szCs w:val="16"/>
              </w:rPr>
            </w:pPr>
            <w:r w:rsidRPr="009C7C8A">
              <w:rPr>
                <w:rFonts w:ascii="Calibri" w:hAnsi="Calibri"/>
                <w:sz w:val="16"/>
                <w:szCs w:val="16"/>
              </w:rPr>
              <w:t>24,040.5</w:t>
            </w:r>
          </w:p>
        </w:tc>
        <w:tc>
          <w:tcPr>
            <w:tcW w:w="668" w:type="dxa"/>
            <w:tcBorders>
              <w:top w:val="single" w:sz="6" w:space="0" w:color="D3D3D3"/>
              <w:left w:val="single" w:sz="6" w:space="0" w:color="D3D3D3"/>
              <w:bottom w:val="single" w:sz="6" w:space="0" w:color="D3D3D3"/>
              <w:right w:val="single" w:sz="6" w:space="0" w:color="D3D3D3"/>
            </w:tcBorders>
          </w:tcPr>
          <w:p w14:paraId="6DC6877E" w14:textId="77777777" w:rsidR="00664DF3" w:rsidRPr="009C7C8A" w:rsidRDefault="007218EF">
            <w:pPr>
              <w:keepNext/>
              <w:spacing w:after="60"/>
              <w:jc w:val="right"/>
              <w:rPr>
                <w:sz w:val="16"/>
                <w:szCs w:val="16"/>
              </w:rPr>
            </w:pPr>
            <w:r w:rsidRPr="009C7C8A">
              <w:rPr>
                <w:rFonts w:ascii="Calibri" w:hAnsi="Calibri"/>
                <w:sz w:val="16"/>
                <w:szCs w:val="16"/>
              </w:rPr>
              <w:t>-11,233.6</w:t>
            </w:r>
          </w:p>
        </w:tc>
        <w:tc>
          <w:tcPr>
            <w:tcW w:w="669" w:type="dxa"/>
            <w:tcBorders>
              <w:top w:val="single" w:sz="6" w:space="0" w:color="D3D3D3"/>
              <w:left w:val="single" w:sz="6" w:space="0" w:color="D3D3D3"/>
              <w:bottom w:val="single" w:sz="6" w:space="0" w:color="D3D3D3"/>
              <w:right w:val="single" w:sz="6" w:space="0" w:color="D3D3D3"/>
            </w:tcBorders>
          </w:tcPr>
          <w:p w14:paraId="7448D7D8" w14:textId="77777777" w:rsidR="00664DF3" w:rsidRPr="009C7C8A" w:rsidRDefault="007218EF">
            <w:pPr>
              <w:keepNext/>
              <w:spacing w:after="60"/>
              <w:jc w:val="right"/>
              <w:rPr>
                <w:sz w:val="16"/>
                <w:szCs w:val="16"/>
              </w:rPr>
            </w:pPr>
            <w:r w:rsidRPr="009C7C8A">
              <w:rPr>
                <w:rFonts w:ascii="Calibri" w:hAnsi="Calibri"/>
                <w:sz w:val="16"/>
                <w:szCs w:val="16"/>
              </w:rPr>
              <w:t>-334.6</w:t>
            </w:r>
          </w:p>
        </w:tc>
        <w:tc>
          <w:tcPr>
            <w:tcW w:w="669" w:type="dxa"/>
            <w:tcBorders>
              <w:top w:val="single" w:sz="6" w:space="0" w:color="D3D3D3"/>
              <w:left w:val="single" w:sz="6" w:space="0" w:color="D3D3D3"/>
              <w:bottom w:val="single" w:sz="6" w:space="0" w:color="D3D3D3"/>
              <w:right w:val="single" w:sz="6" w:space="0" w:color="D3D3D3"/>
            </w:tcBorders>
          </w:tcPr>
          <w:p w14:paraId="298D690A" w14:textId="77777777" w:rsidR="00664DF3" w:rsidRPr="009C7C8A" w:rsidRDefault="007218EF">
            <w:pPr>
              <w:keepNext/>
              <w:spacing w:after="60"/>
              <w:jc w:val="right"/>
              <w:rPr>
                <w:sz w:val="16"/>
                <w:szCs w:val="16"/>
              </w:rPr>
            </w:pPr>
            <w:r w:rsidRPr="009C7C8A">
              <w:rPr>
                <w:rFonts w:ascii="Calibri" w:hAnsi="Calibri"/>
                <w:sz w:val="16"/>
                <w:szCs w:val="16"/>
              </w:rPr>
              <w:t>109,913.4</w:t>
            </w:r>
          </w:p>
        </w:tc>
      </w:tr>
      <w:tr w:rsidR="00664DF3" w:rsidRPr="009C7C8A" w14:paraId="3ACA3D9C" w14:textId="77777777">
        <w:trPr>
          <w:cantSplit/>
          <w:jc w:val="center"/>
        </w:trPr>
        <w:tc>
          <w:tcPr>
            <w:tcW w:w="668" w:type="dxa"/>
            <w:tcBorders>
              <w:top w:val="single" w:sz="6" w:space="0" w:color="D3D3D3"/>
              <w:left w:val="single" w:sz="6" w:space="0" w:color="D3D3D3"/>
              <w:bottom w:val="single" w:sz="6" w:space="0" w:color="D3D3D3"/>
              <w:right w:val="single" w:sz="6" w:space="0" w:color="D3D3D3"/>
            </w:tcBorders>
          </w:tcPr>
          <w:p w14:paraId="6B041D10" w14:textId="77777777" w:rsidR="00664DF3" w:rsidRPr="009C7C8A" w:rsidRDefault="007218EF">
            <w:pPr>
              <w:keepNext/>
              <w:spacing w:after="60"/>
              <w:rPr>
                <w:sz w:val="16"/>
                <w:szCs w:val="16"/>
              </w:rPr>
            </w:pPr>
            <w:r w:rsidRPr="009C7C8A">
              <w:rPr>
                <w:rFonts w:ascii="Calibri" w:hAnsi="Calibri"/>
                <w:sz w:val="16"/>
                <w:szCs w:val="16"/>
              </w:rPr>
              <w:t>Total</w:t>
            </w:r>
          </w:p>
        </w:tc>
        <w:tc>
          <w:tcPr>
            <w:tcW w:w="669" w:type="dxa"/>
            <w:tcBorders>
              <w:top w:val="single" w:sz="6" w:space="0" w:color="D3D3D3"/>
              <w:left w:val="single" w:sz="6" w:space="0" w:color="D3D3D3"/>
              <w:bottom w:val="single" w:sz="6" w:space="0" w:color="D3D3D3"/>
              <w:right w:val="single" w:sz="6" w:space="0" w:color="D3D3D3"/>
            </w:tcBorders>
          </w:tcPr>
          <w:p w14:paraId="17DBD8D7" w14:textId="77777777" w:rsidR="00664DF3" w:rsidRPr="009C7C8A" w:rsidRDefault="007218EF">
            <w:pPr>
              <w:keepNext/>
              <w:spacing w:after="60"/>
              <w:jc w:val="right"/>
              <w:rPr>
                <w:sz w:val="16"/>
                <w:szCs w:val="16"/>
              </w:rPr>
            </w:pPr>
            <w:r w:rsidRPr="009C7C8A">
              <w:rPr>
                <w:rFonts w:ascii="Calibri" w:hAnsi="Calibri"/>
                <w:sz w:val="16"/>
                <w:szCs w:val="16"/>
              </w:rPr>
              <w:t>3,287.0</w:t>
            </w:r>
          </w:p>
        </w:tc>
        <w:tc>
          <w:tcPr>
            <w:tcW w:w="668" w:type="dxa"/>
            <w:tcBorders>
              <w:top w:val="single" w:sz="6" w:space="0" w:color="D3D3D3"/>
              <w:left w:val="single" w:sz="6" w:space="0" w:color="D3D3D3"/>
              <w:bottom w:val="single" w:sz="6" w:space="0" w:color="D3D3D3"/>
              <w:right w:val="single" w:sz="6" w:space="0" w:color="D3D3D3"/>
            </w:tcBorders>
          </w:tcPr>
          <w:p w14:paraId="681A647A" w14:textId="77777777" w:rsidR="00664DF3" w:rsidRPr="009C7C8A" w:rsidRDefault="007218EF">
            <w:pPr>
              <w:keepNext/>
              <w:spacing w:after="60"/>
              <w:jc w:val="right"/>
              <w:rPr>
                <w:sz w:val="16"/>
                <w:szCs w:val="16"/>
              </w:rPr>
            </w:pPr>
            <w:r w:rsidRPr="009C7C8A">
              <w:rPr>
                <w:rFonts w:ascii="Calibri" w:hAnsi="Calibri"/>
                <w:sz w:val="16"/>
                <w:szCs w:val="16"/>
              </w:rPr>
              <w:t>3,931.1</w:t>
            </w:r>
          </w:p>
        </w:tc>
        <w:tc>
          <w:tcPr>
            <w:tcW w:w="669" w:type="dxa"/>
            <w:tcBorders>
              <w:top w:val="single" w:sz="6" w:space="0" w:color="D3D3D3"/>
              <w:left w:val="single" w:sz="6" w:space="0" w:color="D3D3D3"/>
              <w:bottom w:val="single" w:sz="6" w:space="0" w:color="D3D3D3"/>
              <w:right w:val="single" w:sz="6" w:space="0" w:color="D3D3D3"/>
            </w:tcBorders>
          </w:tcPr>
          <w:p w14:paraId="578D9B3F" w14:textId="77777777" w:rsidR="00664DF3" w:rsidRPr="009C7C8A" w:rsidRDefault="007218EF">
            <w:pPr>
              <w:keepNext/>
              <w:spacing w:after="60"/>
              <w:jc w:val="right"/>
              <w:rPr>
                <w:sz w:val="16"/>
                <w:szCs w:val="16"/>
              </w:rPr>
            </w:pPr>
            <w:r w:rsidRPr="009C7C8A">
              <w:rPr>
                <w:rFonts w:ascii="Calibri" w:hAnsi="Calibri"/>
                <w:sz w:val="16"/>
                <w:szCs w:val="16"/>
              </w:rPr>
              <w:t>9,541.4</w:t>
            </w:r>
          </w:p>
        </w:tc>
        <w:tc>
          <w:tcPr>
            <w:tcW w:w="668" w:type="dxa"/>
            <w:tcBorders>
              <w:top w:val="single" w:sz="6" w:space="0" w:color="D3D3D3"/>
              <w:left w:val="single" w:sz="6" w:space="0" w:color="D3D3D3"/>
              <w:bottom w:val="single" w:sz="6" w:space="0" w:color="D3D3D3"/>
              <w:right w:val="single" w:sz="6" w:space="0" w:color="D3D3D3"/>
            </w:tcBorders>
          </w:tcPr>
          <w:p w14:paraId="6E89B48C" w14:textId="77777777" w:rsidR="00664DF3" w:rsidRPr="009C7C8A" w:rsidRDefault="007218EF">
            <w:pPr>
              <w:keepNext/>
              <w:spacing w:after="60"/>
              <w:jc w:val="right"/>
              <w:rPr>
                <w:sz w:val="16"/>
                <w:szCs w:val="16"/>
              </w:rPr>
            </w:pPr>
            <w:r w:rsidRPr="009C7C8A">
              <w:rPr>
                <w:rFonts w:ascii="Calibri" w:hAnsi="Calibri"/>
                <w:sz w:val="16"/>
                <w:szCs w:val="16"/>
              </w:rPr>
              <w:t>2,547.4</w:t>
            </w:r>
          </w:p>
        </w:tc>
        <w:tc>
          <w:tcPr>
            <w:tcW w:w="669" w:type="dxa"/>
            <w:tcBorders>
              <w:top w:val="single" w:sz="6" w:space="0" w:color="D3D3D3"/>
              <w:left w:val="single" w:sz="6" w:space="0" w:color="D3D3D3"/>
              <w:bottom w:val="single" w:sz="6" w:space="0" w:color="D3D3D3"/>
              <w:right w:val="single" w:sz="6" w:space="0" w:color="D3D3D3"/>
            </w:tcBorders>
          </w:tcPr>
          <w:p w14:paraId="33E057F2" w14:textId="77777777" w:rsidR="00664DF3" w:rsidRPr="009C7C8A" w:rsidRDefault="007218EF">
            <w:pPr>
              <w:keepNext/>
              <w:spacing w:after="60"/>
              <w:jc w:val="right"/>
              <w:rPr>
                <w:sz w:val="16"/>
                <w:szCs w:val="16"/>
              </w:rPr>
            </w:pPr>
            <w:r w:rsidRPr="009C7C8A">
              <w:rPr>
                <w:rFonts w:ascii="Calibri" w:hAnsi="Calibri"/>
                <w:sz w:val="16"/>
                <w:szCs w:val="16"/>
              </w:rPr>
              <w:t>19,660.3</w:t>
            </w:r>
          </w:p>
        </w:tc>
        <w:tc>
          <w:tcPr>
            <w:tcW w:w="668" w:type="dxa"/>
            <w:tcBorders>
              <w:top w:val="single" w:sz="6" w:space="0" w:color="D3D3D3"/>
              <w:left w:val="single" w:sz="6" w:space="0" w:color="D3D3D3"/>
              <w:bottom w:val="single" w:sz="6" w:space="0" w:color="D3D3D3"/>
              <w:right w:val="single" w:sz="6" w:space="0" w:color="D3D3D3"/>
            </w:tcBorders>
          </w:tcPr>
          <w:p w14:paraId="409AA6C5" w14:textId="77777777" w:rsidR="00664DF3" w:rsidRPr="009C7C8A" w:rsidRDefault="007218EF">
            <w:pPr>
              <w:keepNext/>
              <w:spacing w:after="60"/>
              <w:jc w:val="right"/>
              <w:rPr>
                <w:sz w:val="16"/>
                <w:szCs w:val="16"/>
              </w:rPr>
            </w:pPr>
            <w:r w:rsidRPr="009C7C8A">
              <w:rPr>
                <w:rFonts w:ascii="Calibri" w:hAnsi="Calibri"/>
                <w:sz w:val="16"/>
                <w:szCs w:val="16"/>
              </w:rPr>
              <w:t>20,469.5</w:t>
            </w:r>
          </w:p>
        </w:tc>
        <w:tc>
          <w:tcPr>
            <w:tcW w:w="669" w:type="dxa"/>
            <w:tcBorders>
              <w:top w:val="single" w:sz="6" w:space="0" w:color="D3D3D3"/>
              <w:left w:val="single" w:sz="6" w:space="0" w:color="D3D3D3"/>
              <w:bottom w:val="single" w:sz="6" w:space="0" w:color="D3D3D3"/>
              <w:right w:val="single" w:sz="6" w:space="0" w:color="D3D3D3"/>
            </w:tcBorders>
          </w:tcPr>
          <w:p w14:paraId="07FCB4D4" w14:textId="77777777" w:rsidR="00664DF3" w:rsidRPr="009C7C8A" w:rsidRDefault="007218EF">
            <w:pPr>
              <w:keepNext/>
              <w:spacing w:after="60"/>
              <w:jc w:val="right"/>
              <w:rPr>
                <w:sz w:val="16"/>
                <w:szCs w:val="16"/>
              </w:rPr>
            </w:pPr>
            <w:r w:rsidRPr="009C7C8A">
              <w:rPr>
                <w:rFonts w:ascii="Calibri" w:hAnsi="Calibri"/>
                <w:sz w:val="16"/>
                <w:szCs w:val="16"/>
              </w:rPr>
              <w:t>53,434.2</w:t>
            </w:r>
          </w:p>
        </w:tc>
        <w:tc>
          <w:tcPr>
            <w:tcW w:w="669" w:type="dxa"/>
            <w:tcBorders>
              <w:top w:val="single" w:sz="6" w:space="0" w:color="D3D3D3"/>
              <w:left w:val="single" w:sz="6" w:space="0" w:color="D3D3D3"/>
              <w:bottom w:val="single" w:sz="6" w:space="0" w:color="D3D3D3"/>
              <w:right w:val="single" w:sz="6" w:space="0" w:color="D3D3D3"/>
            </w:tcBorders>
          </w:tcPr>
          <w:p w14:paraId="04B1D3A7" w14:textId="77777777" w:rsidR="00664DF3" w:rsidRPr="009C7C8A" w:rsidRDefault="007218EF">
            <w:pPr>
              <w:keepNext/>
              <w:spacing w:after="60"/>
              <w:jc w:val="right"/>
              <w:rPr>
                <w:sz w:val="16"/>
                <w:szCs w:val="16"/>
              </w:rPr>
            </w:pPr>
            <w:r w:rsidRPr="009C7C8A">
              <w:rPr>
                <w:rFonts w:ascii="Calibri" w:hAnsi="Calibri"/>
                <w:sz w:val="16"/>
                <w:szCs w:val="16"/>
              </w:rPr>
              <w:t>-2,363.1</w:t>
            </w:r>
          </w:p>
        </w:tc>
        <w:tc>
          <w:tcPr>
            <w:tcW w:w="668" w:type="dxa"/>
            <w:tcBorders>
              <w:top w:val="single" w:sz="6" w:space="0" w:color="D3D3D3"/>
              <w:left w:val="single" w:sz="6" w:space="0" w:color="D3D3D3"/>
              <w:bottom w:val="single" w:sz="6" w:space="0" w:color="D3D3D3"/>
              <w:right w:val="single" w:sz="6" w:space="0" w:color="D3D3D3"/>
            </w:tcBorders>
          </w:tcPr>
          <w:p w14:paraId="35116EB5" w14:textId="77777777" w:rsidR="00664DF3" w:rsidRPr="009C7C8A" w:rsidRDefault="007218EF">
            <w:pPr>
              <w:keepNext/>
              <w:spacing w:after="60"/>
              <w:jc w:val="right"/>
              <w:rPr>
                <w:sz w:val="16"/>
                <w:szCs w:val="16"/>
              </w:rPr>
            </w:pPr>
            <w:r w:rsidRPr="009C7C8A">
              <w:rPr>
                <w:rFonts w:ascii="Calibri" w:hAnsi="Calibri"/>
                <w:sz w:val="16"/>
                <w:szCs w:val="16"/>
              </w:rPr>
              <w:t>2,548.0</w:t>
            </w:r>
          </w:p>
        </w:tc>
        <w:tc>
          <w:tcPr>
            <w:tcW w:w="669" w:type="dxa"/>
            <w:tcBorders>
              <w:top w:val="single" w:sz="6" w:space="0" w:color="D3D3D3"/>
              <w:left w:val="single" w:sz="6" w:space="0" w:color="D3D3D3"/>
              <w:bottom w:val="single" w:sz="6" w:space="0" w:color="D3D3D3"/>
              <w:right w:val="single" w:sz="6" w:space="0" w:color="D3D3D3"/>
            </w:tcBorders>
          </w:tcPr>
          <w:p w14:paraId="78D0E2B4" w14:textId="77777777" w:rsidR="00664DF3" w:rsidRPr="009C7C8A" w:rsidRDefault="007218EF">
            <w:pPr>
              <w:keepNext/>
              <w:spacing w:after="60"/>
              <w:jc w:val="right"/>
              <w:rPr>
                <w:sz w:val="16"/>
                <w:szCs w:val="16"/>
              </w:rPr>
            </w:pPr>
            <w:r w:rsidRPr="009C7C8A">
              <w:rPr>
                <w:rFonts w:ascii="Calibri" w:hAnsi="Calibri"/>
                <w:sz w:val="16"/>
                <w:szCs w:val="16"/>
              </w:rPr>
              <w:t>36,040.4</w:t>
            </w:r>
          </w:p>
        </w:tc>
        <w:tc>
          <w:tcPr>
            <w:tcW w:w="668" w:type="dxa"/>
            <w:tcBorders>
              <w:top w:val="single" w:sz="6" w:space="0" w:color="D3D3D3"/>
              <w:left w:val="single" w:sz="6" w:space="0" w:color="D3D3D3"/>
              <w:bottom w:val="single" w:sz="6" w:space="0" w:color="D3D3D3"/>
              <w:right w:val="single" w:sz="6" w:space="0" w:color="D3D3D3"/>
            </w:tcBorders>
          </w:tcPr>
          <w:p w14:paraId="00960224" w14:textId="77777777" w:rsidR="00664DF3" w:rsidRPr="009C7C8A" w:rsidRDefault="007218EF">
            <w:pPr>
              <w:keepNext/>
              <w:spacing w:after="60"/>
              <w:jc w:val="right"/>
              <w:rPr>
                <w:sz w:val="16"/>
                <w:szCs w:val="16"/>
              </w:rPr>
            </w:pPr>
            <w:r w:rsidRPr="009C7C8A">
              <w:rPr>
                <w:rFonts w:ascii="Calibri" w:hAnsi="Calibri"/>
                <w:sz w:val="16"/>
                <w:szCs w:val="16"/>
              </w:rPr>
              <w:t>0.0</w:t>
            </w:r>
          </w:p>
        </w:tc>
        <w:tc>
          <w:tcPr>
            <w:tcW w:w="669" w:type="dxa"/>
            <w:tcBorders>
              <w:top w:val="single" w:sz="6" w:space="0" w:color="D3D3D3"/>
              <w:left w:val="single" w:sz="6" w:space="0" w:color="D3D3D3"/>
              <w:bottom w:val="single" w:sz="6" w:space="0" w:color="D3D3D3"/>
              <w:right w:val="single" w:sz="6" w:space="0" w:color="D3D3D3"/>
            </w:tcBorders>
          </w:tcPr>
          <w:p w14:paraId="15DCBE2D" w14:textId="7F293EFF" w:rsidR="00664DF3" w:rsidRPr="009C7C8A" w:rsidRDefault="00664DF3">
            <w:pPr>
              <w:keepNext/>
              <w:spacing w:after="60"/>
              <w:jc w:val="right"/>
              <w:rPr>
                <w:sz w:val="16"/>
                <w:szCs w:val="16"/>
              </w:rPr>
            </w:pPr>
          </w:p>
        </w:tc>
        <w:tc>
          <w:tcPr>
            <w:tcW w:w="669" w:type="dxa"/>
            <w:tcBorders>
              <w:top w:val="single" w:sz="6" w:space="0" w:color="D3D3D3"/>
              <w:left w:val="single" w:sz="6" w:space="0" w:color="D3D3D3"/>
              <w:bottom w:val="single" w:sz="6" w:space="0" w:color="D3D3D3"/>
              <w:right w:val="single" w:sz="6" w:space="0" w:color="D3D3D3"/>
            </w:tcBorders>
          </w:tcPr>
          <w:p w14:paraId="5078866F" w14:textId="77777777" w:rsidR="00664DF3" w:rsidRPr="009C7C8A" w:rsidRDefault="007218EF">
            <w:pPr>
              <w:keepNext/>
              <w:spacing w:after="60"/>
              <w:jc w:val="right"/>
              <w:rPr>
                <w:sz w:val="16"/>
                <w:szCs w:val="16"/>
              </w:rPr>
            </w:pPr>
            <w:r w:rsidRPr="009C7C8A">
              <w:rPr>
                <w:rFonts w:ascii="Calibri" w:hAnsi="Calibri"/>
                <w:sz w:val="16"/>
                <w:szCs w:val="16"/>
              </w:rPr>
              <w:t>149,096.3</w:t>
            </w:r>
          </w:p>
        </w:tc>
      </w:tr>
      <w:tr w:rsidR="00664DF3" w:rsidRPr="009C7C8A" w14:paraId="4F68706A" w14:textId="77777777">
        <w:trPr>
          <w:cantSplit/>
          <w:jc w:val="center"/>
        </w:trPr>
        <w:tc>
          <w:tcPr>
            <w:tcW w:w="9360" w:type="dxa"/>
            <w:gridSpan w:val="14"/>
          </w:tcPr>
          <w:p w14:paraId="7BAA4D67" w14:textId="77777777" w:rsidR="00664DF3" w:rsidRPr="009C7C8A" w:rsidRDefault="007218EF">
            <w:pPr>
              <w:keepNext/>
              <w:spacing w:after="60"/>
              <w:rPr>
                <w:sz w:val="16"/>
                <w:szCs w:val="16"/>
              </w:rPr>
            </w:pPr>
            <w:r w:rsidRPr="009C7C8A">
              <w:rPr>
                <w:rFonts w:ascii="Calibri" w:hAnsi="Calibri"/>
                <w:sz w:val="16"/>
                <w:szCs w:val="16"/>
              </w:rPr>
              <w:t>Fuente: Elaboración propia con datos del INEC Panamá.</w:t>
            </w:r>
            <w:bookmarkStart w:id="16" w:name="tbl-oferta"/>
            <w:bookmarkEnd w:id="16"/>
          </w:p>
        </w:tc>
      </w:tr>
    </w:tbl>
    <w:p w14:paraId="74AD600E" w14:textId="77777777" w:rsidR="00664DF3" w:rsidRDefault="007218EF">
      <w:pPr>
        <w:pStyle w:val="BodyText"/>
      </w:pPr>
      <w:r>
        <w:t>La producción bioeconómica directa se concentra mayoritariamente en el sector agrícola (sección A de la CIIU) y en las industrias manufactureras (sección C), donde se ubican las actividades de procesamiento de alimentos y transformación de recursos naturales. La bioeconomía extendida muestra una presencia significativa en la manufactura, reflejando la utilización de insumos biológicos en procesos de mayor transformación industrial.</w:t>
      </w:r>
      <w:bookmarkEnd w:id="14"/>
    </w:p>
    <w:p w14:paraId="3A4AF937" w14:textId="77777777" w:rsidR="00664DF3" w:rsidRDefault="007218EF">
      <w:pPr>
        <w:pStyle w:val="Heading3"/>
      </w:pPr>
      <w:bookmarkStart w:id="17" w:name="utilización-bioeconómica"/>
      <w:bookmarkStart w:id="18" w:name="_Toc227259863"/>
      <w:r>
        <w:t>3.2 Utilización bioeconómica</w:t>
      </w:r>
      <w:bookmarkEnd w:id="18"/>
    </w:p>
    <w:p w14:paraId="69477DD5" w14:textId="77777777" w:rsidR="00664DF3" w:rsidRDefault="007218EF">
      <w:pPr>
        <w:pStyle w:val="FirstParagraph"/>
      </w:pPr>
      <w:r>
        <w:t xml:space="preserve">El </w:t>
      </w:r>
      <w:hyperlink w:anchor="tbl-utilizacion">
        <w:r>
          <w:rPr>
            <w:rStyle w:val="Hyperlink"/>
          </w:rPr>
          <w:t>Tabla 2</w:t>
        </w:r>
      </w:hyperlink>
      <w:r>
        <w:t xml:space="preserve"> muestra la composición del consumo intermedio por categoría bioeconómica y sector de actividad económica para 2022. Este cuadro permite identificar qué sectores de la economía panameña son los principales demandantes de insumos bioeconómicos.</w:t>
      </w:r>
    </w:p>
    <w:tbl>
      <w:tblPr>
        <w:tblW w:w="5000" w:type="pct"/>
        <w:tblLayout w:type="fixed"/>
        <w:tblLook w:val="04A0" w:firstRow="1" w:lastRow="0" w:firstColumn="1" w:lastColumn="0" w:noHBand="0" w:noVBand="1"/>
      </w:tblPr>
      <w:tblGrid>
        <w:gridCol w:w="9360"/>
      </w:tblGrid>
      <w:tr w:rsidR="00664DF3" w14:paraId="55A46D9F" w14:textId="77777777">
        <w:tc>
          <w:tcPr>
            <w:tcW w:w="9360" w:type="dxa"/>
          </w:tcPr>
          <w:p w14:paraId="76B33FD3" w14:textId="77777777" w:rsidR="00664DF3" w:rsidRDefault="007218EF" w:rsidP="00701AD6">
            <w:pPr>
              <w:pStyle w:val="ImageCaption"/>
              <w:keepNext/>
              <w:spacing w:before="200"/>
            </w:pPr>
            <w:r>
              <w:lastRenderedPageBreak/>
              <w:t>Tabla 2: Consumo intermedio por categoría bioeconómica y sector, Panamá 2022 (millones de B/.)</w:t>
            </w:r>
          </w:p>
        </w:tc>
      </w:tr>
    </w:tbl>
    <w:p w14:paraId="200E633A" w14:textId="720BA5AF" w:rsidR="00664DF3" w:rsidRDefault="00664DF3">
      <w:pPr>
        <w:pStyle w:val="Caption"/>
        <w:keepNext/>
        <w:spacing w:after="60"/>
      </w:pPr>
    </w:p>
    <w:tbl>
      <w:tblPr>
        <w:tblW w:w="5000" w:type="pct"/>
        <w:jc w:val="center"/>
        <w:tblLayout w:type="fixed"/>
        <w:tblCellMar>
          <w:left w:w="60" w:type="dxa"/>
          <w:right w:w="60" w:type="dxa"/>
        </w:tblCellMar>
        <w:tblLook w:val="0000" w:firstRow="0" w:lastRow="0" w:firstColumn="0" w:lastColumn="0" w:noHBand="0" w:noVBand="0"/>
      </w:tblPr>
      <w:tblGrid>
        <w:gridCol w:w="1038"/>
        <w:gridCol w:w="1039"/>
        <w:gridCol w:w="1038"/>
        <w:gridCol w:w="1038"/>
        <w:gridCol w:w="1038"/>
        <w:gridCol w:w="1038"/>
        <w:gridCol w:w="1038"/>
        <w:gridCol w:w="1038"/>
        <w:gridCol w:w="1039"/>
      </w:tblGrid>
      <w:tr w:rsidR="00664DF3" w14:paraId="5E98589F" w14:textId="77777777">
        <w:trPr>
          <w:cantSplit/>
          <w:tblHeader/>
          <w:jc w:val="center"/>
        </w:trPr>
        <w:tc>
          <w:tcPr>
            <w:tcW w:w="1039" w:type="dxa"/>
            <w:tcBorders>
              <w:top w:val="single" w:sz="16" w:space="0" w:color="D3D3D3"/>
              <w:left w:val="single" w:sz="6" w:space="0" w:color="D3D3D3"/>
              <w:bottom w:val="single" w:sz="16" w:space="0" w:color="D3D3D3"/>
              <w:right w:val="single" w:sz="6" w:space="0" w:color="D3D3D3"/>
            </w:tcBorders>
          </w:tcPr>
          <w:p w14:paraId="63016236" w14:textId="77777777" w:rsidR="00664DF3" w:rsidRDefault="00664DF3">
            <w:pPr>
              <w:keepNext/>
              <w:spacing w:after="60"/>
            </w:pPr>
          </w:p>
        </w:tc>
        <w:tc>
          <w:tcPr>
            <w:tcW w:w="1040" w:type="dxa"/>
            <w:tcBorders>
              <w:top w:val="single" w:sz="16" w:space="0" w:color="D3D3D3"/>
              <w:left w:val="single" w:sz="6" w:space="0" w:color="D3D3D3"/>
              <w:bottom w:val="single" w:sz="16" w:space="0" w:color="D3D3D3"/>
            </w:tcBorders>
          </w:tcPr>
          <w:p w14:paraId="4721B005" w14:textId="77777777" w:rsidR="00664DF3" w:rsidRDefault="007218EF">
            <w:pPr>
              <w:keepNext/>
              <w:spacing w:after="60"/>
              <w:jc w:val="right"/>
            </w:pPr>
            <w:r>
              <w:rPr>
                <w:rFonts w:ascii="Calibri" w:hAnsi="Calibri"/>
                <w:sz w:val="20"/>
              </w:rPr>
              <w:t>A: Agricultura</w:t>
            </w:r>
          </w:p>
        </w:tc>
        <w:tc>
          <w:tcPr>
            <w:tcW w:w="1040" w:type="dxa"/>
            <w:tcBorders>
              <w:top w:val="single" w:sz="16" w:space="0" w:color="D3D3D3"/>
              <w:bottom w:val="single" w:sz="16" w:space="0" w:color="D3D3D3"/>
            </w:tcBorders>
          </w:tcPr>
          <w:p w14:paraId="726A9A10" w14:textId="77777777" w:rsidR="00664DF3" w:rsidRDefault="007218EF">
            <w:pPr>
              <w:keepNext/>
              <w:spacing w:after="60"/>
              <w:jc w:val="right"/>
            </w:pPr>
            <w:r>
              <w:rPr>
                <w:rFonts w:ascii="Calibri" w:hAnsi="Calibri"/>
                <w:sz w:val="20"/>
              </w:rPr>
              <w:t>B: Minas y canteras</w:t>
            </w:r>
          </w:p>
        </w:tc>
        <w:tc>
          <w:tcPr>
            <w:tcW w:w="1040" w:type="dxa"/>
            <w:tcBorders>
              <w:top w:val="single" w:sz="16" w:space="0" w:color="D3D3D3"/>
              <w:bottom w:val="single" w:sz="16" w:space="0" w:color="D3D3D3"/>
            </w:tcBorders>
          </w:tcPr>
          <w:p w14:paraId="7EA54761" w14:textId="77777777" w:rsidR="00664DF3" w:rsidRDefault="007218EF">
            <w:pPr>
              <w:keepNext/>
              <w:spacing w:after="60"/>
              <w:jc w:val="right"/>
            </w:pPr>
            <w:r>
              <w:rPr>
                <w:rFonts w:ascii="Calibri" w:hAnsi="Calibri"/>
                <w:sz w:val="20"/>
              </w:rPr>
              <w:t>C: Manufactura</w:t>
            </w:r>
          </w:p>
        </w:tc>
        <w:tc>
          <w:tcPr>
            <w:tcW w:w="1040" w:type="dxa"/>
            <w:tcBorders>
              <w:top w:val="single" w:sz="16" w:space="0" w:color="D3D3D3"/>
              <w:bottom w:val="single" w:sz="16" w:space="0" w:color="D3D3D3"/>
            </w:tcBorders>
          </w:tcPr>
          <w:p w14:paraId="25B03FEA" w14:textId="77777777" w:rsidR="00664DF3" w:rsidRDefault="007218EF">
            <w:pPr>
              <w:keepNext/>
              <w:spacing w:after="60"/>
              <w:jc w:val="right"/>
            </w:pPr>
            <w:r>
              <w:rPr>
                <w:rFonts w:ascii="Calibri" w:hAnsi="Calibri"/>
                <w:sz w:val="20"/>
              </w:rPr>
              <w:t>D-E: Serv. públicos</w:t>
            </w:r>
          </w:p>
        </w:tc>
        <w:tc>
          <w:tcPr>
            <w:tcW w:w="1040" w:type="dxa"/>
            <w:tcBorders>
              <w:top w:val="single" w:sz="16" w:space="0" w:color="D3D3D3"/>
              <w:bottom w:val="single" w:sz="16" w:space="0" w:color="D3D3D3"/>
            </w:tcBorders>
          </w:tcPr>
          <w:p w14:paraId="7590A83B" w14:textId="77777777" w:rsidR="00664DF3" w:rsidRDefault="007218EF">
            <w:pPr>
              <w:keepNext/>
              <w:spacing w:after="60"/>
              <w:jc w:val="right"/>
            </w:pPr>
            <w:r>
              <w:rPr>
                <w:rFonts w:ascii="Calibri" w:hAnsi="Calibri"/>
                <w:sz w:val="20"/>
              </w:rPr>
              <w:t>F: Construcción</w:t>
            </w:r>
          </w:p>
        </w:tc>
        <w:tc>
          <w:tcPr>
            <w:tcW w:w="1040" w:type="dxa"/>
            <w:tcBorders>
              <w:top w:val="single" w:sz="16" w:space="0" w:color="D3D3D3"/>
              <w:bottom w:val="single" w:sz="16" w:space="0" w:color="D3D3D3"/>
            </w:tcBorders>
          </w:tcPr>
          <w:p w14:paraId="4992D06D" w14:textId="77777777" w:rsidR="00664DF3" w:rsidRDefault="007218EF">
            <w:pPr>
              <w:keepNext/>
              <w:spacing w:after="60"/>
              <w:jc w:val="right"/>
            </w:pPr>
            <w:r>
              <w:rPr>
                <w:rFonts w:ascii="Calibri" w:hAnsi="Calibri"/>
                <w:sz w:val="20"/>
              </w:rPr>
              <w:t>G: Comercio</w:t>
            </w:r>
          </w:p>
        </w:tc>
        <w:tc>
          <w:tcPr>
            <w:tcW w:w="1040" w:type="dxa"/>
            <w:tcBorders>
              <w:top w:val="single" w:sz="16" w:space="0" w:color="D3D3D3"/>
              <w:bottom w:val="single" w:sz="16" w:space="0" w:color="D3D3D3"/>
            </w:tcBorders>
          </w:tcPr>
          <w:p w14:paraId="2052BC24" w14:textId="77777777" w:rsidR="00664DF3" w:rsidRDefault="007218EF">
            <w:pPr>
              <w:keepNext/>
              <w:spacing w:after="60"/>
              <w:jc w:val="right"/>
            </w:pPr>
            <w:r>
              <w:rPr>
                <w:rFonts w:ascii="Calibri" w:hAnsi="Calibri"/>
                <w:sz w:val="20"/>
              </w:rPr>
              <w:t>H-S: Otros servicios</w:t>
            </w:r>
          </w:p>
        </w:tc>
        <w:tc>
          <w:tcPr>
            <w:tcW w:w="1041" w:type="dxa"/>
            <w:tcBorders>
              <w:top w:val="single" w:sz="16" w:space="0" w:color="D3D3D3"/>
              <w:bottom w:val="single" w:sz="16" w:space="0" w:color="D3D3D3"/>
              <w:right w:val="single" w:sz="6" w:space="0" w:color="D3D3D3"/>
            </w:tcBorders>
          </w:tcPr>
          <w:p w14:paraId="2108830D" w14:textId="77777777" w:rsidR="00664DF3" w:rsidRDefault="007218EF">
            <w:pPr>
              <w:keepNext/>
              <w:spacing w:after="60"/>
              <w:jc w:val="right"/>
            </w:pPr>
            <w:r>
              <w:rPr>
                <w:rFonts w:ascii="Calibri" w:hAnsi="Calibri"/>
                <w:sz w:val="20"/>
              </w:rPr>
              <w:t>Total</w:t>
            </w:r>
          </w:p>
        </w:tc>
      </w:tr>
      <w:tr w:rsidR="00664DF3" w14:paraId="03964A28" w14:textId="77777777">
        <w:trPr>
          <w:cantSplit/>
          <w:jc w:val="center"/>
        </w:trPr>
        <w:tc>
          <w:tcPr>
            <w:tcW w:w="1039" w:type="dxa"/>
            <w:tcBorders>
              <w:top w:val="single" w:sz="6" w:space="0" w:color="D3D3D3"/>
              <w:left w:val="single" w:sz="6" w:space="0" w:color="D3D3D3"/>
              <w:bottom w:val="single" w:sz="6" w:space="0" w:color="D3D3D3"/>
              <w:right w:val="single" w:sz="6" w:space="0" w:color="D3D3D3"/>
            </w:tcBorders>
          </w:tcPr>
          <w:p w14:paraId="158CAFDE" w14:textId="77777777" w:rsidR="00664DF3" w:rsidRDefault="007218EF">
            <w:pPr>
              <w:keepNext/>
              <w:spacing w:after="60"/>
            </w:pPr>
            <w:r>
              <w:rPr>
                <w:rFonts w:ascii="Calibri" w:hAnsi="Calibri"/>
                <w:sz w:val="20"/>
              </w:rPr>
              <w:t>Bioeconomía</w:t>
            </w:r>
          </w:p>
        </w:tc>
        <w:tc>
          <w:tcPr>
            <w:tcW w:w="1040" w:type="dxa"/>
            <w:tcBorders>
              <w:top w:val="single" w:sz="6" w:space="0" w:color="D3D3D3"/>
              <w:left w:val="single" w:sz="6" w:space="0" w:color="D3D3D3"/>
              <w:bottom w:val="single" w:sz="6" w:space="0" w:color="D3D3D3"/>
              <w:right w:val="single" w:sz="6" w:space="0" w:color="D3D3D3"/>
            </w:tcBorders>
          </w:tcPr>
          <w:p w14:paraId="5143A4E6" w14:textId="77777777" w:rsidR="00664DF3" w:rsidRDefault="007218EF">
            <w:pPr>
              <w:keepNext/>
              <w:spacing w:after="60"/>
              <w:jc w:val="right"/>
            </w:pPr>
            <w:r>
              <w:rPr>
                <w:rFonts w:ascii="Calibri" w:hAnsi="Calibri"/>
                <w:sz w:val="20"/>
              </w:rPr>
              <w:t>670.3</w:t>
            </w:r>
          </w:p>
        </w:tc>
        <w:tc>
          <w:tcPr>
            <w:tcW w:w="1040" w:type="dxa"/>
            <w:tcBorders>
              <w:top w:val="single" w:sz="6" w:space="0" w:color="D3D3D3"/>
              <w:left w:val="single" w:sz="6" w:space="0" w:color="D3D3D3"/>
              <w:bottom w:val="single" w:sz="6" w:space="0" w:color="D3D3D3"/>
              <w:right w:val="single" w:sz="6" w:space="0" w:color="D3D3D3"/>
            </w:tcBorders>
          </w:tcPr>
          <w:p w14:paraId="2B19EFCF" w14:textId="77777777" w:rsidR="00664DF3" w:rsidRDefault="007218EF">
            <w:pPr>
              <w:keepNext/>
              <w:spacing w:after="60"/>
              <w:jc w:val="right"/>
            </w:pPr>
            <w:r>
              <w:rPr>
                <w:rFonts w:ascii="Calibri" w:hAnsi="Calibri"/>
                <w:sz w:val="20"/>
              </w:rPr>
              <w:t>77.3</w:t>
            </w:r>
          </w:p>
        </w:tc>
        <w:tc>
          <w:tcPr>
            <w:tcW w:w="1040" w:type="dxa"/>
            <w:tcBorders>
              <w:top w:val="single" w:sz="6" w:space="0" w:color="D3D3D3"/>
              <w:left w:val="single" w:sz="6" w:space="0" w:color="D3D3D3"/>
              <w:bottom w:val="single" w:sz="6" w:space="0" w:color="D3D3D3"/>
              <w:right w:val="single" w:sz="6" w:space="0" w:color="D3D3D3"/>
            </w:tcBorders>
          </w:tcPr>
          <w:p w14:paraId="1D11B364" w14:textId="77777777" w:rsidR="00664DF3" w:rsidRDefault="007218EF">
            <w:pPr>
              <w:keepNext/>
              <w:spacing w:after="60"/>
              <w:jc w:val="right"/>
            </w:pPr>
            <w:r>
              <w:rPr>
                <w:rFonts w:ascii="Calibri" w:hAnsi="Calibri"/>
                <w:sz w:val="20"/>
              </w:rPr>
              <w:t>3,137.7</w:t>
            </w:r>
          </w:p>
        </w:tc>
        <w:tc>
          <w:tcPr>
            <w:tcW w:w="1040" w:type="dxa"/>
            <w:tcBorders>
              <w:top w:val="single" w:sz="6" w:space="0" w:color="D3D3D3"/>
              <w:left w:val="single" w:sz="6" w:space="0" w:color="D3D3D3"/>
              <w:bottom w:val="single" w:sz="6" w:space="0" w:color="D3D3D3"/>
              <w:right w:val="single" w:sz="6" w:space="0" w:color="D3D3D3"/>
            </w:tcBorders>
          </w:tcPr>
          <w:p w14:paraId="4B1BB8FA" w14:textId="77777777" w:rsidR="00664DF3" w:rsidRDefault="007218EF">
            <w:pPr>
              <w:keepNext/>
              <w:spacing w:after="60"/>
              <w:jc w:val="right"/>
            </w:pPr>
            <w:r>
              <w:rPr>
                <w:rFonts w:ascii="Calibri" w:hAnsi="Calibri"/>
                <w:sz w:val="20"/>
              </w:rPr>
              <w:t>1.2</w:t>
            </w:r>
          </w:p>
        </w:tc>
        <w:tc>
          <w:tcPr>
            <w:tcW w:w="1040" w:type="dxa"/>
            <w:tcBorders>
              <w:top w:val="single" w:sz="6" w:space="0" w:color="D3D3D3"/>
              <w:left w:val="single" w:sz="6" w:space="0" w:color="D3D3D3"/>
              <w:bottom w:val="single" w:sz="6" w:space="0" w:color="D3D3D3"/>
              <w:right w:val="single" w:sz="6" w:space="0" w:color="D3D3D3"/>
            </w:tcBorders>
          </w:tcPr>
          <w:p w14:paraId="01942AC3" w14:textId="77777777" w:rsidR="00664DF3" w:rsidRDefault="007218EF">
            <w:pPr>
              <w:keepNext/>
              <w:spacing w:after="60"/>
              <w:jc w:val="right"/>
            </w:pPr>
            <w:r>
              <w:rPr>
                <w:rFonts w:ascii="Calibri" w:hAnsi="Calibri"/>
                <w:sz w:val="20"/>
              </w:rPr>
              <w:t>329.4</w:t>
            </w:r>
          </w:p>
        </w:tc>
        <w:tc>
          <w:tcPr>
            <w:tcW w:w="1040" w:type="dxa"/>
            <w:tcBorders>
              <w:top w:val="single" w:sz="6" w:space="0" w:color="D3D3D3"/>
              <w:left w:val="single" w:sz="6" w:space="0" w:color="D3D3D3"/>
              <w:bottom w:val="single" w:sz="6" w:space="0" w:color="D3D3D3"/>
              <w:right w:val="single" w:sz="6" w:space="0" w:color="D3D3D3"/>
            </w:tcBorders>
          </w:tcPr>
          <w:p w14:paraId="2C392972" w14:textId="77777777" w:rsidR="00664DF3" w:rsidRDefault="007218EF">
            <w:pPr>
              <w:keepNext/>
              <w:spacing w:after="60"/>
              <w:jc w:val="right"/>
            </w:pPr>
            <w:r>
              <w:rPr>
                <w:rFonts w:ascii="Calibri" w:hAnsi="Calibri"/>
                <w:sz w:val="20"/>
              </w:rPr>
              <w:t>291.8</w:t>
            </w:r>
          </w:p>
        </w:tc>
        <w:tc>
          <w:tcPr>
            <w:tcW w:w="1040" w:type="dxa"/>
            <w:tcBorders>
              <w:top w:val="single" w:sz="6" w:space="0" w:color="D3D3D3"/>
              <w:left w:val="single" w:sz="6" w:space="0" w:color="D3D3D3"/>
              <w:bottom w:val="single" w:sz="6" w:space="0" w:color="D3D3D3"/>
              <w:right w:val="single" w:sz="6" w:space="0" w:color="D3D3D3"/>
            </w:tcBorders>
          </w:tcPr>
          <w:p w14:paraId="27F7D382" w14:textId="77777777" w:rsidR="00664DF3" w:rsidRDefault="007218EF">
            <w:pPr>
              <w:keepNext/>
              <w:spacing w:after="60"/>
              <w:jc w:val="right"/>
            </w:pPr>
            <w:r>
              <w:rPr>
                <w:rFonts w:ascii="Calibri" w:hAnsi="Calibri"/>
                <w:sz w:val="20"/>
              </w:rPr>
              <w:t>1,225.5</w:t>
            </w:r>
          </w:p>
        </w:tc>
        <w:tc>
          <w:tcPr>
            <w:tcW w:w="1041" w:type="dxa"/>
            <w:tcBorders>
              <w:top w:val="single" w:sz="6" w:space="0" w:color="D3D3D3"/>
              <w:left w:val="single" w:sz="6" w:space="0" w:color="D3D3D3"/>
              <w:bottom w:val="single" w:sz="6" w:space="0" w:color="D3D3D3"/>
              <w:right w:val="single" w:sz="6" w:space="0" w:color="D3D3D3"/>
            </w:tcBorders>
          </w:tcPr>
          <w:p w14:paraId="6979E014" w14:textId="77777777" w:rsidR="00664DF3" w:rsidRDefault="007218EF">
            <w:pPr>
              <w:keepNext/>
              <w:spacing w:after="60"/>
              <w:jc w:val="right"/>
            </w:pPr>
            <w:r>
              <w:rPr>
                <w:rFonts w:ascii="Calibri" w:hAnsi="Calibri"/>
                <w:sz w:val="20"/>
              </w:rPr>
              <w:t>5,733.1</w:t>
            </w:r>
          </w:p>
        </w:tc>
      </w:tr>
      <w:tr w:rsidR="00664DF3" w14:paraId="12F32575" w14:textId="77777777">
        <w:trPr>
          <w:cantSplit/>
          <w:jc w:val="center"/>
        </w:trPr>
        <w:tc>
          <w:tcPr>
            <w:tcW w:w="1039" w:type="dxa"/>
            <w:tcBorders>
              <w:top w:val="single" w:sz="6" w:space="0" w:color="D3D3D3"/>
              <w:left w:val="single" w:sz="6" w:space="0" w:color="D3D3D3"/>
              <w:bottom w:val="single" w:sz="6" w:space="0" w:color="D3D3D3"/>
              <w:right w:val="single" w:sz="6" w:space="0" w:color="D3D3D3"/>
            </w:tcBorders>
          </w:tcPr>
          <w:p w14:paraId="37A78519" w14:textId="77777777" w:rsidR="00664DF3" w:rsidRDefault="007218EF">
            <w:pPr>
              <w:keepNext/>
              <w:spacing w:after="60"/>
            </w:pPr>
            <w:r>
              <w:rPr>
                <w:rFonts w:ascii="Calibri" w:hAnsi="Calibri"/>
                <w:sz w:val="20"/>
              </w:rPr>
              <w:t>Bioeconomía extendida</w:t>
            </w:r>
          </w:p>
        </w:tc>
        <w:tc>
          <w:tcPr>
            <w:tcW w:w="1040" w:type="dxa"/>
            <w:tcBorders>
              <w:top w:val="single" w:sz="6" w:space="0" w:color="D3D3D3"/>
              <w:left w:val="single" w:sz="6" w:space="0" w:color="D3D3D3"/>
              <w:bottom w:val="single" w:sz="6" w:space="0" w:color="D3D3D3"/>
              <w:right w:val="single" w:sz="6" w:space="0" w:color="D3D3D3"/>
            </w:tcBorders>
          </w:tcPr>
          <w:p w14:paraId="30A9DC23" w14:textId="77777777" w:rsidR="00664DF3" w:rsidRDefault="007218EF">
            <w:pPr>
              <w:keepNext/>
              <w:spacing w:after="60"/>
              <w:jc w:val="right"/>
            </w:pPr>
            <w:r>
              <w:rPr>
                <w:rFonts w:ascii="Calibri" w:hAnsi="Calibri"/>
                <w:sz w:val="20"/>
              </w:rPr>
              <w:t>202.3</w:t>
            </w:r>
          </w:p>
        </w:tc>
        <w:tc>
          <w:tcPr>
            <w:tcW w:w="1040" w:type="dxa"/>
            <w:tcBorders>
              <w:top w:val="single" w:sz="6" w:space="0" w:color="D3D3D3"/>
              <w:left w:val="single" w:sz="6" w:space="0" w:color="D3D3D3"/>
              <w:bottom w:val="single" w:sz="6" w:space="0" w:color="D3D3D3"/>
              <w:right w:val="single" w:sz="6" w:space="0" w:color="D3D3D3"/>
            </w:tcBorders>
          </w:tcPr>
          <w:p w14:paraId="7F6EEC33" w14:textId="77777777" w:rsidR="00664DF3" w:rsidRDefault="007218EF">
            <w:pPr>
              <w:keepNext/>
              <w:spacing w:after="60"/>
              <w:jc w:val="right"/>
            </w:pPr>
            <w:r>
              <w:rPr>
                <w:rFonts w:ascii="Calibri" w:hAnsi="Calibri"/>
                <w:sz w:val="20"/>
              </w:rPr>
              <w:t>17.5</w:t>
            </w:r>
          </w:p>
        </w:tc>
        <w:tc>
          <w:tcPr>
            <w:tcW w:w="1040" w:type="dxa"/>
            <w:tcBorders>
              <w:top w:val="single" w:sz="6" w:space="0" w:color="D3D3D3"/>
              <w:left w:val="single" w:sz="6" w:space="0" w:color="D3D3D3"/>
              <w:bottom w:val="single" w:sz="6" w:space="0" w:color="D3D3D3"/>
              <w:right w:val="single" w:sz="6" w:space="0" w:color="D3D3D3"/>
            </w:tcBorders>
          </w:tcPr>
          <w:p w14:paraId="5D68574A" w14:textId="77777777" w:rsidR="00664DF3" w:rsidRDefault="007218EF">
            <w:pPr>
              <w:keepNext/>
              <w:spacing w:after="60"/>
              <w:jc w:val="right"/>
            </w:pPr>
            <w:r>
              <w:rPr>
                <w:rFonts w:ascii="Calibri" w:hAnsi="Calibri"/>
                <w:sz w:val="20"/>
              </w:rPr>
              <w:t>333.9</w:t>
            </w:r>
          </w:p>
        </w:tc>
        <w:tc>
          <w:tcPr>
            <w:tcW w:w="1040" w:type="dxa"/>
            <w:tcBorders>
              <w:top w:val="single" w:sz="6" w:space="0" w:color="D3D3D3"/>
              <w:left w:val="single" w:sz="6" w:space="0" w:color="D3D3D3"/>
              <w:bottom w:val="single" w:sz="6" w:space="0" w:color="D3D3D3"/>
              <w:right w:val="single" w:sz="6" w:space="0" w:color="D3D3D3"/>
            </w:tcBorders>
          </w:tcPr>
          <w:p w14:paraId="06E987FB" w14:textId="77777777" w:rsidR="00664DF3" w:rsidRDefault="007218EF">
            <w:pPr>
              <w:keepNext/>
              <w:spacing w:after="60"/>
              <w:jc w:val="right"/>
            </w:pPr>
            <w:r>
              <w:rPr>
                <w:rFonts w:ascii="Calibri" w:hAnsi="Calibri"/>
                <w:sz w:val="20"/>
              </w:rPr>
              <w:t>180.0</w:t>
            </w:r>
          </w:p>
        </w:tc>
        <w:tc>
          <w:tcPr>
            <w:tcW w:w="1040" w:type="dxa"/>
            <w:tcBorders>
              <w:top w:val="single" w:sz="6" w:space="0" w:color="D3D3D3"/>
              <w:left w:val="single" w:sz="6" w:space="0" w:color="D3D3D3"/>
              <w:bottom w:val="single" w:sz="6" w:space="0" w:color="D3D3D3"/>
              <w:right w:val="single" w:sz="6" w:space="0" w:color="D3D3D3"/>
            </w:tcBorders>
          </w:tcPr>
          <w:p w14:paraId="48125058" w14:textId="77777777" w:rsidR="00664DF3" w:rsidRDefault="007218EF">
            <w:pPr>
              <w:keepNext/>
              <w:spacing w:after="60"/>
              <w:jc w:val="right"/>
            </w:pPr>
            <w:r>
              <w:rPr>
                <w:rFonts w:ascii="Calibri" w:hAnsi="Calibri"/>
                <w:sz w:val="20"/>
              </w:rPr>
              <w:t>224.4</w:t>
            </w:r>
          </w:p>
        </w:tc>
        <w:tc>
          <w:tcPr>
            <w:tcW w:w="1040" w:type="dxa"/>
            <w:tcBorders>
              <w:top w:val="single" w:sz="6" w:space="0" w:color="D3D3D3"/>
              <w:left w:val="single" w:sz="6" w:space="0" w:color="D3D3D3"/>
              <w:bottom w:val="single" w:sz="6" w:space="0" w:color="D3D3D3"/>
              <w:right w:val="single" w:sz="6" w:space="0" w:color="D3D3D3"/>
            </w:tcBorders>
          </w:tcPr>
          <w:p w14:paraId="01A12799" w14:textId="77777777" w:rsidR="00664DF3" w:rsidRDefault="007218EF">
            <w:pPr>
              <w:keepNext/>
              <w:spacing w:after="60"/>
              <w:jc w:val="right"/>
            </w:pPr>
            <w:r>
              <w:rPr>
                <w:rFonts w:ascii="Calibri" w:hAnsi="Calibri"/>
                <w:sz w:val="20"/>
              </w:rPr>
              <w:t>523.0</w:t>
            </w:r>
          </w:p>
        </w:tc>
        <w:tc>
          <w:tcPr>
            <w:tcW w:w="1040" w:type="dxa"/>
            <w:tcBorders>
              <w:top w:val="single" w:sz="6" w:space="0" w:color="D3D3D3"/>
              <w:left w:val="single" w:sz="6" w:space="0" w:color="D3D3D3"/>
              <w:bottom w:val="single" w:sz="6" w:space="0" w:color="D3D3D3"/>
              <w:right w:val="single" w:sz="6" w:space="0" w:color="D3D3D3"/>
            </w:tcBorders>
          </w:tcPr>
          <w:p w14:paraId="1E78D414" w14:textId="77777777" w:rsidR="00664DF3" w:rsidRDefault="007218EF">
            <w:pPr>
              <w:keepNext/>
              <w:spacing w:after="60"/>
              <w:jc w:val="right"/>
            </w:pPr>
            <w:r>
              <w:rPr>
                <w:rFonts w:ascii="Calibri" w:hAnsi="Calibri"/>
                <w:sz w:val="20"/>
              </w:rPr>
              <w:t>1,580.7</w:t>
            </w:r>
          </w:p>
        </w:tc>
        <w:tc>
          <w:tcPr>
            <w:tcW w:w="1041" w:type="dxa"/>
            <w:tcBorders>
              <w:top w:val="single" w:sz="6" w:space="0" w:color="D3D3D3"/>
              <w:left w:val="single" w:sz="6" w:space="0" w:color="D3D3D3"/>
              <w:bottom w:val="single" w:sz="6" w:space="0" w:color="D3D3D3"/>
              <w:right w:val="single" w:sz="6" w:space="0" w:color="D3D3D3"/>
            </w:tcBorders>
          </w:tcPr>
          <w:p w14:paraId="1C6CBF49" w14:textId="77777777" w:rsidR="00664DF3" w:rsidRDefault="007218EF">
            <w:pPr>
              <w:keepNext/>
              <w:spacing w:after="60"/>
              <w:jc w:val="right"/>
            </w:pPr>
            <w:r>
              <w:rPr>
                <w:rFonts w:ascii="Calibri" w:hAnsi="Calibri"/>
                <w:sz w:val="20"/>
              </w:rPr>
              <w:t>3,061.8</w:t>
            </w:r>
          </w:p>
        </w:tc>
      </w:tr>
      <w:tr w:rsidR="00664DF3" w14:paraId="3A080B9A" w14:textId="77777777">
        <w:trPr>
          <w:cantSplit/>
          <w:jc w:val="center"/>
        </w:trPr>
        <w:tc>
          <w:tcPr>
            <w:tcW w:w="1039" w:type="dxa"/>
            <w:tcBorders>
              <w:top w:val="single" w:sz="6" w:space="0" w:color="D3D3D3"/>
              <w:left w:val="single" w:sz="6" w:space="0" w:color="D3D3D3"/>
              <w:bottom w:val="single" w:sz="6" w:space="0" w:color="D3D3D3"/>
              <w:right w:val="single" w:sz="6" w:space="0" w:color="D3D3D3"/>
            </w:tcBorders>
          </w:tcPr>
          <w:p w14:paraId="14F0B1BE" w14:textId="77777777" w:rsidR="00664DF3" w:rsidRDefault="007218EF">
            <w:pPr>
              <w:keepNext/>
              <w:spacing w:after="60"/>
            </w:pPr>
            <w:r>
              <w:rPr>
                <w:rFonts w:ascii="Calibri" w:hAnsi="Calibri"/>
                <w:sz w:val="20"/>
              </w:rPr>
              <w:t>No bioeconomía</w:t>
            </w:r>
          </w:p>
        </w:tc>
        <w:tc>
          <w:tcPr>
            <w:tcW w:w="1040" w:type="dxa"/>
            <w:tcBorders>
              <w:top w:val="single" w:sz="6" w:space="0" w:color="D3D3D3"/>
              <w:left w:val="single" w:sz="6" w:space="0" w:color="D3D3D3"/>
              <w:bottom w:val="single" w:sz="6" w:space="0" w:color="D3D3D3"/>
              <w:right w:val="single" w:sz="6" w:space="0" w:color="D3D3D3"/>
            </w:tcBorders>
          </w:tcPr>
          <w:p w14:paraId="70DF72A4" w14:textId="77777777" w:rsidR="00664DF3" w:rsidRDefault="007218EF">
            <w:pPr>
              <w:keepNext/>
              <w:spacing w:after="60"/>
              <w:jc w:val="right"/>
            </w:pPr>
            <w:r>
              <w:rPr>
                <w:rFonts w:ascii="Calibri" w:hAnsi="Calibri"/>
                <w:sz w:val="20"/>
              </w:rPr>
              <w:t>422.4</w:t>
            </w:r>
          </w:p>
        </w:tc>
        <w:tc>
          <w:tcPr>
            <w:tcW w:w="1040" w:type="dxa"/>
            <w:tcBorders>
              <w:top w:val="single" w:sz="6" w:space="0" w:color="D3D3D3"/>
              <w:left w:val="single" w:sz="6" w:space="0" w:color="D3D3D3"/>
              <w:bottom w:val="single" w:sz="6" w:space="0" w:color="D3D3D3"/>
              <w:right w:val="single" w:sz="6" w:space="0" w:color="D3D3D3"/>
            </w:tcBorders>
          </w:tcPr>
          <w:p w14:paraId="473DF101" w14:textId="77777777" w:rsidR="00664DF3" w:rsidRDefault="007218EF">
            <w:pPr>
              <w:keepNext/>
              <w:spacing w:after="60"/>
              <w:jc w:val="right"/>
            </w:pPr>
            <w:r>
              <w:rPr>
                <w:rFonts w:ascii="Calibri" w:hAnsi="Calibri"/>
                <w:sz w:val="20"/>
              </w:rPr>
              <w:t>1,123.3</w:t>
            </w:r>
          </w:p>
        </w:tc>
        <w:tc>
          <w:tcPr>
            <w:tcW w:w="1040" w:type="dxa"/>
            <w:tcBorders>
              <w:top w:val="single" w:sz="6" w:space="0" w:color="D3D3D3"/>
              <w:left w:val="single" w:sz="6" w:space="0" w:color="D3D3D3"/>
              <w:bottom w:val="single" w:sz="6" w:space="0" w:color="D3D3D3"/>
              <w:right w:val="single" w:sz="6" w:space="0" w:color="D3D3D3"/>
            </w:tcBorders>
          </w:tcPr>
          <w:p w14:paraId="2E53997E" w14:textId="77777777" w:rsidR="00664DF3" w:rsidRDefault="007218EF">
            <w:pPr>
              <w:keepNext/>
              <w:spacing w:after="60"/>
              <w:jc w:val="right"/>
            </w:pPr>
            <w:r>
              <w:rPr>
                <w:rFonts w:ascii="Calibri" w:hAnsi="Calibri"/>
                <w:sz w:val="20"/>
              </w:rPr>
              <w:t>2,189.4</w:t>
            </w:r>
          </w:p>
        </w:tc>
        <w:tc>
          <w:tcPr>
            <w:tcW w:w="1040" w:type="dxa"/>
            <w:tcBorders>
              <w:top w:val="single" w:sz="6" w:space="0" w:color="D3D3D3"/>
              <w:left w:val="single" w:sz="6" w:space="0" w:color="D3D3D3"/>
              <w:bottom w:val="single" w:sz="6" w:space="0" w:color="D3D3D3"/>
              <w:right w:val="single" w:sz="6" w:space="0" w:color="D3D3D3"/>
            </w:tcBorders>
          </w:tcPr>
          <w:p w14:paraId="5834405A" w14:textId="77777777" w:rsidR="00664DF3" w:rsidRDefault="007218EF">
            <w:pPr>
              <w:keepNext/>
              <w:spacing w:after="60"/>
              <w:jc w:val="right"/>
            </w:pPr>
            <w:r>
              <w:rPr>
                <w:rFonts w:ascii="Calibri" w:hAnsi="Calibri"/>
                <w:sz w:val="20"/>
              </w:rPr>
              <w:t>667.3</w:t>
            </w:r>
          </w:p>
        </w:tc>
        <w:tc>
          <w:tcPr>
            <w:tcW w:w="1040" w:type="dxa"/>
            <w:tcBorders>
              <w:top w:val="single" w:sz="6" w:space="0" w:color="D3D3D3"/>
              <w:left w:val="single" w:sz="6" w:space="0" w:color="D3D3D3"/>
              <w:bottom w:val="single" w:sz="6" w:space="0" w:color="D3D3D3"/>
              <w:right w:val="single" w:sz="6" w:space="0" w:color="D3D3D3"/>
            </w:tcBorders>
          </w:tcPr>
          <w:p w14:paraId="6795A4C5" w14:textId="77777777" w:rsidR="00664DF3" w:rsidRDefault="007218EF">
            <w:pPr>
              <w:keepNext/>
              <w:spacing w:after="60"/>
              <w:jc w:val="right"/>
            </w:pPr>
            <w:r>
              <w:rPr>
                <w:rFonts w:ascii="Calibri" w:hAnsi="Calibri"/>
                <w:sz w:val="20"/>
              </w:rPr>
              <w:t>7,211.5</w:t>
            </w:r>
          </w:p>
        </w:tc>
        <w:tc>
          <w:tcPr>
            <w:tcW w:w="1040" w:type="dxa"/>
            <w:tcBorders>
              <w:top w:val="single" w:sz="6" w:space="0" w:color="D3D3D3"/>
              <w:left w:val="single" w:sz="6" w:space="0" w:color="D3D3D3"/>
              <w:bottom w:val="single" w:sz="6" w:space="0" w:color="D3D3D3"/>
              <w:right w:val="single" w:sz="6" w:space="0" w:color="D3D3D3"/>
            </w:tcBorders>
          </w:tcPr>
          <w:p w14:paraId="72DEFEDE" w14:textId="77777777" w:rsidR="00664DF3" w:rsidRDefault="007218EF">
            <w:pPr>
              <w:keepNext/>
              <w:spacing w:after="60"/>
              <w:jc w:val="right"/>
            </w:pPr>
            <w:r>
              <w:rPr>
                <w:rFonts w:ascii="Calibri" w:hAnsi="Calibri"/>
                <w:sz w:val="20"/>
              </w:rPr>
              <w:t>5,270.5</w:t>
            </w:r>
          </w:p>
        </w:tc>
        <w:tc>
          <w:tcPr>
            <w:tcW w:w="1040" w:type="dxa"/>
            <w:tcBorders>
              <w:top w:val="single" w:sz="6" w:space="0" w:color="D3D3D3"/>
              <w:left w:val="single" w:sz="6" w:space="0" w:color="D3D3D3"/>
              <w:bottom w:val="single" w:sz="6" w:space="0" w:color="D3D3D3"/>
              <w:right w:val="single" w:sz="6" w:space="0" w:color="D3D3D3"/>
            </w:tcBorders>
          </w:tcPr>
          <w:p w14:paraId="6FE47AAA" w14:textId="77777777" w:rsidR="00664DF3" w:rsidRDefault="007218EF">
            <w:pPr>
              <w:keepNext/>
              <w:spacing w:after="60"/>
              <w:jc w:val="right"/>
            </w:pPr>
            <w:r>
              <w:rPr>
                <w:rFonts w:ascii="Calibri" w:hAnsi="Calibri"/>
                <w:sz w:val="20"/>
              </w:rPr>
              <w:t>13,018.7</w:t>
            </w:r>
          </w:p>
        </w:tc>
        <w:tc>
          <w:tcPr>
            <w:tcW w:w="1041" w:type="dxa"/>
            <w:tcBorders>
              <w:top w:val="single" w:sz="6" w:space="0" w:color="D3D3D3"/>
              <w:left w:val="single" w:sz="6" w:space="0" w:color="D3D3D3"/>
              <w:bottom w:val="single" w:sz="6" w:space="0" w:color="D3D3D3"/>
              <w:right w:val="single" w:sz="6" w:space="0" w:color="D3D3D3"/>
            </w:tcBorders>
          </w:tcPr>
          <w:p w14:paraId="2B42BAE1" w14:textId="77777777" w:rsidR="00664DF3" w:rsidRDefault="007218EF">
            <w:pPr>
              <w:keepNext/>
              <w:spacing w:after="60"/>
              <w:jc w:val="right"/>
            </w:pPr>
            <w:r>
              <w:rPr>
                <w:rFonts w:ascii="Calibri" w:hAnsi="Calibri"/>
                <w:sz w:val="20"/>
              </w:rPr>
              <w:t>29,903.1</w:t>
            </w:r>
          </w:p>
        </w:tc>
      </w:tr>
      <w:tr w:rsidR="00664DF3" w14:paraId="17D65F7C" w14:textId="77777777">
        <w:trPr>
          <w:cantSplit/>
          <w:jc w:val="center"/>
        </w:trPr>
        <w:tc>
          <w:tcPr>
            <w:tcW w:w="1039" w:type="dxa"/>
            <w:tcBorders>
              <w:top w:val="single" w:sz="6" w:space="0" w:color="D3D3D3"/>
              <w:left w:val="single" w:sz="6" w:space="0" w:color="D3D3D3"/>
              <w:bottom w:val="single" w:sz="6" w:space="0" w:color="D3D3D3"/>
              <w:right w:val="single" w:sz="6" w:space="0" w:color="D3D3D3"/>
            </w:tcBorders>
          </w:tcPr>
          <w:p w14:paraId="61B1DFD2" w14:textId="77777777" w:rsidR="00664DF3" w:rsidRDefault="007218EF">
            <w:pPr>
              <w:keepNext/>
              <w:spacing w:after="60"/>
            </w:pPr>
            <w:r>
              <w:rPr>
                <w:rFonts w:ascii="Calibri" w:hAnsi="Calibri"/>
                <w:sz w:val="20"/>
              </w:rPr>
              <w:t>Total</w:t>
            </w:r>
          </w:p>
        </w:tc>
        <w:tc>
          <w:tcPr>
            <w:tcW w:w="1040" w:type="dxa"/>
            <w:tcBorders>
              <w:top w:val="single" w:sz="6" w:space="0" w:color="D3D3D3"/>
              <w:left w:val="single" w:sz="6" w:space="0" w:color="D3D3D3"/>
              <w:bottom w:val="single" w:sz="6" w:space="0" w:color="D3D3D3"/>
              <w:right w:val="single" w:sz="6" w:space="0" w:color="D3D3D3"/>
            </w:tcBorders>
          </w:tcPr>
          <w:p w14:paraId="7FE46310" w14:textId="77777777" w:rsidR="00664DF3" w:rsidRDefault="007218EF">
            <w:pPr>
              <w:keepNext/>
              <w:spacing w:after="60"/>
              <w:jc w:val="right"/>
            </w:pPr>
            <w:r>
              <w:rPr>
                <w:rFonts w:ascii="Calibri" w:hAnsi="Calibri"/>
                <w:sz w:val="20"/>
              </w:rPr>
              <w:t>1,295.0</w:t>
            </w:r>
          </w:p>
        </w:tc>
        <w:tc>
          <w:tcPr>
            <w:tcW w:w="1040" w:type="dxa"/>
            <w:tcBorders>
              <w:top w:val="single" w:sz="6" w:space="0" w:color="D3D3D3"/>
              <w:left w:val="single" w:sz="6" w:space="0" w:color="D3D3D3"/>
              <w:bottom w:val="single" w:sz="6" w:space="0" w:color="D3D3D3"/>
              <w:right w:val="single" w:sz="6" w:space="0" w:color="D3D3D3"/>
            </w:tcBorders>
          </w:tcPr>
          <w:p w14:paraId="77B94C9A" w14:textId="77777777" w:rsidR="00664DF3" w:rsidRDefault="007218EF">
            <w:pPr>
              <w:keepNext/>
              <w:spacing w:after="60"/>
              <w:jc w:val="right"/>
            </w:pPr>
            <w:r>
              <w:rPr>
                <w:rFonts w:ascii="Calibri" w:hAnsi="Calibri"/>
                <w:sz w:val="20"/>
              </w:rPr>
              <w:t>1,218.1</w:t>
            </w:r>
          </w:p>
        </w:tc>
        <w:tc>
          <w:tcPr>
            <w:tcW w:w="1040" w:type="dxa"/>
            <w:tcBorders>
              <w:top w:val="single" w:sz="6" w:space="0" w:color="D3D3D3"/>
              <w:left w:val="single" w:sz="6" w:space="0" w:color="D3D3D3"/>
              <w:bottom w:val="single" w:sz="6" w:space="0" w:color="D3D3D3"/>
              <w:right w:val="single" w:sz="6" w:space="0" w:color="D3D3D3"/>
            </w:tcBorders>
          </w:tcPr>
          <w:p w14:paraId="1ABCB073" w14:textId="77777777" w:rsidR="00664DF3" w:rsidRDefault="007218EF">
            <w:pPr>
              <w:keepNext/>
              <w:spacing w:after="60"/>
              <w:jc w:val="right"/>
            </w:pPr>
            <w:r>
              <w:rPr>
                <w:rFonts w:ascii="Calibri" w:hAnsi="Calibri"/>
                <w:sz w:val="20"/>
              </w:rPr>
              <w:t>5,661.0</w:t>
            </w:r>
          </w:p>
        </w:tc>
        <w:tc>
          <w:tcPr>
            <w:tcW w:w="1040" w:type="dxa"/>
            <w:tcBorders>
              <w:top w:val="single" w:sz="6" w:space="0" w:color="D3D3D3"/>
              <w:left w:val="single" w:sz="6" w:space="0" w:color="D3D3D3"/>
              <w:bottom w:val="single" w:sz="6" w:space="0" w:color="D3D3D3"/>
              <w:right w:val="single" w:sz="6" w:space="0" w:color="D3D3D3"/>
            </w:tcBorders>
          </w:tcPr>
          <w:p w14:paraId="53C9F309" w14:textId="77777777" w:rsidR="00664DF3" w:rsidRDefault="007218EF">
            <w:pPr>
              <w:keepNext/>
              <w:spacing w:after="60"/>
              <w:jc w:val="right"/>
            </w:pPr>
            <w:r>
              <w:rPr>
                <w:rFonts w:ascii="Calibri" w:hAnsi="Calibri"/>
                <w:sz w:val="20"/>
              </w:rPr>
              <w:t>848.6</w:t>
            </w:r>
          </w:p>
        </w:tc>
        <w:tc>
          <w:tcPr>
            <w:tcW w:w="1040" w:type="dxa"/>
            <w:tcBorders>
              <w:top w:val="single" w:sz="6" w:space="0" w:color="D3D3D3"/>
              <w:left w:val="single" w:sz="6" w:space="0" w:color="D3D3D3"/>
              <w:bottom w:val="single" w:sz="6" w:space="0" w:color="D3D3D3"/>
              <w:right w:val="single" w:sz="6" w:space="0" w:color="D3D3D3"/>
            </w:tcBorders>
          </w:tcPr>
          <w:p w14:paraId="057D7026" w14:textId="77777777" w:rsidR="00664DF3" w:rsidRDefault="007218EF">
            <w:pPr>
              <w:keepNext/>
              <w:spacing w:after="60"/>
              <w:jc w:val="right"/>
            </w:pPr>
            <w:r>
              <w:rPr>
                <w:rFonts w:ascii="Calibri" w:hAnsi="Calibri"/>
                <w:sz w:val="20"/>
              </w:rPr>
              <w:t>7,765.2</w:t>
            </w:r>
          </w:p>
        </w:tc>
        <w:tc>
          <w:tcPr>
            <w:tcW w:w="1040" w:type="dxa"/>
            <w:tcBorders>
              <w:top w:val="single" w:sz="6" w:space="0" w:color="D3D3D3"/>
              <w:left w:val="single" w:sz="6" w:space="0" w:color="D3D3D3"/>
              <w:bottom w:val="single" w:sz="6" w:space="0" w:color="D3D3D3"/>
              <w:right w:val="single" w:sz="6" w:space="0" w:color="D3D3D3"/>
            </w:tcBorders>
          </w:tcPr>
          <w:p w14:paraId="3844070B" w14:textId="77777777" w:rsidR="00664DF3" w:rsidRDefault="007218EF">
            <w:pPr>
              <w:keepNext/>
              <w:spacing w:after="60"/>
              <w:jc w:val="right"/>
            </w:pPr>
            <w:r>
              <w:rPr>
                <w:rFonts w:ascii="Calibri" w:hAnsi="Calibri"/>
                <w:sz w:val="20"/>
              </w:rPr>
              <w:t>6,085.4</w:t>
            </w:r>
          </w:p>
        </w:tc>
        <w:tc>
          <w:tcPr>
            <w:tcW w:w="1040" w:type="dxa"/>
            <w:tcBorders>
              <w:top w:val="single" w:sz="6" w:space="0" w:color="D3D3D3"/>
              <w:left w:val="single" w:sz="6" w:space="0" w:color="D3D3D3"/>
              <w:bottom w:val="single" w:sz="6" w:space="0" w:color="D3D3D3"/>
              <w:right w:val="single" w:sz="6" w:space="0" w:color="D3D3D3"/>
            </w:tcBorders>
          </w:tcPr>
          <w:p w14:paraId="24CF1567" w14:textId="77777777" w:rsidR="00664DF3" w:rsidRDefault="007218EF">
            <w:pPr>
              <w:keepNext/>
              <w:spacing w:after="60"/>
              <w:jc w:val="right"/>
            </w:pPr>
            <w:r>
              <w:rPr>
                <w:rFonts w:ascii="Calibri" w:hAnsi="Calibri"/>
                <w:sz w:val="20"/>
              </w:rPr>
              <w:t>15,824.8</w:t>
            </w:r>
          </w:p>
        </w:tc>
        <w:tc>
          <w:tcPr>
            <w:tcW w:w="1041" w:type="dxa"/>
            <w:tcBorders>
              <w:top w:val="single" w:sz="6" w:space="0" w:color="D3D3D3"/>
              <w:left w:val="single" w:sz="6" w:space="0" w:color="D3D3D3"/>
              <w:bottom w:val="single" w:sz="6" w:space="0" w:color="D3D3D3"/>
              <w:right w:val="single" w:sz="6" w:space="0" w:color="D3D3D3"/>
            </w:tcBorders>
          </w:tcPr>
          <w:p w14:paraId="3774D32E" w14:textId="77777777" w:rsidR="00664DF3" w:rsidRDefault="007218EF">
            <w:pPr>
              <w:keepNext/>
              <w:spacing w:after="60"/>
              <w:jc w:val="right"/>
            </w:pPr>
            <w:r>
              <w:rPr>
                <w:rFonts w:ascii="Calibri" w:hAnsi="Calibri"/>
                <w:sz w:val="20"/>
              </w:rPr>
              <w:t>38,698.1</w:t>
            </w:r>
          </w:p>
        </w:tc>
      </w:tr>
      <w:tr w:rsidR="00664DF3" w14:paraId="770EE06F" w14:textId="77777777">
        <w:trPr>
          <w:cantSplit/>
          <w:jc w:val="center"/>
        </w:trPr>
        <w:tc>
          <w:tcPr>
            <w:tcW w:w="9360" w:type="dxa"/>
            <w:gridSpan w:val="9"/>
          </w:tcPr>
          <w:p w14:paraId="1619CE5F" w14:textId="77777777" w:rsidR="00664DF3" w:rsidRDefault="007218EF">
            <w:pPr>
              <w:keepNext/>
              <w:spacing w:after="60"/>
            </w:pPr>
            <w:r>
              <w:rPr>
                <w:rFonts w:ascii="Calibri" w:hAnsi="Calibri"/>
                <w:sz w:val="20"/>
              </w:rPr>
              <w:t>Fuente: Elaboración propia con datos del INEC Panamá.</w:t>
            </w:r>
            <w:bookmarkStart w:id="19" w:name="tbl-utilizacion"/>
            <w:bookmarkEnd w:id="19"/>
          </w:p>
        </w:tc>
      </w:tr>
    </w:tbl>
    <w:p w14:paraId="10C4FEEF" w14:textId="77777777" w:rsidR="00664DF3" w:rsidRDefault="007218EF">
      <w:pPr>
        <w:pStyle w:val="BodyText"/>
      </w:pPr>
      <w:r>
        <w:t>El consumo intermedio de productos bioeconómicos es particularmente relevante en la manufactura y en la agricultura, sectores que demandan volúmenes significativos de materias primas de origen biológico. Los sectores de servicios, aunque dominan la estructura económica panameña en términos de valor agregado, presentan una dependencia comparativamente menor de insumos bioeconómicos.</w:t>
      </w:r>
      <w:bookmarkEnd w:id="17"/>
    </w:p>
    <w:p w14:paraId="7074CCFF" w14:textId="77777777" w:rsidR="00664DF3" w:rsidRDefault="007218EF">
      <w:pPr>
        <w:pStyle w:val="Heading3"/>
      </w:pPr>
      <w:bookmarkStart w:id="20" w:name="valor-agregado-bruto-y-pib-bioeconómico"/>
      <w:bookmarkStart w:id="21" w:name="_Toc227259864"/>
      <w:r>
        <w:t xml:space="preserve">3.3 Valor agregado bruto y PIB </w:t>
      </w:r>
      <w:proofErr w:type="spellStart"/>
      <w:r>
        <w:t>bioeconómico</w:t>
      </w:r>
      <w:bookmarkEnd w:id="21"/>
      <w:proofErr w:type="spellEnd"/>
    </w:p>
    <w:p w14:paraId="4BE938FD" w14:textId="77777777" w:rsidR="00664DF3" w:rsidRDefault="007218EF">
      <w:pPr>
        <w:pStyle w:val="FirstParagraph"/>
      </w:pPr>
      <w:r>
        <w:t xml:space="preserve">A partir de los cuadros de oferta y utilización, es posible calcular el valor agregado bruto (VAB) asociado a cada categoría bioeconómica. El </w:t>
      </w:r>
      <w:hyperlink w:anchor="tbl-vab">
        <w:r>
          <w:rPr>
            <w:rStyle w:val="Hyperlink"/>
          </w:rPr>
          <w:t>Tabla 3</w:t>
        </w:r>
      </w:hyperlink>
      <w:r>
        <w:t xml:space="preserve"> presenta esta descomposición para 2022, junto con la contribución porcentual de cada categoría.</w:t>
      </w:r>
    </w:p>
    <w:tbl>
      <w:tblPr>
        <w:tblW w:w="5000" w:type="pct"/>
        <w:tblLayout w:type="fixed"/>
        <w:tblLook w:val="04A0" w:firstRow="1" w:lastRow="0" w:firstColumn="1" w:lastColumn="0" w:noHBand="0" w:noVBand="1"/>
      </w:tblPr>
      <w:tblGrid>
        <w:gridCol w:w="9360"/>
      </w:tblGrid>
      <w:tr w:rsidR="00664DF3" w14:paraId="16B95E26" w14:textId="77777777">
        <w:tc>
          <w:tcPr>
            <w:tcW w:w="9360" w:type="dxa"/>
          </w:tcPr>
          <w:p w14:paraId="4D3C208B" w14:textId="77777777" w:rsidR="00664DF3" w:rsidRDefault="007218EF">
            <w:pPr>
              <w:pStyle w:val="ImageCaption"/>
              <w:spacing w:before="200"/>
            </w:pPr>
            <w:r>
              <w:t>Tabla 3: Valor agregado bruto por categoría bioeconómica, Panamá 2022 (millones de B/.)</w:t>
            </w:r>
          </w:p>
        </w:tc>
      </w:tr>
    </w:tbl>
    <w:p w14:paraId="605D8FA0" w14:textId="5E7B40DE" w:rsidR="00664DF3" w:rsidRDefault="00664DF3">
      <w:pPr>
        <w:pStyle w:val="Caption"/>
        <w:keepNext/>
        <w:spacing w:after="60"/>
      </w:pPr>
    </w:p>
    <w:tbl>
      <w:tblPr>
        <w:tblW w:w="5000" w:type="pct"/>
        <w:jc w:val="center"/>
        <w:tblLayout w:type="fixed"/>
        <w:tblCellMar>
          <w:left w:w="60" w:type="dxa"/>
          <w:right w:w="60" w:type="dxa"/>
        </w:tblCellMar>
        <w:tblLook w:val="0000" w:firstRow="0" w:lastRow="0" w:firstColumn="0" w:lastColumn="0" w:noHBand="0" w:noVBand="0"/>
      </w:tblPr>
      <w:tblGrid>
        <w:gridCol w:w="1334"/>
        <w:gridCol w:w="1334"/>
        <w:gridCol w:w="1335"/>
        <w:gridCol w:w="1335"/>
        <w:gridCol w:w="1335"/>
        <w:gridCol w:w="1335"/>
        <w:gridCol w:w="1336"/>
      </w:tblGrid>
      <w:tr w:rsidR="00664DF3" w14:paraId="1819B3D4" w14:textId="77777777">
        <w:trPr>
          <w:cantSplit/>
          <w:tblHeader/>
          <w:jc w:val="center"/>
        </w:trPr>
        <w:tc>
          <w:tcPr>
            <w:tcW w:w="1337" w:type="dxa"/>
            <w:tcBorders>
              <w:top w:val="single" w:sz="16" w:space="0" w:color="D3D3D3"/>
              <w:left w:val="single" w:sz="6" w:space="0" w:color="D3D3D3"/>
              <w:bottom w:val="single" w:sz="16" w:space="0" w:color="D3D3D3"/>
              <w:right w:val="single" w:sz="6" w:space="0" w:color="D3D3D3"/>
            </w:tcBorders>
          </w:tcPr>
          <w:p w14:paraId="005BD355" w14:textId="77777777" w:rsidR="00664DF3" w:rsidRDefault="00664DF3">
            <w:pPr>
              <w:keepNext/>
              <w:spacing w:after="60"/>
            </w:pPr>
          </w:p>
        </w:tc>
        <w:tc>
          <w:tcPr>
            <w:tcW w:w="1337" w:type="dxa"/>
            <w:tcBorders>
              <w:top w:val="single" w:sz="16" w:space="0" w:color="D3D3D3"/>
              <w:left w:val="single" w:sz="6" w:space="0" w:color="D3D3D3"/>
              <w:bottom w:val="single" w:sz="16" w:space="0" w:color="D3D3D3"/>
            </w:tcBorders>
          </w:tcPr>
          <w:p w14:paraId="5DC70E10" w14:textId="77777777" w:rsidR="00664DF3" w:rsidRDefault="007218EF">
            <w:pPr>
              <w:keepNext/>
              <w:spacing w:after="60"/>
              <w:jc w:val="right"/>
            </w:pPr>
            <w:r>
              <w:rPr>
                <w:rFonts w:ascii="Calibri" w:hAnsi="Calibri"/>
                <w:sz w:val="20"/>
              </w:rPr>
              <w:t>Producción</w:t>
            </w:r>
          </w:p>
        </w:tc>
        <w:tc>
          <w:tcPr>
            <w:tcW w:w="1337" w:type="dxa"/>
            <w:tcBorders>
              <w:top w:val="single" w:sz="16" w:space="0" w:color="D3D3D3"/>
              <w:bottom w:val="single" w:sz="16" w:space="0" w:color="D3D3D3"/>
            </w:tcBorders>
          </w:tcPr>
          <w:p w14:paraId="38735FC5" w14:textId="77777777" w:rsidR="00664DF3" w:rsidRDefault="007218EF">
            <w:pPr>
              <w:keepNext/>
              <w:spacing w:after="60"/>
              <w:jc w:val="right"/>
            </w:pPr>
            <w:r>
              <w:rPr>
                <w:rFonts w:ascii="Calibri" w:hAnsi="Calibri"/>
                <w:sz w:val="20"/>
              </w:rPr>
              <w:t>Consumo intermedio</w:t>
            </w:r>
          </w:p>
        </w:tc>
        <w:tc>
          <w:tcPr>
            <w:tcW w:w="1337" w:type="dxa"/>
            <w:tcBorders>
              <w:top w:val="single" w:sz="16" w:space="0" w:color="D3D3D3"/>
              <w:bottom w:val="single" w:sz="16" w:space="0" w:color="D3D3D3"/>
            </w:tcBorders>
          </w:tcPr>
          <w:p w14:paraId="3D2DD644" w14:textId="77777777" w:rsidR="00664DF3" w:rsidRDefault="007218EF">
            <w:pPr>
              <w:keepNext/>
              <w:spacing w:after="60"/>
              <w:jc w:val="right"/>
            </w:pPr>
            <w:r>
              <w:rPr>
                <w:rFonts w:ascii="Calibri" w:hAnsi="Calibri"/>
                <w:sz w:val="20"/>
              </w:rPr>
              <w:t>VAB</w:t>
            </w:r>
          </w:p>
        </w:tc>
        <w:tc>
          <w:tcPr>
            <w:tcW w:w="1337" w:type="dxa"/>
            <w:tcBorders>
              <w:top w:val="single" w:sz="16" w:space="0" w:color="D3D3D3"/>
              <w:bottom w:val="single" w:sz="16" w:space="0" w:color="D3D3D3"/>
            </w:tcBorders>
          </w:tcPr>
          <w:p w14:paraId="2281D668" w14:textId="77777777" w:rsidR="00664DF3" w:rsidRDefault="007218EF">
            <w:pPr>
              <w:keepNext/>
              <w:spacing w:after="60"/>
              <w:jc w:val="right"/>
            </w:pPr>
            <w:r>
              <w:rPr>
                <w:rFonts w:ascii="Calibri" w:hAnsi="Calibri"/>
                <w:sz w:val="20"/>
              </w:rPr>
              <w:t>% Producción</w:t>
            </w:r>
          </w:p>
        </w:tc>
        <w:tc>
          <w:tcPr>
            <w:tcW w:w="1337" w:type="dxa"/>
            <w:tcBorders>
              <w:top w:val="single" w:sz="16" w:space="0" w:color="D3D3D3"/>
              <w:bottom w:val="single" w:sz="16" w:space="0" w:color="D3D3D3"/>
            </w:tcBorders>
          </w:tcPr>
          <w:p w14:paraId="6A0B163E" w14:textId="77777777" w:rsidR="00664DF3" w:rsidRDefault="007218EF">
            <w:pPr>
              <w:keepNext/>
              <w:spacing w:after="60"/>
              <w:jc w:val="right"/>
            </w:pPr>
            <w:r>
              <w:rPr>
                <w:rFonts w:ascii="Calibri" w:hAnsi="Calibri"/>
                <w:sz w:val="20"/>
              </w:rPr>
              <w:t>% CI</w:t>
            </w:r>
          </w:p>
        </w:tc>
        <w:tc>
          <w:tcPr>
            <w:tcW w:w="1338" w:type="dxa"/>
            <w:tcBorders>
              <w:top w:val="single" w:sz="16" w:space="0" w:color="D3D3D3"/>
              <w:bottom w:val="single" w:sz="16" w:space="0" w:color="D3D3D3"/>
              <w:right w:val="single" w:sz="6" w:space="0" w:color="D3D3D3"/>
            </w:tcBorders>
          </w:tcPr>
          <w:p w14:paraId="466126C8" w14:textId="77777777" w:rsidR="00664DF3" w:rsidRDefault="007218EF">
            <w:pPr>
              <w:keepNext/>
              <w:spacing w:after="60"/>
              <w:jc w:val="right"/>
            </w:pPr>
            <w:r>
              <w:rPr>
                <w:rFonts w:ascii="Calibri" w:hAnsi="Calibri"/>
                <w:sz w:val="20"/>
              </w:rPr>
              <w:t>% VAB</w:t>
            </w:r>
          </w:p>
        </w:tc>
      </w:tr>
      <w:tr w:rsidR="00664DF3" w14:paraId="73CCEC81" w14:textId="77777777">
        <w:trPr>
          <w:cantSplit/>
          <w:jc w:val="center"/>
        </w:trPr>
        <w:tc>
          <w:tcPr>
            <w:tcW w:w="1337" w:type="dxa"/>
            <w:tcBorders>
              <w:top w:val="single" w:sz="6" w:space="0" w:color="D3D3D3"/>
              <w:left w:val="single" w:sz="6" w:space="0" w:color="D3D3D3"/>
              <w:bottom w:val="single" w:sz="6" w:space="0" w:color="D3D3D3"/>
              <w:right w:val="single" w:sz="6" w:space="0" w:color="D3D3D3"/>
            </w:tcBorders>
          </w:tcPr>
          <w:p w14:paraId="2D149872" w14:textId="77777777" w:rsidR="00664DF3" w:rsidRDefault="007218EF">
            <w:pPr>
              <w:keepNext/>
              <w:spacing w:after="60"/>
            </w:pPr>
            <w:r>
              <w:rPr>
                <w:rFonts w:ascii="Calibri" w:hAnsi="Calibri"/>
                <w:sz w:val="20"/>
              </w:rPr>
              <w:t>Bioeconomía</w:t>
            </w:r>
          </w:p>
        </w:tc>
        <w:tc>
          <w:tcPr>
            <w:tcW w:w="1337" w:type="dxa"/>
            <w:tcBorders>
              <w:top w:val="single" w:sz="6" w:space="0" w:color="D3D3D3"/>
              <w:left w:val="single" w:sz="6" w:space="0" w:color="D3D3D3"/>
              <w:bottom w:val="single" w:sz="6" w:space="0" w:color="D3D3D3"/>
              <w:right w:val="single" w:sz="6" w:space="0" w:color="D3D3D3"/>
            </w:tcBorders>
          </w:tcPr>
          <w:p w14:paraId="0A290B62" w14:textId="77777777" w:rsidR="00664DF3" w:rsidRDefault="007218EF">
            <w:pPr>
              <w:keepNext/>
              <w:spacing w:after="60"/>
              <w:jc w:val="right"/>
            </w:pPr>
            <w:r>
              <w:rPr>
                <w:rFonts w:ascii="Calibri" w:hAnsi="Calibri"/>
                <w:sz w:val="20"/>
              </w:rPr>
              <w:t>9,526.3</w:t>
            </w:r>
          </w:p>
        </w:tc>
        <w:tc>
          <w:tcPr>
            <w:tcW w:w="1337" w:type="dxa"/>
            <w:tcBorders>
              <w:top w:val="single" w:sz="6" w:space="0" w:color="D3D3D3"/>
              <w:left w:val="single" w:sz="6" w:space="0" w:color="D3D3D3"/>
              <w:bottom w:val="single" w:sz="6" w:space="0" w:color="D3D3D3"/>
              <w:right w:val="single" w:sz="6" w:space="0" w:color="D3D3D3"/>
            </w:tcBorders>
          </w:tcPr>
          <w:p w14:paraId="63A66A64" w14:textId="77777777" w:rsidR="00664DF3" w:rsidRDefault="007218EF">
            <w:pPr>
              <w:keepNext/>
              <w:spacing w:after="60"/>
              <w:jc w:val="right"/>
            </w:pPr>
            <w:r>
              <w:rPr>
                <w:rFonts w:ascii="Calibri" w:hAnsi="Calibri"/>
                <w:sz w:val="20"/>
              </w:rPr>
              <w:t>5,733.1</w:t>
            </w:r>
          </w:p>
        </w:tc>
        <w:tc>
          <w:tcPr>
            <w:tcW w:w="1337" w:type="dxa"/>
            <w:tcBorders>
              <w:top w:val="single" w:sz="6" w:space="0" w:color="D3D3D3"/>
              <w:left w:val="single" w:sz="6" w:space="0" w:color="D3D3D3"/>
              <w:bottom w:val="single" w:sz="6" w:space="0" w:color="D3D3D3"/>
              <w:right w:val="single" w:sz="6" w:space="0" w:color="D3D3D3"/>
            </w:tcBorders>
          </w:tcPr>
          <w:p w14:paraId="024C7C96" w14:textId="77777777" w:rsidR="00664DF3" w:rsidRDefault="007218EF">
            <w:pPr>
              <w:keepNext/>
              <w:spacing w:after="60"/>
              <w:jc w:val="right"/>
            </w:pPr>
            <w:r>
              <w:rPr>
                <w:rFonts w:ascii="Calibri" w:hAnsi="Calibri"/>
                <w:sz w:val="20"/>
              </w:rPr>
              <w:t>3,793.2</w:t>
            </w:r>
          </w:p>
        </w:tc>
        <w:tc>
          <w:tcPr>
            <w:tcW w:w="1337" w:type="dxa"/>
            <w:tcBorders>
              <w:top w:val="single" w:sz="6" w:space="0" w:color="D3D3D3"/>
              <w:left w:val="single" w:sz="6" w:space="0" w:color="D3D3D3"/>
              <w:bottom w:val="single" w:sz="6" w:space="0" w:color="D3D3D3"/>
              <w:right w:val="single" w:sz="6" w:space="0" w:color="D3D3D3"/>
            </w:tcBorders>
          </w:tcPr>
          <w:p w14:paraId="4B543C71" w14:textId="77777777" w:rsidR="00664DF3" w:rsidRDefault="007218EF">
            <w:pPr>
              <w:keepNext/>
              <w:spacing w:after="60"/>
              <w:jc w:val="right"/>
            </w:pPr>
            <w:r>
              <w:rPr>
                <w:rFonts w:ascii="Calibri" w:hAnsi="Calibri"/>
                <w:sz w:val="20"/>
              </w:rPr>
              <w:t>8.4</w:t>
            </w:r>
          </w:p>
        </w:tc>
        <w:tc>
          <w:tcPr>
            <w:tcW w:w="1337" w:type="dxa"/>
            <w:tcBorders>
              <w:top w:val="single" w:sz="6" w:space="0" w:color="D3D3D3"/>
              <w:left w:val="single" w:sz="6" w:space="0" w:color="D3D3D3"/>
              <w:bottom w:val="single" w:sz="6" w:space="0" w:color="D3D3D3"/>
              <w:right w:val="single" w:sz="6" w:space="0" w:color="D3D3D3"/>
            </w:tcBorders>
          </w:tcPr>
          <w:p w14:paraId="799F8C7F" w14:textId="77777777" w:rsidR="00664DF3" w:rsidRDefault="007218EF">
            <w:pPr>
              <w:keepNext/>
              <w:spacing w:after="60"/>
              <w:jc w:val="right"/>
            </w:pPr>
            <w:r>
              <w:rPr>
                <w:rFonts w:ascii="Calibri" w:hAnsi="Calibri"/>
                <w:sz w:val="20"/>
              </w:rPr>
              <w:t>14.8</w:t>
            </w:r>
          </w:p>
        </w:tc>
        <w:tc>
          <w:tcPr>
            <w:tcW w:w="1338" w:type="dxa"/>
            <w:tcBorders>
              <w:top w:val="single" w:sz="6" w:space="0" w:color="D3D3D3"/>
              <w:left w:val="single" w:sz="6" w:space="0" w:color="D3D3D3"/>
              <w:bottom w:val="single" w:sz="6" w:space="0" w:color="D3D3D3"/>
              <w:right w:val="single" w:sz="6" w:space="0" w:color="D3D3D3"/>
            </w:tcBorders>
          </w:tcPr>
          <w:p w14:paraId="78DDE5FC" w14:textId="77777777" w:rsidR="00664DF3" w:rsidRDefault="007218EF">
            <w:pPr>
              <w:keepNext/>
              <w:spacing w:after="60"/>
              <w:jc w:val="right"/>
            </w:pPr>
            <w:r>
              <w:rPr>
                <w:rFonts w:ascii="Calibri" w:hAnsi="Calibri"/>
                <w:sz w:val="20"/>
              </w:rPr>
              <w:t>5.1</w:t>
            </w:r>
          </w:p>
        </w:tc>
      </w:tr>
      <w:tr w:rsidR="00664DF3" w14:paraId="58B8B0B1" w14:textId="77777777">
        <w:trPr>
          <w:cantSplit/>
          <w:jc w:val="center"/>
        </w:trPr>
        <w:tc>
          <w:tcPr>
            <w:tcW w:w="1337" w:type="dxa"/>
            <w:tcBorders>
              <w:top w:val="single" w:sz="6" w:space="0" w:color="D3D3D3"/>
              <w:left w:val="single" w:sz="6" w:space="0" w:color="D3D3D3"/>
              <w:bottom w:val="single" w:sz="6" w:space="0" w:color="D3D3D3"/>
              <w:right w:val="single" w:sz="6" w:space="0" w:color="D3D3D3"/>
            </w:tcBorders>
          </w:tcPr>
          <w:p w14:paraId="179A09BA" w14:textId="77777777" w:rsidR="00664DF3" w:rsidRDefault="007218EF">
            <w:pPr>
              <w:keepNext/>
              <w:spacing w:after="60"/>
            </w:pPr>
            <w:r>
              <w:rPr>
                <w:rFonts w:ascii="Calibri" w:hAnsi="Calibri"/>
                <w:sz w:val="20"/>
              </w:rPr>
              <w:t>Bioeconomía extendida</w:t>
            </w:r>
          </w:p>
        </w:tc>
        <w:tc>
          <w:tcPr>
            <w:tcW w:w="1337" w:type="dxa"/>
            <w:tcBorders>
              <w:top w:val="single" w:sz="6" w:space="0" w:color="D3D3D3"/>
              <w:left w:val="single" w:sz="6" w:space="0" w:color="D3D3D3"/>
              <w:bottom w:val="single" w:sz="6" w:space="0" w:color="D3D3D3"/>
              <w:right w:val="single" w:sz="6" w:space="0" w:color="D3D3D3"/>
            </w:tcBorders>
          </w:tcPr>
          <w:p w14:paraId="0B73D79A" w14:textId="77777777" w:rsidR="00664DF3" w:rsidRDefault="007218EF">
            <w:pPr>
              <w:keepNext/>
              <w:spacing w:after="60"/>
              <w:jc w:val="right"/>
            </w:pPr>
            <w:r>
              <w:rPr>
                <w:rFonts w:ascii="Calibri" w:hAnsi="Calibri"/>
                <w:sz w:val="20"/>
              </w:rPr>
              <w:t>5,718.6</w:t>
            </w:r>
          </w:p>
        </w:tc>
        <w:tc>
          <w:tcPr>
            <w:tcW w:w="1337" w:type="dxa"/>
            <w:tcBorders>
              <w:top w:val="single" w:sz="6" w:space="0" w:color="D3D3D3"/>
              <w:left w:val="single" w:sz="6" w:space="0" w:color="D3D3D3"/>
              <w:bottom w:val="single" w:sz="6" w:space="0" w:color="D3D3D3"/>
              <w:right w:val="single" w:sz="6" w:space="0" w:color="D3D3D3"/>
            </w:tcBorders>
          </w:tcPr>
          <w:p w14:paraId="7622D6CE" w14:textId="77777777" w:rsidR="00664DF3" w:rsidRDefault="007218EF">
            <w:pPr>
              <w:keepNext/>
              <w:spacing w:after="60"/>
              <w:jc w:val="right"/>
            </w:pPr>
            <w:r>
              <w:rPr>
                <w:rFonts w:ascii="Calibri" w:hAnsi="Calibri"/>
                <w:sz w:val="20"/>
              </w:rPr>
              <w:t>3,061.8</w:t>
            </w:r>
          </w:p>
        </w:tc>
        <w:tc>
          <w:tcPr>
            <w:tcW w:w="1337" w:type="dxa"/>
            <w:tcBorders>
              <w:top w:val="single" w:sz="6" w:space="0" w:color="D3D3D3"/>
              <w:left w:val="single" w:sz="6" w:space="0" w:color="D3D3D3"/>
              <w:bottom w:val="single" w:sz="6" w:space="0" w:color="D3D3D3"/>
              <w:right w:val="single" w:sz="6" w:space="0" w:color="D3D3D3"/>
            </w:tcBorders>
          </w:tcPr>
          <w:p w14:paraId="31978EF4" w14:textId="77777777" w:rsidR="00664DF3" w:rsidRDefault="007218EF">
            <w:pPr>
              <w:keepNext/>
              <w:spacing w:after="60"/>
              <w:jc w:val="right"/>
            </w:pPr>
            <w:r>
              <w:rPr>
                <w:rFonts w:ascii="Calibri" w:hAnsi="Calibri"/>
                <w:sz w:val="20"/>
              </w:rPr>
              <w:t>2,656.8</w:t>
            </w:r>
          </w:p>
        </w:tc>
        <w:tc>
          <w:tcPr>
            <w:tcW w:w="1337" w:type="dxa"/>
            <w:tcBorders>
              <w:top w:val="single" w:sz="6" w:space="0" w:color="D3D3D3"/>
              <w:left w:val="single" w:sz="6" w:space="0" w:color="D3D3D3"/>
              <w:bottom w:val="single" w:sz="6" w:space="0" w:color="D3D3D3"/>
              <w:right w:val="single" w:sz="6" w:space="0" w:color="D3D3D3"/>
            </w:tcBorders>
          </w:tcPr>
          <w:p w14:paraId="1E53F2B2" w14:textId="77777777" w:rsidR="00664DF3" w:rsidRDefault="007218EF">
            <w:pPr>
              <w:keepNext/>
              <w:spacing w:after="60"/>
              <w:jc w:val="right"/>
            </w:pPr>
            <w:r>
              <w:rPr>
                <w:rFonts w:ascii="Calibri" w:hAnsi="Calibri"/>
                <w:sz w:val="20"/>
              </w:rPr>
              <w:t>5.1</w:t>
            </w:r>
          </w:p>
        </w:tc>
        <w:tc>
          <w:tcPr>
            <w:tcW w:w="1337" w:type="dxa"/>
            <w:tcBorders>
              <w:top w:val="single" w:sz="6" w:space="0" w:color="D3D3D3"/>
              <w:left w:val="single" w:sz="6" w:space="0" w:color="D3D3D3"/>
              <w:bottom w:val="single" w:sz="6" w:space="0" w:color="D3D3D3"/>
              <w:right w:val="single" w:sz="6" w:space="0" w:color="D3D3D3"/>
            </w:tcBorders>
          </w:tcPr>
          <w:p w14:paraId="15925828" w14:textId="77777777" w:rsidR="00664DF3" w:rsidRDefault="007218EF">
            <w:pPr>
              <w:keepNext/>
              <w:spacing w:after="60"/>
              <w:jc w:val="right"/>
            </w:pPr>
            <w:r>
              <w:rPr>
                <w:rFonts w:ascii="Calibri" w:hAnsi="Calibri"/>
                <w:sz w:val="20"/>
              </w:rPr>
              <w:t>7.9</w:t>
            </w:r>
          </w:p>
        </w:tc>
        <w:tc>
          <w:tcPr>
            <w:tcW w:w="1338" w:type="dxa"/>
            <w:tcBorders>
              <w:top w:val="single" w:sz="6" w:space="0" w:color="D3D3D3"/>
              <w:left w:val="single" w:sz="6" w:space="0" w:color="D3D3D3"/>
              <w:bottom w:val="single" w:sz="6" w:space="0" w:color="D3D3D3"/>
              <w:right w:val="single" w:sz="6" w:space="0" w:color="D3D3D3"/>
            </w:tcBorders>
          </w:tcPr>
          <w:p w14:paraId="2A4CA091" w14:textId="77777777" w:rsidR="00664DF3" w:rsidRDefault="007218EF">
            <w:pPr>
              <w:keepNext/>
              <w:spacing w:after="60"/>
              <w:jc w:val="right"/>
            </w:pPr>
            <w:r>
              <w:rPr>
                <w:rFonts w:ascii="Calibri" w:hAnsi="Calibri"/>
                <w:sz w:val="20"/>
              </w:rPr>
              <w:t>3.6</w:t>
            </w:r>
          </w:p>
        </w:tc>
      </w:tr>
      <w:tr w:rsidR="00664DF3" w14:paraId="75EBA37D" w14:textId="77777777">
        <w:trPr>
          <w:cantSplit/>
          <w:jc w:val="center"/>
        </w:trPr>
        <w:tc>
          <w:tcPr>
            <w:tcW w:w="1337" w:type="dxa"/>
            <w:tcBorders>
              <w:top w:val="single" w:sz="6" w:space="0" w:color="D3D3D3"/>
              <w:left w:val="single" w:sz="6" w:space="0" w:color="D3D3D3"/>
              <w:bottom w:val="single" w:sz="6" w:space="0" w:color="D3D3D3"/>
              <w:right w:val="single" w:sz="6" w:space="0" w:color="D3D3D3"/>
            </w:tcBorders>
          </w:tcPr>
          <w:p w14:paraId="405F6439" w14:textId="77777777" w:rsidR="00664DF3" w:rsidRDefault="007218EF">
            <w:pPr>
              <w:keepNext/>
              <w:spacing w:after="60"/>
            </w:pPr>
            <w:r>
              <w:rPr>
                <w:rFonts w:ascii="Calibri" w:hAnsi="Calibri"/>
                <w:sz w:val="20"/>
              </w:rPr>
              <w:t>No bioeconomía</w:t>
            </w:r>
          </w:p>
        </w:tc>
        <w:tc>
          <w:tcPr>
            <w:tcW w:w="1337" w:type="dxa"/>
            <w:tcBorders>
              <w:top w:val="single" w:sz="6" w:space="0" w:color="D3D3D3"/>
              <w:left w:val="single" w:sz="6" w:space="0" w:color="D3D3D3"/>
              <w:bottom w:val="single" w:sz="6" w:space="0" w:color="D3D3D3"/>
              <w:right w:val="single" w:sz="6" w:space="0" w:color="D3D3D3"/>
            </w:tcBorders>
          </w:tcPr>
          <w:p w14:paraId="2694A418" w14:textId="77777777" w:rsidR="00664DF3" w:rsidRDefault="007218EF">
            <w:pPr>
              <w:keepNext/>
              <w:spacing w:after="60"/>
              <w:jc w:val="right"/>
            </w:pPr>
            <w:r>
              <w:rPr>
                <w:rFonts w:ascii="Calibri" w:hAnsi="Calibri"/>
                <w:sz w:val="20"/>
              </w:rPr>
              <w:t>97,626.1</w:t>
            </w:r>
          </w:p>
        </w:tc>
        <w:tc>
          <w:tcPr>
            <w:tcW w:w="1337" w:type="dxa"/>
            <w:tcBorders>
              <w:top w:val="single" w:sz="6" w:space="0" w:color="D3D3D3"/>
              <w:left w:val="single" w:sz="6" w:space="0" w:color="D3D3D3"/>
              <w:bottom w:val="single" w:sz="6" w:space="0" w:color="D3D3D3"/>
              <w:right w:val="single" w:sz="6" w:space="0" w:color="D3D3D3"/>
            </w:tcBorders>
          </w:tcPr>
          <w:p w14:paraId="2F67E7D7" w14:textId="77777777" w:rsidR="00664DF3" w:rsidRDefault="007218EF">
            <w:pPr>
              <w:keepNext/>
              <w:spacing w:after="60"/>
              <w:jc w:val="right"/>
            </w:pPr>
            <w:r>
              <w:rPr>
                <w:rFonts w:ascii="Calibri" w:hAnsi="Calibri"/>
                <w:sz w:val="20"/>
              </w:rPr>
              <w:t>29,903.1</w:t>
            </w:r>
          </w:p>
        </w:tc>
        <w:tc>
          <w:tcPr>
            <w:tcW w:w="1337" w:type="dxa"/>
            <w:tcBorders>
              <w:top w:val="single" w:sz="6" w:space="0" w:color="D3D3D3"/>
              <w:left w:val="single" w:sz="6" w:space="0" w:color="D3D3D3"/>
              <w:bottom w:val="single" w:sz="6" w:space="0" w:color="D3D3D3"/>
              <w:right w:val="single" w:sz="6" w:space="0" w:color="D3D3D3"/>
            </w:tcBorders>
          </w:tcPr>
          <w:p w14:paraId="4035E2A5" w14:textId="77777777" w:rsidR="00664DF3" w:rsidRDefault="007218EF">
            <w:pPr>
              <w:keepNext/>
              <w:spacing w:after="60"/>
              <w:jc w:val="right"/>
            </w:pPr>
            <w:r>
              <w:rPr>
                <w:rFonts w:ascii="Calibri" w:hAnsi="Calibri"/>
                <w:sz w:val="20"/>
              </w:rPr>
              <w:t>67,722.9</w:t>
            </w:r>
          </w:p>
        </w:tc>
        <w:tc>
          <w:tcPr>
            <w:tcW w:w="1337" w:type="dxa"/>
            <w:tcBorders>
              <w:top w:val="single" w:sz="6" w:space="0" w:color="D3D3D3"/>
              <w:left w:val="single" w:sz="6" w:space="0" w:color="D3D3D3"/>
              <w:bottom w:val="single" w:sz="6" w:space="0" w:color="D3D3D3"/>
              <w:right w:val="single" w:sz="6" w:space="0" w:color="D3D3D3"/>
            </w:tcBorders>
          </w:tcPr>
          <w:p w14:paraId="6E44AEFA" w14:textId="77777777" w:rsidR="00664DF3" w:rsidRDefault="007218EF">
            <w:pPr>
              <w:keepNext/>
              <w:spacing w:after="60"/>
              <w:jc w:val="right"/>
            </w:pPr>
            <w:r>
              <w:rPr>
                <w:rFonts w:ascii="Calibri" w:hAnsi="Calibri"/>
                <w:sz w:val="20"/>
              </w:rPr>
              <w:t>86.5</w:t>
            </w:r>
          </w:p>
        </w:tc>
        <w:tc>
          <w:tcPr>
            <w:tcW w:w="1337" w:type="dxa"/>
            <w:tcBorders>
              <w:top w:val="single" w:sz="6" w:space="0" w:color="D3D3D3"/>
              <w:left w:val="single" w:sz="6" w:space="0" w:color="D3D3D3"/>
              <w:bottom w:val="single" w:sz="6" w:space="0" w:color="D3D3D3"/>
              <w:right w:val="single" w:sz="6" w:space="0" w:color="D3D3D3"/>
            </w:tcBorders>
          </w:tcPr>
          <w:p w14:paraId="5BF9A142" w14:textId="77777777" w:rsidR="00664DF3" w:rsidRDefault="007218EF">
            <w:pPr>
              <w:keepNext/>
              <w:spacing w:after="60"/>
              <w:jc w:val="right"/>
            </w:pPr>
            <w:r>
              <w:rPr>
                <w:rFonts w:ascii="Calibri" w:hAnsi="Calibri"/>
                <w:sz w:val="20"/>
              </w:rPr>
              <w:t>77.3</w:t>
            </w:r>
          </w:p>
        </w:tc>
        <w:tc>
          <w:tcPr>
            <w:tcW w:w="1338" w:type="dxa"/>
            <w:tcBorders>
              <w:top w:val="single" w:sz="6" w:space="0" w:color="D3D3D3"/>
              <w:left w:val="single" w:sz="6" w:space="0" w:color="D3D3D3"/>
              <w:bottom w:val="single" w:sz="6" w:space="0" w:color="D3D3D3"/>
              <w:right w:val="single" w:sz="6" w:space="0" w:color="D3D3D3"/>
            </w:tcBorders>
          </w:tcPr>
          <w:p w14:paraId="12AC454F" w14:textId="77777777" w:rsidR="00664DF3" w:rsidRDefault="007218EF">
            <w:pPr>
              <w:keepNext/>
              <w:spacing w:after="60"/>
              <w:jc w:val="right"/>
            </w:pPr>
            <w:r>
              <w:rPr>
                <w:rFonts w:ascii="Calibri" w:hAnsi="Calibri"/>
                <w:sz w:val="20"/>
              </w:rPr>
              <w:t>91.3</w:t>
            </w:r>
          </w:p>
        </w:tc>
      </w:tr>
      <w:tr w:rsidR="00664DF3" w14:paraId="1B8CFA59" w14:textId="77777777">
        <w:trPr>
          <w:cantSplit/>
          <w:jc w:val="center"/>
        </w:trPr>
        <w:tc>
          <w:tcPr>
            <w:tcW w:w="1337" w:type="dxa"/>
            <w:tcBorders>
              <w:top w:val="single" w:sz="6" w:space="0" w:color="D3D3D3"/>
              <w:left w:val="single" w:sz="6" w:space="0" w:color="D3D3D3"/>
              <w:bottom w:val="single" w:sz="6" w:space="0" w:color="D3D3D3"/>
              <w:right w:val="single" w:sz="6" w:space="0" w:color="D3D3D3"/>
            </w:tcBorders>
          </w:tcPr>
          <w:p w14:paraId="6BEBF0A9" w14:textId="77777777" w:rsidR="00664DF3" w:rsidRDefault="007218EF">
            <w:pPr>
              <w:keepNext/>
              <w:spacing w:after="60"/>
            </w:pPr>
            <w:r>
              <w:rPr>
                <w:rFonts w:ascii="Calibri" w:hAnsi="Calibri"/>
                <w:sz w:val="20"/>
              </w:rPr>
              <w:t>Total</w:t>
            </w:r>
          </w:p>
        </w:tc>
        <w:tc>
          <w:tcPr>
            <w:tcW w:w="1337" w:type="dxa"/>
            <w:tcBorders>
              <w:top w:val="single" w:sz="6" w:space="0" w:color="D3D3D3"/>
              <w:left w:val="single" w:sz="6" w:space="0" w:color="D3D3D3"/>
              <w:bottom w:val="single" w:sz="6" w:space="0" w:color="D3D3D3"/>
              <w:right w:val="single" w:sz="6" w:space="0" w:color="D3D3D3"/>
            </w:tcBorders>
          </w:tcPr>
          <w:p w14:paraId="557C8625" w14:textId="77777777" w:rsidR="00664DF3" w:rsidRDefault="007218EF">
            <w:pPr>
              <w:keepNext/>
              <w:spacing w:after="60"/>
              <w:jc w:val="right"/>
            </w:pPr>
            <w:r>
              <w:rPr>
                <w:rFonts w:ascii="Calibri" w:hAnsi="Calibri"/>
                <w:sz w:val="20"/>
              </w:rPr>
              <w:t>112,871.0</w:t>
            </w:r>
          </w:p>
        </w:tc>
        <w:tc>
          <w:tcPr>
            <w:tcW w:w="1337" w:type="dxa"/>
            <w:tcBorders>
              <w:top w:val="single" w:sz="6" w:space="0" w:color="D3D3D3"/>
              <w:left w:val="single" w:sz="6" w:space="0" w:color="D3D3D3"/>
              <w:bottom w:val="single" w:sz="6" w:space="0" w:color="D3D3D3"/>
              <w:right w:val="single" w:sz="6" w:space="0" w:color="D3D3D3"/>
            </w:tcBorders>
          </w:tcPr>
          <w:p w14:paraId="253311EF" w14:textId="77777777" w:rsidR="00664DF3" w:rsidRDefault="007218EF">
            <w:pPr>
              <w:keepNext/>
              <w:spacing w:after="60"/>
              <w:jc w:val="right"/>
            </w:pPr>
            <w:r>
              <w:rPr>
                <w:rFonts w:ascii="Calibri" w:hAnsi="Calibri"/>
                <w:sz w:val="20"/>
              </w:rPr>
              <w:t>38,698.1</w:t>
            </w:r>
          </w:p>
        </w:tc>
        <w:tc>
          <w:tcPr>
            <w:tcW w:w="1337" w:type="dxa"/>
            <w:tcBorders>
              <w:top w:val="single" w:sz="6" w:space="0" w:color="D3D3D3"/>
              <w:left w:val="single" w:sz="6" w:space="0" w:color="D3D3D3"/>
              <w:bottom w:val="single" w:sz="6" w:space="0" w:color="D3D3D3"/>
              <w:right w:val="single" w:sz="6" w:space="0" w:color="D3D3D3"/>
            </w:tcBorders>
          </w:tcPr>
          <w:p w14:paraId="3343C528" w14:textId="77777777" w:rsidR="00664DF3" w:rsidRDefault="007218EF">
            <w:pPr>
              <w:keepNext/>
              <w:spacing w:after="60"/>
              <w:jc w:val="right"/>
            </w:pPr>
            <w:r>
              <w:rPr>
                <w:rFonts w:ascii="Calibri" w:hAnsi="Calibri"/>
                <w:sz w:val="20"/>
              </w:rPr>
              <w:t>74,172.9</w:t>
            </w:r>
          </w:p>
        </w:tc>
        <w:tc>
          <w:tcPr>
            <w:tcW w:w="1337" w:type="dxa"/>
            <w:tcBorders>
              <w:top w:val="single" w:sz="6" w:space="0" w:color="D3D3D3"/>
              <w:left w:val="single" w:sz="6" w:space="0" w:color="D3D3D3"/>
              <w:bottom w:val="single" w:sz="6" w:space="0" w:color="D3D3D3"/>
              <w:right w:val="single" w:sz="6" w:space="0" w:color="D3D3D3"/>
            </w:tcBorders>
          </w:tcPr>
          <w:p w14:paraId="49EF665F" w14:textId="77777777" w:rsidR="00664DF3" w:rsidRDefault="007218EF">
            <w:pPr>
              <w:keepNext/>
              <w:spacing w:after="60"/>
              <w:jc w:val="right"/>
            </w:pPr>
            <w:r>
              <w:rPr>
                <w:rFonts w:ascii="Calibri" w:hAnsi="Calibri"/>
                <w:sz w:val="20"/>
              </w:rPr>
              <w:t>100.0</w:t>
            </w:r>
          </w:p>
        </w:tc>
        <w:tc>
          <w:tcPr>
            <w:tcW w:w="1337" w:type="dxa"/>
            <w:tcBorders>
              <w:top w:val="single" w:sz="6" w:space="0" w:color="D3D3D3"/>
              <w:left w:val="single" w:sz="6" w:space="0" w:color="D3D3D3"/>
              <w:bottom w:val="single" w:sz="6" w:space="0" w:color="D3D3D3"/>
              <w:right w:val="single" w:sz="6" w:space="0" w:color="D3D3D3"/>
            </w:tcBorders>
          </w:tcPr>
          <w:p w14:paraId="0037385C" w14:textId="77777777" w:rsidR="00664DF3" w:rsidRDefault="007218EF">
            <w:pPr>
              <w:keepNext/>
              <w:spacing w:after="60"/>
              <w:jc w:val="right"/>
            </w:pPr>
            <w:r>
              <w:rPr>
                <w:rFonts w:ascii="Calibri" w:hAnsi="Calibri"/>
                <w:sz w:val="20"/>
              </w:rPr>
              <w:t>100.0</w:t>
            </w:r>
          </w:p>
        </w:tc>
        <w:tc>
          <w:tcPr>
            <w:tcW w:w="1338" w:type="dxa"/>
            <w:tcBorders>
              <w:top w:val="single" w:sz="6" w:space="0" w:color="D3D3D3"/>
              <w:left w:val="single" w:sz="6" w:space="0" w:color="D3D3D3"/>
              <w:bottom w:val="single" w:sz="6" w:space="0" w:color="D3D3D3"/>
              <w:right w:val="single" w:sz="6" w:space="0" w:color="D3D3D3"/>
            </w:tcBorders>
          </w:tcPr>
          <w:p w14:paraId="6179DFD6" w14:textId="77777777" w:rsidR="00664DF3" w:rsidRDefault="007218EF">
            <w:pPr>
              <w:keepNext/>
              <w:spacing w:after="60"/>
              <w:jc w:val="right"/>
            </w:pPr>
            <w:r>
              <w:rPr>
                <w:rFonts w:ascii="Calibri" w:hAnsi="Calibri"/>
                <w:sz w:val="20"/>
              </w:rPr>
              <w:t>100.0</w:t>
            </w:r>
          </w:p>
        </w:tc>
      </w:tr>
      <w:tr w:rsidR="00664DF3" w14:paraId="1121B8DE" w14:textId="77777777">
        <w:trPr>
          <w:cantSplit/>
          <w:jc w:val="center"/>
        </w:trPr>
        <w:tc>
          <w:tcPr>
            <w:tcW w:w="9360" w:type="dxa"/>
            <w:gridSpan w:val="7"/>
          </w:tcPr>
          <w:p w14:paraId="0A6CF5E3" w14:textId="77777777" w:rsidR="00664DF3" w:rsidRDefault="007218EF">
            <w:pPr>
              <w:keepNext/>
              <w:spacing w:after="60"/>
            </w:pPr>
            <w:r>
              <w:rPr>
                <w:rFonts w:ascii="Calibri" w:hAnsi="Calibri"/>
                <w:sz w:val="20"/>
              </w:rPr>
              <w:t>Fuente: Elaboración propia con datos del INEC Panamá.</w:t>
            </w:r>
            <w:bookmarkStart w:id="22" w:name="tbl-vab"/>
            <w:bookmarkEnd w:id="22"/>
          </w:p>
        </w:tc>
      </w:tr>
    </w:tbl>
    <w:p w14:paraId="55BDE75A" w14:textId="77777777" w:rsidR="00664DF3" w:rsidRDefault="007218EF">
      <w:pPr>
        <w:pStyle w:val="BodyText"/>
      </w:pPr>
      <w:r>
        <w:t xml:space="preserve">Los resultados revelan que la bioeconomía directa contribuye con aproximadamente el 5% del VAB total de Panamá, mientras que la bioeconomía extendida aporta alrededor del 4% </w:t>
      </w:r>
      <w:r>
        <w:lastRenderedPageBreak/>
        <w:t>adicional. En conjunto, las actividades asociadas a la bioeconomía representan cerca del 9% del valor agregado bruto de la economía panameña. Si bien esta proporción es menor que la observada en economías con mayor peso relativo del sector primario, como Nicaragua o Honduras, donde supera el 25% (Vargas et al., 2023), refleja la estructura terciaria predominante de la economía de Panamá.</w:t>
      </w:r>
      <w:bookmarkEnd w:id="20"/>
    </w:p>
    <w:p w14:paraId="71614534" w14:textId="77777777" w:rsidR="00664DF3" w:rsidRDefault="007218EF">
      <w:pPr>
        <w:pStyle w:val="Heading3"/>
      </w:pPr>
      <w:bookmarkStart w:id="23" w:name="_Toc227259865"/>
      <w:r>
        <w:t>3.4 Composición bioeconómica de la producción y el consumo intermedio</w:t>
      </w:r>
      <w:bookmarkEnd w:id="23"/>
    </w:p>
    <w:p w14:paraId="3BA8D01B" w14:textId="77777777" w:rsidR="00664DF3" w:rsidRDefault="007218EF">
      <w:pPr>
        <w:pStyle w:val="FirstParagraph"/>
      </w:pPr>
      <w:r>
        <w:t xml:space="preserve">La </w:t>
      </w:r>
      <w:hyperlink w:anchor="fig-produccion">
        <w:r>
          <w:rPr>
            <w:rStyle w:val="Hyperlink"/>
          </w:rPr>
          <w:t>Figura 1</w:t>
        </w:r>
      </w:hyperlink>
      <w:r>
        <w:t xml:space="preserve"> muestra la composición bioeconómica de la producción bruta por sector de actividad económica para 2022. Este gráfico permite visualizar en qué medida cada sector depende de la producción de bienes de origen biológico.</w:t>
      </w:r>
    </w:p>
    <w:tbl>
      <w:tblPr>
        <w:tblStyle w:val="Table"/>
        <w:tblW w:w="5000" w:type="pct"/>
        <w:tblInd w:w="0" w:type="dxa"/>
        <w:tblLayout w:type="fixed"/>
        <w:tblLook w:val="0000" w:firstRow="0" w:lastRow="0" w:firstColumn="0" w:lastColumn="0" w:noHBand="0" w:noVBand="0"/>
      </w:tblPr>
      <w:tblGrid>
        <w:gridCol w:w="9360"/>
      </w:tblGrid>
      <w:tr w:rsidR="00664DF3" w14:paraId="52C89184" w14:textId="77777777" w:rsidTr="00664DF3">
        <w:tc>
          <w:tcPr>
            <w:tcW w:w="9360" w:type="dxa"/>
          </w:tcPr>
          <w:p w14:paraId="56446B28" w14:textId="77777777" w:rsidR="00664DF3" w:rsidRDefault="007218EF">
            <w:pPr>
              <w:pStyle w:val="Compact"/>
              <w:jc w:val="center"/>
              <w:rPr>
                <w:rFonts w:ascii="Aptos" w:eastAsia="Aptos" w:hAnsi="Aptos"/>
              </w:rPr>
            </w:pPr>
            <w:bookmarkStart w:id="24" w:name="fig-produccion"/>
            <w:r>
              <w:rPr>
                <w:rFonts w:eastAsia="Aptos"/>
                <w:noProof/>
              </w:rPr>
              <w:drawing>
                <wp:inline distT="0" distB="0" distL="0" distR="0" wp14:anchorId="2627518A" wp14:editId="4D6FCF22">
                  <wp:extent cx="5943600" cy="371475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5943600" cy="3714750"/>
                          </a:xfrm>
                          <a:prstGeom prst="rect">
                            <a:avLst/>
                          </a:prstGeom>
                          <a:noFill/>
                        </pic:spPr>
                      </pic:pic>
                    </a:graphicData>
                  </a:graphic>
                </wp:inline>
              </w:drawing>
            </w:r>
          </w:p>
          <w:p w14:paraId="19CFC516" w14:textId="77777777" w:rsidR="00664DF3" w:rsidRDefault="007218EF">
            <w:pPr>
              <w:pStyle w:val="ImageCaption"/>
              <w:spacing w:before="200"/>
              <w:rPr>
                <w:rFonts w:ascii="Aptos" w:eastAsia="Aptos" w:hAnsi="Aptos"/>
              </w:rPr>
            </w:pPr>
            <w:r>
              <w:rPr>
                <w:rFonts w:eastAsia="Aptos"/>
              </w:rPr>
              <w:t>Figura 1: Composición bioeconómica de la producción por sector, Panamá 2022</w:t>
            </w:r>
            <w:bookmarkEnd w:id="24"/>
          </w:p>
        </w:tc>
      </w:tr>
    </w:tbl>
    <w:p w14:paraId="73835B74" w14:textId="77777777" w:rsidR="00664DF3" w:rsidRDefault="007218EF">
      <w:pPr>
        <w:pStyle w:val="BodyText"/>
      </w:pPr>
      <w:r>
        <w:t>El sector agrícola (A) presenta la mayor proporción de producción bioeconómica, como cabría esperar dada la naturaleza de sus actividades. Las industrias manufactureras (C) muestran una composición mixta, con presencia de bioeconomía y bioeconomía extendida significativas, reflejando las cadenas de transformación de alimentos y otros productos de origen biológico. Los sectores de servicios presentan proporciones bajas de producción bioeconómica.</w:t>
      </w:r>
    </w:p>
    <w:p w14:paraId="11585D91" w14:textId="77777777" w:rsidR="00664DF3" w:rsidRDefault="007218EF">
      <w:pPr>
        <w:pStyle w:val="BodyText"/>
      </w:pPr>
      <w:r>
        <w:t xml:space="preserve">La </w:t>
      </w:r>
      <w:hyperlink w:anchor="fig-ci">
        <w:r>
          <w:rPr>
            <w:rStyle w:val="Hyperlink"/>
          </w:rPr>
          <w:t>Figura 2</w:t>
        </w:r>
      </w:hyperlink>
      <w:r>
        <w:t xml:space="preserve"> muestra una perspectiva complementaria desde el lado de la demanda de insumos. La composición bioeconómica del consumo intermedio revela qué sectores son los principales usuarios de materias primas e insumos de origen biológico.</w:t>
      </w:r>
    </w:p>
    <w:tbl>
      <w:tblPr>
        <w:tblStyle w:val="Table"/>
        <w:tblW w:w="5000" w:type="pct"/>
        <w:tblInd w:w="0" w:type="dxa"/>
        <w:tblLayout w:type="fixed"/>
        <w:tblLook w:val="0000" w:firstRow="0" w:lastRow="0" w:firstColumn="0" w:lastColumn="0" w:noHBand="0" w:noVBand="0"/>
      </w:tblPr>
      <w:tblGrid>
        <w:gridCol w:w="9360"/>
      </w:tblGrid>
      <w:tr w:rsidR="00664DF3" w14:paraId="588FE6AE" w14:textId="77777777" w:rsidTr="00664DF3">
        <w:tc>
          <w:tcPr>
            <w:tcW w:w="9360" w:type="dxa"/>
          </w:tcPr>
          <w:p w14:paraId="060A30DD" w14:textId="77777777" w:rsidR="00664DF3" w:rsidRDefault="007218EF">
            <w:pPr>
              <w:pStyle w:val="Compact"/>
              <w:jc w:val="center"/>
              <w:rPr>
                <w:rFonts w:ascii="Aptos" w:eastAsia="Aptos" w:hAnsi="Aptos"/>
              </w:rPr>
            </w:pPr>
            <w:bookmarkStart w:id="25" w:name="fig-ci"/>
            <w:r>
              <w:rPr>
                <w:rFonts w:eastAsia="Aptos"/>
                <w:noProof/>
              </w:rPr>
              <w:lastRenderedPageBreak/>
              <w:drawing>
                <wp:inline distT="0" distB="0" distL="0" distR="0" wp14:anchorId="556A2770" wp14:editId="6477D697">
                  <wp:extent cx="5943600" cy="3714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943600" cy="3714750"/>
                          </a:xfrm>
                          <a:prstGeom prst="rect">
                            <a:avLst/>
                          </a:prstGeom>
                          <a:noFill/>
                        </pic:spPr>
                      </pic:pic>
                    </a:graphicData>
                  </a:graphic>
                </wp:inline>
              </w:drawing>
            </w:r>
          </w:p>
          <w:p w14:paraId="50012FB4" w14:textId="77777777" w:rsidR="00664DF3" w:rsidRDefault="007218EF">
            <w:pPr>
              <w:pStyle w:val="ImageCaption"/>
              <w:spacing w:before="200"/>
              <w:rPr>
                <w:rFonts w:ascii="Aptos" w:eastAsia="Aptos" w:hAnsi="Aptos"/>
              </w:rPr>
            </w:pPr>
            <w:r>
              <w:rPr>
                <w:rFonts w:eastAsia="Aptos"/>
              </w:rPr>
              <w:t>Figura 2: Composición bioeconómica del consumo intermedio por sector, Panamá 2022</w:t>
            </w:r>
            <w:bookmarkStart w:id="26" w:name="Xfeaec2da999f0f975c02b1389a20ae3a7ed8c2e"/>
            <w:bookmarkEnd w:id="25"/>
            <w:bookmarkEnd w:id="26"/>
          </w:p>
        </w:tc>
      </w:tr>
    </w:tbl>
    <w:p w14:paraId="23917655" w14:textId="77777777" w:rsidR="00664DF3" w:rsidRDefault="007218EF">
      <w:pPr>
        <w:pStyle w:val="Heading3"/>
      </w:pPr>
      <w:bookmarkStart w:id="27" w:name="_Toc227259866"/>
      <w:r>
        <w:t>3.5 Importaciones bioeconómicas</w:t>
      </w:r>
      <w:bookmarkEnd w:id="27"/>
    </w:p>
    <w:p w14:paraId="1E755B8B" w14:textId="77777777" w:rsidR="00664DF3" w:rsidRDefault="007218EF">
      <w:pPr>
        <w:pStyle w:val="FirstParagraph"/>
      </w:pPr>
      <w:r>
        <w:t xml:space="preserve">El comercio exterior constituye un canal relevante de transmisión de la bioeconomía. La </w:t>
      </w:r>
      <w:hyperlink w:anchor="fig-importaciones">
        <w:r>
          <w:rPr>
            <w:rStyle w:val="Hyperlink"/>
          </w:rPr>
          <w:t>Figura 3</w:t>
        </w:r>
      </w:hyperlink>
      <w:r>
        <w:t xml:space="preserve"> presenta la composición bioeconómica de las importaciones de Panamá en 2022.</w:t>
      </w:r>
    </w:p>
    <w:tbl>
      <w:tblPr>
        <w:tblStyle w:val="Table"/>
        <w:tblW w:w="5000" w:type="pct"/>
        <w:tblInd w:w="0" w:type="dxa"/>
        <w:tblLayout w:type="fixed"/>
        <w:tblLook w:val="0000" w:firstRow="0" w:lastRow="0" w:firstColumn="0" w:lastColumn="0" w:noHBand="0" w:noVBand="0"/>
      </w:tblPr>
      <w:tblGrid>
        <w:gridCol w:w="9360"/>
      </w:tblGrid>
      <w:tr w:rsidR="00664DF3" w14:paraId="3126FF11" w14:textId="77777777" w:rsidTr="00664DF3">
        <w:tc>
          <w:tcPr>
            <w:tcW w:w="9360" w:type="dxa"/>
          </w:tcPr>
          <w:p w14:paraId="1745B3F9" w14:textId="77777777" w:rsidR="00664DF3" w:rsidRDefault="007218EF">
            <w:pPr>
              <w:pStyle w:val="Compact"/>
              <w:jc w:val="center"/>
              <w:rPr>
                <w:rFonts w:ascii="Aptos" w:eastAsia="Aptos" w:hAnsi="Aptos"/>
              </w:rPr>
            </w:pPr>
            <w:bookmarkStart w:id="28" w:name="fig-importaciones"/>
            <w:r>
              <w:rPr>
                <w:rFonts w:eastAsia="Aptos"/>
                <w:noProof/>
              </w:rPr>
              <w:lastRenderedPageBreak/>
              <w:drawing>
                <wp:inline distT="0" distB="0" distL="0" distR="0" wp14:anchorId="64705611" wp14:editId="44A2A3A4">
                  <wp:extent cx="5943600" cy="339598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5943600" cy="3395980"/>
                          </a:xfrm>
                          <a:prstGeom prst="rect">
                            <a:avLst/>
                          </a:prstGeom>
                          <a:noFill/>
                        </pic:spPr>
                      </pic:pic>
                    </a:graphicData>
                  </a:graphic>
                </wp:inline>
              </w:drawing>
            </w:r>
          </w:p>
          <w:p w14:paraId="68160E14" w14:textId="77777777" w:rsidR="00664DF3" w:rsidRDefault="007218EF">
            <w:pPr>
              <w:pStyle w:val="ImageCaption"/>
              <w:spacing w:before="200"/>
              <w:rPr>
                <w:rFonts w:ascii="Aptos" w:eastAsia="Aptos" w:hAnsi="Aptos"/>
              </w:rPr>
            </w:pPr>
            <w:r>
              <w:rPr>
                <w:rFonts w:eastAsia="Aptos"/>
              </w:rPr>
              <w:t>Figura 3: Composición bioeconómica de las importaciones, Panamá 2022 (millones de B/.)</w:t>
            </w:r>
            <w:bookmarkEnd w:id="28"/>
          </w:p>
        </w:tc>
      </w:tr>
    </w:tbl>
    <w:p w14:paraId="4013F4EF" w14:textId="77777777" w:rsidR="00664DF3" w:rsidRDefault="007218EF">
      <w:pPr>
        <w:pStyle w:val="BodyText"/>
      </w:pPr>
      <w:r>
        <w:t xml:space="preserve">Las importaciones de productos bioeconómicos y de bioeconomía extendida representan una proporción notable de las importaciones totales, lo que refleja la inserción de Panamá en cadenas globales de valor donde los insumos de origen biológico desempeñan un papel relevante. La bioeconomía extendida muestra un peso particularmente alto en las importaciones, reflejando la demanda de productos </w:t>
      </w:r>
      <w:proofErr w:type="spellStart"/>
      <w:r>
        <w:t>semi-procesados</w:t>
      </w:r>
      <w:proofErr w:type="spellEnd"/>
      <w:r>
        <w:t xml:space="preserve"> de origen biológico.</w:t>
      </w:r>
    </w:p>
    <w:p w14:paraId="58A852C8" w14:textId="77777777" w:rsidR="00664DF3" w:rsidRDefault="007218EF">
      <w:pPr>
        <w:pStyle w:val="Heading3"/>
      </w:pPr>
      <w:bookmarkStart w:id="29" w:name="X6d0bb544c54715903631b09bbb5dbbbaac37952"/>
      <w:bookmarkStart w:id="30" w:name="_Toc227259867"/>
      <w:r>
        <w:t>3.6 Impuestos netos sobre productos bioeconómicos</w:t>
      </w:r>
      <w:bookmarkEnd w:id="30"/>
    </w:p>
    <w:p w14:paraId="4C7CBA51" w14:textId="77777777" w:rsidR="00664DF3" w:rsidRDefault="007218EF">
      <w:pPr>
        <w:pStyle w:val="FirstParagraph"/>
      </w:pPr>
      <w:r>
        <w:t xml:space="preserve">La estructura tributaria aplicada a los productos también presenta diferencias según su clasificación bioeconómica. El </w:t>
      </w:r>
      <w:hyperlink w:anchor="tbl-impuestos">
        <w:r>
          <w:rPr>
            <w:rStyle w:val="Hyperlink"/>
          </w:rPr>
          <w:t>Tabla 4</w:t>
        </w:r>
      </w:hyperlink>
      <w:r>
        <w:t xml:space="preserve"> muestra los impuestos netos sobre productos (impuestos menos subvenciones) para cada categoría en 2022, junto con la tasa impositiva implícita, calculada como el cociente entre los impuestos netos y el valor de producción.</w:t>
      </w:r>
    </w:p>
    <w:tbl>
      <w:tblPr>
        <w:tblW w:w="5000" w:type="pct"/>
        <w:tblLayout w:type="fixed"/>
        <w:tblLook w:val="04A0" w:firstRow="1" w:lastRow="0" w:firstColumn="1" w:lastColumn="0" w:noHBand="0" w:noVBand="1"/>
      </w:tblPr>
      <w:tblGrid>
        <w:gridCol w:w="9360"/>
      </w:tblGrid>
      <w:tr w:rsidR="00664DF3" w14:paraId="126ED013" w14:textId="77777777">
        <w:tc>
          <w:tcPr>
            <w:tcW w:w="9360" w:type="dxa"/>
          </w:tcPr>
          <w:p w14:paraId="68049256" w14:textId="77777777" w:rsidR="00664DF3" w:rsidRDefault="007218EF" w:rsidP="007C7994">
            <w:pPr>
              <w:pStyle w:val="ImageCaption"/>
              <w:keepNext/>
              <w:spacing w:before="200"/>
            </w:pPr>
            <w:r>
              <w:lastRenderedPageBreak/>
              <w:t>Tabla 4: Impuestos netos y tasa impositiva implícita por categoría bioeconómica, Panamá 2022</w:t>
            </w:r>
          </w:p>
        </w:tc>
      </w:tr>
    </w:tbl>
    <w:p w14:paraId="403132C8" w14:textId="6D844CDD" w:rsidR="00664DF3" w:rsidRDefault="00664DF3">
      <w:pPr>
        <w:pStyle w:val="Caption"/>
        <w:keepNext/>
        <w:spacing w:after="60"/>
      </w:pPr>
    </w:p>
    <w:tbl>
      <w:tblPr>
        <w:tblW w:w="5000" w:type="pct"/>
        <w:jc w:val="center"/>
        <w:tblLayout w:type="fixed"/>
        <w:tblCellMar>
          <w:left w:w="60" w:type="dxa"/>
          <w:right w:w="60" w:type="dxa"/>
        </w:tblCellMar>
        <w:tblLook w:val="0000" w:firstRow="0" w:lastRow="0" w:firstColumn="0" w:lastColumn="0" w:noHBand="0" w:noVBand="0"/>
      </w:tblPr>
      <w:tblGrid>
        <w:gridCol w:w="2335"/>
        <w:gridCol w:w="2336"/>
        <w:gridCol w:w="2336"/>
        <w:gridCol w:w="2337"/>
      </w:tblGrid>
      <w:tr w:rsidR="00664DF3" w14:paraId="56089BD5" w14:textId="77777777">
        <w:trPr>
          <w:cantSplit/>
          <w:tblHeader/>
          <w:jc w:val="center"/>
        </w:trPr>
        <w:tc>
          <w:tcPr>
            <w:tcW w:w="2339" w:type="dxa"/>
            <w:tcBorders>
              <w:top w:val="single" w:sz="16" w:space="0" w:color="D3D3D3"/>
              <w:left w:val="single" w:sz="6" w:space="0" w:color="D3D3D3"/>
              <w:bottom w:val="single" w:sz="16" w:space="0" w:color="D3D3D3"/>
              <w:right w:val="single" w:sz="6" w:space="0" w:color="D3D3D3"/>
            </w:tcBorders>
          </w:tcPr>
          <w:p w14:paraId="3A76003E" w14:textId="77777777" w:rsidR="00664DF3" w:rsidRDefault="00664DF3">
            <w:pPr>
              <w:keepNext/>
              <w:spacing w:after="60"/>
            </w:pPr>
          </w:p>
        </w:tc>
        <w:tc>
          <w:tcPr>
            <w:tcW w:w="2340" w:type="dxa"/>
            <w:tcBorders>
              <w:top w:val="single" w:sz="16" w:space="0" w:color="D3D3D3"/>
              <w:left w:val="single" w:sz="6" w:space="0" w:color="D3D3D3"/>
              <w:bottom w:val="single" w:sz="16" w:space="0" w:color="D3D3D3"/>
            </w:tcBorders>
          </w:tcPr>
          <w:p w14:paraId="5BF41F57" w14:textId="77777777" w:rsidR="00664DF3" w:rsidRDefault="007218EF">
            <w:pPr>
              <w:keepNext/>
              <w:spacing w:after="60"/>
              <w:jc w:val="right"/>
            </w:pPr>
            <w:r>
              <w:rPr>
                <w:rFonts w:ascii="Calibri" w:hAnsi="Calibri"/>
                <w:sz w:val="20"/>
              </w:rPr>
              <w:t>Impuestos netos (</w:t>
            </w:r>
            <w:proofErr w:type="spellStart"/>
            <w:r>
              <w:rPr>
                <w:rFonts w:ascii="Calibri" w:hAnsi="Calibri"/>
                <w:sz w:val="20"/>
              </w:rPr>
              <w:t>mill</w:t>
            </w:r>
            <w:proofErr w:type="spellEnd"/>
            <w:r>
              <w:rPr>
                <w:rFonts w:ascii="Calibri" w:hAnsi="Calibri"/>
                <w:sz w:val="20"/>
              </w:rPr>
              <w:t>. B/.)</w:t>
            </w:r>
          </w:p>
        </w:tc>
        <w:tc>
          <w:tcPr>
            <w:tcW w:w="2340" w:type="dxa"/>
            <w:tcBorders>
              <w:top w:val="single" w:sz="16" w:space="0" w:color="D3D3D3"/>
              <w:bottom w:val="single" w:sz="16" w:space="0" w:color="D3D3D3"/>
            </w:tcBorders>
          </w:tcPr>
          <w:p w14:paraId="3F633E1F" w14:textId="77777777" w:rsidR="00664DF3" w:rsidRDefault="007218EF">
            <w:pPr>
              <w:keepNext/>
              <w:spacing w:after="60"/>
              <w:jc w:val="right"/>
            </w:pPr>
            <w:r>
              <w:rPr>
                <w:rFonts w:ascii="Calibri" w:hAnsi="Calibri"/>
                <w:sz w:val="20"/>
              </w:rPr>
              <w:t>Producción (</w:t>
            </w:r>
            <w:proofErr w:type="spellStart"/>
            <w:r>
              <w:rPr>
                <w:rFonts w:ascii="Calibri" w:hAnsi="Calibri"/>
                <w:sz w:val="20"/>
              </w:rPr>
              <w:t>mill</w:t>
            </w:r>
            <w:proofErr w:type="spellEnd"/>
            <w:r>
              <w:rPr>
                <w:rFonts w:ascii="Calibri" w:hAnsi="Calibri"/>
                <w:sz w:val="20"/>
              </w:rPr>
              <w:t>. B/.)</w:t>
            </w:r>
          </w:p>
        </w:tc>
        <w:tc>
          <w:tcPr>
            <w:tcW w:w="2341" w:type="dxa"/>
            <w:tcBorders>
              <w:top w:val="single" w:sz="16" w:space="0" w:color="D3D3D3"/>
              <w:bottom w:val="single" w:sz="16" w:space="0" w:color="D3D3D3"/>
              <w:right w:val="single" w:sz="6" w:space="0" w:color="D3D3D3"/>
            </w:tcBorders>
          </w:tcPr>
          <w:p w14:paraId="5D530C38" w14:textId="77777777" w:rsidR="00664DF3" w:rsidRDefault="007218EF">
            <w:pPr>
              <w:keepNext/>
              <w:spacing w:after="60"/>
              <w:jc w:val="right"/>
            </w:pPr>
            <w:r>
              <w:rPr>
                <w:rFonts w:ascii="Calibri" w:hAnsi="Calibri"/>
                <w:sz w:val="20"/>
              </w:rPr>
              <w:t>Tasa implícita (%)</w:t>
            </w:r>
          </w:p>
        </w:tc>
      </w:tr>
      <w:tr w:rsidR="00664DF3" w14:paraId="4848F675" w14:textId="77777777">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234F0BE7" w14:textId="77777777" w:rsidR="00664DF3" w:rsidRDefault="007218EF">
            <w:pPr>
              <w:keepNext/>
              <w:spacing w:after="60"/>
            </w:pPr>
            <w:r>
              <w:rPr>
                <w:rFonts w:ascii="Calibri" w:hAnsi="Calibri"/>
                <w:sz w:val="20"/>
              </w:rPr>
              <w:t>Bioeconomía</w:t>
            </w:r>
          </w:p>
        </w:tc>
        <w:tc>
          <w:tcPr>
            <w:tcW w:w="2340" w:type="dxa"/>
            <w:tcBorders>
              <w:top w:val="single" w:sz="6" w:space="0" w:color="D3D3D3"/>
              <w:left w:val="single" w:sz="6" w:space="0" w:color="D3D3D3"/>
              <w:bottom w:val="single" w:sz="6" w:space="0" w:color="D3D3D3"/>
              <w:right w:val="single" w:sz="6" w:space="0" w:color="D3D3D3"/>
            </w:tcBorders>
          </w:tcPr>
          <w:p w14:paraId="2A88685F" w14:textId="77777777" w:rsidR="00664DF3" w:rsidRDefault="007218EF">
            <w:pPr>
              <w:keepNext/>
              <w:spacing w:after="60"/>
              <w:jc w:val="right"/>
            </w:pPr>
            <w:r>
              <w:rPr>
                <w:rFonts w:ascii="Calibri" w:hAnsi="Calibri"/>
                <w:sz w:val="20"/>
              </w:rPr>
              <w:t>393.1</w:t>
            </w:r>
          </w:p>
        </w:tc>
        <w:tc>
          <w:tcPr>
            <w:tcW w:w="2340" w:type="dxa"/>
            <w:tcBorders>
              <w:top w:val="single" w:sz="6" w:space="0" w:color="D3D3D3"/>
              <w:left w:val="single" w:sz="6" w:space="0" w:color="D3D3D3"/>
              <w:bottom w:val="single" w:sz="6" w:space="0" w:color="D3D3D3"/>
              <w:right w:val="single" w:sz="6" w:space="0" w:color="D3D3D3"/>
            </w:tcBorders>
          </w:tcPr>
          <w:p w14:paraId="4E18DAFA" w14:textId="77777777" w:rsidR="00664DF3" w:rsidRDefault="007218EF">
            <w:pPr>
              <w:keepNext/>
              <w:spacing w:after="60"/>
              <w:jc w:val="right"/>
            </w:pPr>
            <w:r>
              <w:rPr>
                <w:rFonts w:ascii="Calibri" w:hAnsi="Calibri"/>
                <w:sz w:val="20"/>
              </w:rPr>
              <w:t>9,526.3</w:t>
            </w:r>
          </w:p>
        </w:tc>
        <w:tc>
          <w:tcPr>
            <w:tcW w:w="2341" w:type="dxa"/>
            <w:tcBorders>
              <w:top w:val="single" w:sz="6" w:space="0" w:color="D3D3D3"/>
              <w:left w:val="single" w:sz="6" w:space="0" w:color="D3D3D3"/>
              <w:bottom w:val="single" w:sz="6" w:space="0" w:color="D3D3D3"/>
              <w:right w:val="single" w:sz="6" w:space="0" w:color="D3D3D3"/>
            </w:tcBorders>
          </w:tcPr>
          <w:p w14:paraId="2A959A30" w14:textId="77777777" w:rsidR="00664DF3" w:rsidRDefault="007218EF">
            <w:pPr>
              <w:keepNext/>
              <w:spacing w:after="60"/>
              <w:jc w:val="right"/>
            </w:pPr>
            <w:r>
              <w:rPr>
                <w:rFonts w:ascii="Calibri" w:hAnsi="Calibri"/>
                <w:sz w:val="20"/>
              </w:rPr>
              <w:t>4.13</w:t>
            </w:r>
          </w:p>
        </w:tc>
      </w:tr>
      <w:tr w:rsidR="00664DF3" w14:paraId="53D6CB40" w14:textId="77777777">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3223CA3C" w14:textId="77777777" w:rsidR="00664DF3" w:rsidRDefault="007218EF">
            <w:pPr>
              <w:keepNext/>
              <w:spacing w:after="60"/>
            </w:pPr>
            <w:r>
              <w:rPr>
                <w:rFonts w:ascii="Calibri" w:hAnsi="Calibri"/>
                <w:sz w:val="20"/>
              </w:rPr>
              <w:t>Bioeconomía extendida</w:t>
            </w:r>
          </w:p>
        </w:tc>
        <w:tc>
          <w:tcPr>
            <w:tcW w:w="2340" w:type="dxa"/>
            <w:tcBorders>
              <w:top w:val="single" w:sz="6" w:space="0" w:color="D3D3D3"/>
              <w:left w:val="single" w:sz="6" w:space="0" w:color="D3D3D3"/>
              <w:bottom w:val="single" w:sz="6" w:space="0" w:color="D3D3D3"/>
              <w:right w:val="single" w:sz="6" w:space="0" w:color="D3D3D3"/>
            </w:tcBorders>
          </w:tcPr>
          <w:p w14:paraId="22123092" w14:textId="77777777" w:rsidR="00664DF3" w:rsidRDefault="007218EF">
            <w:pPr>
              <w:keepNext/>
              <w:spacing w:after="60"/>
              <w:jc w:val="right"/>
            </w:pPr>
            <w:r>
              <w:rPr>
                <w:rFonts w:ascii="Calibri" w:hAnsi="Calibri"/>
                <w:sz w:val="20"/>
              </w:rPr>
              <w:t>311.4</w:t>
            </w:r>
          </w:p>
        </w:tc>
        <w:tc>
          <w:tcPr>
            <w:tcW w:w="2340" w:type="dxa"/>
            <w:tcBorders>
              <w:top w:val="single" w:sz="6" w:space="0" w:color="D3D3D3"/>
              <w:left w:val="single" w:sz="6" w:space="0" w:color="D3D3D3"/>
              <w:bottom w:val="single" w:sz="6" w:space="0" w:color="D3D3D3"/>
              <w:right w:val="single" w:sz="6" w:space="0" w:color="D3D3D3"/>
            </w:tcBorders>
          </w:tcPr>
          <w:p w14:paraId="2EDE2389" w14:textId="77777777" w:rsidR="00664DF3" w:rsidRDefault="007218EF">
            <w:pPr>
              <w:keepNext/>
              <w:spacing w:after="60"/>
              <w:jc w:val="right"/>
            </w:pPr>
            <w:r>
              <w:rPr>
                <w:rFonts w:ascii="Calibri" w:hAnsi="Calibri"/>
                <w:sz w:val="20"/>
              </w:rPr>
              <w:t>5,718.6</w:t>
            </w:r>
          </w:p>
        </w:tc>
        <w:tc>
          <w:tcPr>
            <w:tcW w:w="2341" w:type="dxa"/>
            <w:tcBorders>
              <w:top w:val="single" w:sz="6" w:space="0" w:color="D3D3D3"/>
              <w:left w:val="single" w:sz="6" w:space="0" w:color="D3D3D3"/>
              <w:bottom w:val="single" w:sz="6" w:space="0" w:color="D3D3D3"/>
              <w:right w:val="single" w:sz="6" w:space="0" w:color="D3D3D3"/>
            </w:tcBorders>
          </w:tcPr>
          <w:p w14:paraId="1B061816" w14:textId="77777777" w:rsidR="00664DF3" w:rsidRDefault="007218EF">
            <w:pPr>
              <w:keepNext/>
              <w:spacing w:after="60"/>
              <w:jc w:val="right"/>
            </w:pPr>
            <w:r>
              <w:rPr>
                <w:rFonts w:ascii="Calibri" w:hAnsi="Calibri"/>
                <w:sz w:val="20"/>
              </w:rPr>
              <w:t>5.45</w:t>
            </w:r>
          </w:p>
        </w:tc>
      </w:tr>
      <w:tr w:rsidR="00664DF3" w14:paraId="6D2B5849" w14:textId="77777777">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7240261F" w14:textId="77777777" w:rsidR="00664DF3" w:rsidRDefault="007218EF">
            <w:pPr>
              <w:keepNext/>
              <w:spacing w:after="60"/>
            </w:pPr>
            <w:r>
              <w:rPr>
                <w:rFonts w:ascii="Calibri" w:hAnsi="Calibri"/>
                <w:sz w:val="20"/>
              </w:rPr>
              <w:t>No bioeconomía</w:t>
            </w:r>
          </w:p>
        </w:tc>
        <w:tc>
          <w:tcPr>
            <w:tcW w:w="2340" w:type="dxa"/>
            <w:tcBorders>
              <w:top w:val="single" w:sz="6" w:space="0" w:color="D3D3D3"/>
              <w:left w:val="single" w:sz="6" w:space="0" w:color="D3D3D3"/>
              <w:bottom w:val="single" w:sz="6" w:space="0" w:color="D3D3D3"/>
              <w:right w:val="single" w:sz="6" w:space="0" w:color="D3D3D3"/>
            </w:tcBorders>
          </w:tcPr>
          <w:p w14:paraId="2203653B" w14:textId="77777777" w:rsidR="00664DF3" w:rsidRDefault="007218EF">
            <w:pPr>
              <w:keepNext/>
              <w:spacing w:after="60"/>
              <w:jc w:val="right"/>
            </w:pPr>
            <w:r>
              <w:rPr>
                <w:rFonts w:ascii="Calibri" w:hAnsi="Calibri"/>
                <w:sz w:val="20"/>
              </w:rPr>
              <w:t>1,843.5</w:t>
            </w:r>
          </w:p>
        </w:tc>
        <w:tc>
          <w:tcPr>
            <w:tcW w:w="2340" w:type="dxa"/>
            <w:tcBorders>
              <w:top w:val="single" w:sz="6" w:space="0" w:color="D3D3D3"/>
              <w:left w:val="single" w:sz="6" w:space="0" w:color="D3D3D3"/>
              <w:bottom w:val="single" w:sz="6" w:space="0" w:color="D3D3D3"/>
              <w:right w:val="single" w:sz="6" w:space="0" w:color="D3D3D3"/>
            </w:tcBorders>
          </w:tcPr>
          <w:p w14:paraId="774F468C" w14:textId="77777777" w:rsidR="00664DF3" w:rsidRDefault="007218EF">
            <w:pPr>
              <w:keepNext/>
              <w:spacing w:after="60"/>
              <w:jc w:val="right"/>
            </w:pPr>
            <w:r>
              <w:rPr>
                <w:rFonts w:ascii="Calibri" w:hAnsi="Calibri"/>
                <w:sz w:val="20"/>
              </w:rPr>
              <w:t>97,626.1</w:t>
            </w:r>
          </w:p>
        </w:tc>
        <w:tc>
          <w:tcPr>
            <w:tcW w:w="2341" w:type="dxa"/>
            <w:tcBorders>
              <w:top w:val="single" w:sz="6" w:space="0" w:color="D3D3D3"/>
              <w:left w:val="single" w:sz="6" w:space="0" w:color="D3D3D3"/>
              <w:bottom w:val="single" w:sz="6" w:space="0" w:color="D3D3D3"/>
              <w:right w:val="single" w:sz="6" w:space="0" w:color="D3D3D3"/>
            </w:tcBorders>
          </w:tcPr>
          <w:p w14:paraId="375258F4" w14:textId="77777777" w:rsidR="00664DF3" w:rsidRDefault="007218EF">
            <w:pPr>
              <w:keepNext/>
              <w:spacing w:after="60"/>
              <w:jc w:val="right"/>
            </w:pPr>
            <w:r>
              <w:rPr>
                <w:rFonts w:ascii="Calibri" w:hAnsi="Calibri"/>
                <w:sz w:val="20"/>
              </w:rPr>
              <w:t>1.89</w:t>
            </w:r>
          </w:p>
        </w:tc>
      </w:tr>
      <w:tr w:rsidR="00664DF3" w14:paraId="05B78A02" w14:textId="77777777">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32E6EBF2" w14:textId="77777777" w:rsidR="00664DF3" w:rsidRDefault="007218EF">
            <w:pPr>
              <w:keepNext/>
              <w:spacing w:after="60"/>
            </w:pPr>
            <w:r>
              <w:rPr>
                <w:rFonts w:ascii="Calibri" w:hAnsi="Calibri"/>
                <w:sz w:val="20"/>
              </w:rPr>
              <w:t>Total</w:t>
            </w:r>
          </w:p>
        </w:tc>
        <w:tc>
          <w:tcPr>
            <w:tcW w:w="2340" w:type="dxa"/>
            <w:tcBorders>
              <w:top w:val="single" w:sz="6" w:space="0" w:color="D3D3D3"/>
              <w:left w:val="single" w:sz="6" w:space="0" w:color="D3D3D3"/>
              <w:bottom w:val="single" w:sz="6" w:space="0" w:color="D3D3D3"/>
              <w:right w:val="single" w:sz="6" w:space="0" w:color="D3D3D3"/>
            </w:tcBorders>
          </w:tcPr>
          <w:p w14:paraId="5FF66D77" w14:textId="77777777" w:rsidR="00664DF3" w:rsidRDefault="007218EF">
            <w:pPr>
              <w:keepNext/>
              <w:spacing w:after="60"/>
              <w:jc w:val="right"/>
            </w:pPr>
            <w:r>
              <w:rPr>
                <w:rFonts w:ascii="Calibri" w:hAnsi="Calibri"/>
                <w:sz w:val="20"/>
              </w:rPr>
              <w:t>2,548.0</w:t>
            </w:r>
          </w:p>
        </w:tc>
        <w:tc>
          <w:tcPr>
            <w:tcW w:w="2340" w:type="dxa"/>
            <w:tcBorders>
              <w:top w:val="single" w:sz="6" w:space="0" w:color="D3D3D3"/>
              <w:left w:val="single" w:sz="6" w:space="0" w:color="D3D3D3"/>
              <w:bottom w:val="single" w:sz="6" w:space="0" w:color="D3D3D3"/>
              <w:right w:val="single" w:sz="6" w:space="0" w:color="D3D3D3"/>
            </w:tcBorders>
          </w:tcPr>
          <w:p w14:paraId="0BD2642C" w14:textId="77777777" w:rsidR="00664DF3" w:rsidRDefault="007218EF">
            <w:pPr>
              <w:keepNext/>
              <w:spacing w:after="60"/>
              <w:jc w:val="right"/>
            </w:pPr>
            <w:r>
              <w:rPr>
                <w:rFonts w:ascii="Calibri" w:hAnsi="Calibri"/>
                <w:sz w:val="20"/>
              </w:rPr>
              <w:t>112,871.0</w:t>
            </w:r>
          </w:p>
        </w:tc>
        <w:tc>
          <w:tcPr>
            <w:tcW w:w="2341" w:type="dxa"/>
            <w:tcBorders>
              <w:top w:val="single" w:sz="6" w:space="0" w:color="D3D3D3"/>
              <w:left w:val="single" w:sz="6" w:space="0" w:color="D3D3D3"/>
              <w:bottom w:val="single" w:sz="6" w:space="0" w:color="D3D3D3"/>
              <w:right w:val="single" w:sz="6" w:space="0" w:color="D3D3D3"/>
            </w:tcBorders>
          </w:tcPr>
          <w:p w14:paraId="21599BB7" w14:textId="77777777" w:rsidR="00664DF3" w:rsidRDefault="007218EF">
            <w:pPr>
              <w:keepNext/>
              <w:spacing w:after="60"/>
              <w:jc w:val="right"/>
            </w:pPr>
            <w:r>
              <w:rPr>
                <w:rFonts w:ascii="Calibri" w:hAnsi="Calibri"/>
                <w:sz w:val="20"/>
              </w:rPr>
              <w:t>2.26</w:t>
            </w:r>
          </w:p>
        </w:tc>
      </w:tr>
      <w:tr w:rsidR="00664DF3" w14:paraId="52DBDEC4" w14:textId="77777777">
        <w:trPr>
          <w:cantSplit/>
          <w:jc w:val="center"/>
        </w:trPr>
        <w:tc>
          <w:tcPr>
            <w:tcW w:w="9360" w:type="dxa"/>
            <w:gridSpan w:val="4"/>
          </w:tcPr>
          <w:p w14:paraId="6D362FFD" w14:textId="77777777" w:rsidR="00664DF3" w:rsidRDefault="007218EF">
            <w:pPr>
              <w:keepNext/>
              <w:spacing w:after="60"/>
            </w:pPr>
            <w:r>
              <w:rPr>
                <w:rFonts w:ascii="Calibri" w:hAnsi="Calibri"/>
                <w:sz w:val="20"/>
              </w:rPr>
              <w:t>Fuente: Elaboración propia con datos del INEC Panamá.</w:t>
            </w:r>
            <w:bookmarkStart w:id="31" w:name="tbl-impuestos"/>
            <w:bookmarkEnd w:id="31"/>
          </w:p>
        </w:tc>
      </w:tr>
    </w:tbl>
    <w:p w14:paraId="57FDE7BC" w14:textId="77777777" w:rsidR="00664DF3" w:rsidRDefault="007218EF">
      <w:pPr>
        <w:pStyle w:val="BodyText"/>
      </w:pPr>
      <w:r>
        <w:t>La tasa impositiva implícita permite comparar la carga tributaria relativa entre categorías bioeconómicas. Las diferencias observadas reflejan tanto la estructura de impuestos sobre productos específicos como las exenciones o tratamientos fiscales diferenciados que puedan existir para determinados bienes de origen biológico.</w:t>
      </w:r>
      <w:bookmarkEnd w:id="29"/>
    </w:p>
    <w:p w14:paraId="42AFEBAB" w14:textId="77777777" w:rsidR="00664DF3" w:rsidRDefault="007218EF">
      <w:pPr>
        <w:pStyle w:val="Heading3"/>
      </w:pPr>
      <w:bookmarkStart w:id="32" w:name="_Toc227259868"/>
      <w:r>
        <w:t>3.7 Evolución temporal 2018–2022</w:t>
      </w:r>
      <w:bookmarkEnd w:id="32"/>
    </w:p>
    <w:p w14:paraId="71F0C6D3" w14:textId="77777777" w:rsidR="00664DF3" w:rsidRDefault="007218EF">
      <w:pPr>
        <w:pStyle w:val="FirstParagraph"/>
      </w:pPr>
      <w:r>
        <w:t xml:space="preserve">La disponibilidad de datos para cinco años consecutivos permite analizar la dinámica de la bioeconomía panameña en el tiempo, período que incluye el impacto de la pandemia de COVID-19 en 2020 y la posterior recuperación económica. El </w:t>
      </w:r>
      <w:hyperlink w:anchor="tbl-temporal">
        <w:r>
          <w:rPr>
            <w:rStyle w:val="Hyperlink"/>
          </w:rPr>
          <w:t>Tabla 5</w:t>
        </w:r>
      </w:hyperlink>
      <w:r>
        <w:t xml:space="preserve"> presenta la evolución de la participación de cada categoría bioeconómica en la producción total, el consumo intermedio y el valor agregado bruto.</w:t>
      </w:r>
    </w:p>
    <w:tbl>
      <w:tblPr>
        <w:tblW w:w="5000" w:type="pct"/>
        <w:tblLayout w:type="fixed"/>
        <w:tblLook w:val="04A0" w:firstRow="1" w:lastRow="0" w:firstColumn="1" w:lastColumn="0" w:noHBand="0" w:noVBand="1"/>
      </w:tblPr>
      <w:tblGrid>
        <w:gridCol w:w="9360"/>
      </w:tblGrid>
      <w:tr w:rsidR="00664DF3" w14:paraId="0B166A7C" w14:textId="77777777">
        <w:tc>
          <w:tcPr>
            <w:tcW w:w="9360" w:type="dxa"/>
          </w:tcPr>
          <w:p w14:paraId="3D088656" w14:textId="77777777" w:rsidR="00664DF3" w:rsidRDefault="007218EF" w:rsidP="007C7994">
            <w:pPr>
              <w:pStyle w:val="ImageCaption"/>
              <w:keepNext/>
              <w:spacing w:before="200"/>
            </w:pPr>
            <w:r>
              <w:lastRenderedPageBreak/>
              <w:t>Tabla 5: Participación porcentual de la bioeconomía en agregados macroeconómicos, Panamá 2018–2022</w:t>
            </w:r>
          </w:p>
        </w:tc>
      </w:tr>
    </w:tbl>
    <w:p w14:paraId="75FFD755" w14:textId="323B7453" w:rsidR="00664DF3" w:rsidRDefault="00664DF3">
      <w:pPr>
        <w:pStyle w:val="Caption"/>
        <w:keepNext/>
        <w:spacing w:after="60"/>
      </w:pPr>
    </w:p>
    <w:tbl>
      <w:tblPr>
        <w:tblW w:w="5000" w:type="pct"/>
        <w:jc w:val="center"/>
        <w:tblLayout w:type="fixed"/>
        <w:tblCellMar>
          <w:left w:w="60" w:type="dxa"/>
          <w:right w:w="60" w:type="dxa"/>
        </w:tblCellMar>
        <w:tblLook w:val="0000" w:firstRow="0" w:lastRow="0" w:firstColumn="0" w:lastColumn="0" w:noHBand="0" w:noVBand="0"/>
      </w:tblPr>
      <w:tblGrid>
        <w:gridCol w:w="1557"/>
        <w:gridCol w:w="1558"/>
        <w:gridCol w:w="1557"/>
        <w:gridCol w:w="1557"/>
        <w:gridCol w:w="1557"/>
        <w:gridCol w:w="1558"/>
      </w:tblGrid>
      <w:tr w:rsidR="00664DF3" w14:paraId="22EAC0AD" w14:textId="77777777">
        <w:trPr>
          <w:cantSplit/>
          <w:tblHeader/>
          <w:jc w:val="center"/>
        </w:trPr>
        <w:tc>
          <w:tcPr>
            <w:tcW w:w="1559" w:type="dxa"/>
            <w:tcBorders>
              <w:top w:val="single" w:sz="16" w:space="0" w:color="D3D3D3"/>
              <w:left w:val="single" w:sz="6" w:space="0" w:color="D3D3D3"/>
              <w:bottom w:val="single" w:sz="16" w:space="0" w:color="D3D3D3"/>
              <w:right w:val="single" w:sz="6" w:space="0" w:color="D3D3D3"/>
            </w:tcBorders>
          </w:tcPr>
          <w:p w14:paraId="72F4D23C" w14:textId="77777777" w:rsidR="00664DF3" w:rsidRDefault="00664DF3">
            <w:pPr>
              <w:keepNext/>
              <w:spacing w:after="60"/>
            </w:pPr>
          </w:p>
        </w:tc>
        <w:tc>
          <w:tcPr>
            <w:tcW w:w="1560" w:type="dxa"/>
            <w:tcBorders>
              <w:top w:val="single" w:sz="16" w:space="0" w:color="D3D3D3"/>
              <w:left w:val="single" w:sz="6" w:space="0" w:color="D3D3D3"/>
              <w:bottom w:val="single" w:sz="16" w:space="0" w:color="D3D3D3"/>
            </w:tcBorders>
          </w:tcPr>
          <w:p w14:paraId="35323977" w14:textId="77777777" w:rsidR="00664DF3" w:rsidRDefault="007218EF">
            <w:pPr>
              <w:keepNext/>
              <w:spacing w:after="60"/>
              <w:jc w:val="right"/>
            </w:pPr>
            <w:r>
              <w:rPr>
                <w:rFonts w:ascii="Calibri" w:hAnsi="Calibri"/>
                <w:sz w:val="20"/>
              </w:rPr>
              <w:t>2018</w:t>
            </w:r>
          </w:p>
        </w:tc>
        <w:tc>
          <w:tcPr>
            <w:tcW w:w="1560" w:type="dxa"/>
            <w:tcBorders>
              <w:top w:val="single" w:sz="16" w:space="0" w:color="D3D3D3"/>
              <w:bottom w:val="single" w:sz="16" w:space="0" w:color="D3D3D3"/>
            </w:tcBorders>
          </w:tcPr>
          <w:p w14:paraId="62D352D6" w14:textId="77777777" w:rsidR="00664DF3" w:rsidRDefault="007218EF">
            <w:pPr>
              <w:keepNext/>
              <w:spacing w:after="60"/>
              <w:jc w:val="right"/>
            </w:pPr>
            <w:r>
              <w:rPr>
                <w:rFonts w:ascii="Calibri" w:hAnsi="Calibri"/>
                <w:sz w:val="20"/>
              </w:rPr>
              <w:t>2019</w:t>
            </w:r>
          </w:p>
        </w:tc>
        <w:tc>
          <w:tcPr>
            <w:tcW w:w="1560" w:type="dxa"/>
            <w:tcBorders>
              <w:top w:val="single" w:sz="16" w:space="0" w:color="D3D3D3"/>
              <w:bottom w:val="single" w:sz="16" w:space="0" w:color="D3D3D3"/>
            </w:tcBorders>
          </w:tcPr>
          <w:p w14:paraId="601DB5F4" w14:textId="77777777" w:rsidR="00664DF3" w:rsidRDefault="007218EF">
            <w:pPr>
              <w:keepNext/>
              <w:spacing w:after="60"/>
              <w:jc w:val="right"/>
            </w:pPr>
            <w:r>
              <w:rPr>
                <w:rFonts w:ascii="Calibri" w:hAnsi="Calibri"/>
                <w:sz w:val="20"/>
              </w:rPr>
              <w:t>2020</w:t>
            </w:r>
          </w:p>
        </w:tc>
        <w:tc>
          <w:tcPr>
            <w:tcW w:w="1560" w:type="dxa"/>
            <w:tcBorders>
              <w:top w:val="single" w:sz="16" w:space="0" w:color="D3D3D3"/>
              <w:bottom w:val="single" w:sz="16" w:space="0" w:color="D3D3D3"/>
            </w:tcBorders>
          </w:tcPr>
          <w:p w14:paraId="6EDA4627" w14:textId="77777777" w:rsidR="00664DF3" w:rsidRDefault="007218EF">
            <w:pPr>
              <w:keepNext/>
              <w:spacing w:after="60"/>
              <w:jc w:val="right"/>
            </w:pPr>
            <w:r>
              <w:rPr>
                <w:rFonts w:ascii="Calibri" w:hAnsi="Calibri"/>
                <w:sz w:val="20"/>
              </w:rPr>
              <w:t>2021</w:t>
            </w:r>
          </w:p>
        </w:tc>
        <w:tc>
          <w:tcPr>
            <w:tcW w:w="1561" w:type="dxa"/>
            <w:tcBorders>
              <w:top w:val="single" w:sz="16" w:space="0" w:color="D3D3D3"/>
              <w:bottom w:val="single" w:sz="16" w:space="0" w:color="D3D3D3"/>
              <w:right w:val="single" w:sz="6" w:space="0" w:color="D3D3D3"/>
            </w:tcBorders>
          </w:tcPr>
          <w:p w14:paraId="46C23151" w14:textId="77777777" w:rsidR="00664DF3" w:rsidRDefault="007218EF">
            <w:pPr>
              <w:keepNext/>
              <w:spacing w:after="60"/>
              <w:jc w:val="right"/>
            </w:pPr>
            <w:r>
              <w:rPr>
                <w:rFonts w:ascii="Calibri" w:hAnsi="Calibri"/>
                <w:sz w:val="20"/>
              </w:rPr>
              <w:t>2022</w:t>
            </w:r>
          </w:p>
        </w:tc>
      </w:tr>
      <w:tr w:rsidR="00664DF3" w14:paraId="29C74AD4" w14:textId="77777777">
        <w:trPr>
          <w:cantSplit/>
          <w:jc w:val="center"/>
        </w:trPr>
        <w:tc>
          <w:tcPr>
            <w:tcW w:w="1559" w:type="dxa"/>
            <w:tcBorders>
              <w:top w:val="single" w:sz="6" w:space="0" w:color="D3D3D3"/>
              <w:left w:val="single" w:sz="6" w:space="0" w:color="D3D3D3"/>
              <w:bottom w:val="single" w:sz="6" w:space="0" w:color="D3D3D3"/>
              <w:right w:val="single" w:sz="6" w:space="0" w:color="D3D3D3"/>
            </w:tcBorders>
          </w:tcPr>
          <w:p w14:paraId="22EE74EE" w14:textId="77777777" w:rsidR="00664DF3" w:rsidRDefault="007218EF">
            <w:pPr>
              <w:keepNext/>
              <w:spacing w:after="60"/>
            </w:pPr>
            <w:r>
              <w:rPr>
                <w:rFonts w:ascii="Calibri" w:hAnsi="Calibri"/>
                <w:sz w:val="20"/>
              </w:rPr>
              <w:t>Producción: Bioeconomía</w:t>
            </w:r>
          </w:p>
        </w:tc>
        <w:tc>
          <w:tcPr>
            <w:tcW w:w="1560" w:type="dxa"/>
            <w:tcBorders>
              <w:top w:val="single" w:sz="6" w:space="0" w:color="D3D3D3"/>
              <w:left w:val="single" w:sz="6" w:space="0" w:color="D3D3D3"/>
              <w:bottom w:val="single" w:sz="6" w:space="0" w:color="D3D3D3"/>
              <w:right w:val="single" w:sz="6" w:space="0" w:color="D3D3D3"/>
            </w:tcBorders>
          </w:tcPr>
          <w:p w14:paraId="31089E43" w14:textId="77777777" w:rsidR="00664DF3" w:rsidRDefault="007218EF">
            <w:pPr>
              <w:keepNext/>
              <w:spacing w:after="60"/>
              <w:jc w:val="right"/>
            </w:pPr>
            <w:r>
              <w:rPr>
                <w:rFonts w:ascii="Calibri" w:hAnsi="Calibri"/>
                <w:sz w:val="20"/>
              </w:rPr>
              <w:t>7.8</w:t>
            </w:r>
          </w:p>
        </w:tc>
        <w:tc>
          <w:tcPr>
            <w:tcW w:w="1560" w:type="dxa"/>
            <w:tcBorders>
              <w:top w:val="single" w:sz="6" w:space="0" w:color="D3D3D3"/>
              <w:left w:val="single" w:sz="6" w:space="0" w:color="D3D3D3"/>
              <w:bottom w:val="single" w:sz="6" w:space="0" w:color="D3D3D3"/>
              <w:right w:val="single" w:sz="6" w:space="0" w:color="D3D3D3"/>
            </w:tcBorders>
          </w:tcPr>
          <w:p w14:paraId="32AC34FA" w14:textId="77777777" w:rsidR="00664DF3" w:rsidRDefault="007218EF">
            <w:pPr>
              <w:keepNext/>
              <w:spacing w:after="60"/>
              <w:jc w:val="right"/>
            </w:pPr>
            <w:r>
              <w:rPr>
                <w:rFonts w:ascii="Calibri" w:hAnsi="Calibri"/>
                <w:sz w:val="20"/>
              </w:rPr>
              <w:t>7.8</w:t>
            </w:r>
          </w:p>
        </w:tc>
        <w:tc>
          <w:tcPr>
            <w:tcW w:w="1560" w:type="dxa"/>
            <w:tcBorders>
              <w:top w:val="single" w:sz="6" w:space="0" w:color="D3D3D3"/>
              <w:left w:val="single" w:sz="6" w:space="0" w:color="D3D3D3"/>
              <w:bottom w:val="single" w:sz="6" w:space="0" w:color="D3D3D3"/>
              <w:right w:val="single" w:sz="6" w:space="0" w:color="D3D3D3"/>
            </w:tcBorders>
          </w:tcPr>
          <w:p w14:paraId="13791CFC" w14:textId="77777777" w:rsidR="00664DF3" w:rsidRDefault="007218EF">
            <w:pPr>
              <w:keepNext/>
              <w:spacing w:after="60"/>
              <w:jc w:val="right"/>
            </w:pPr>
            <w:r>
              <w:rPr>
                <w:rFonts w:ascii="Calibri" w:hAnsi="Calibri"/>
                <w:sz w:val="20"/>
              </w:rPr>
              <w:t>9.6</w:t>
            </w:r>
          </w:p>
        </w:tc>
        <w:tc>
          <w:tcPr>
            <w:tcW w:w="1560" w:type="dxa"/>
            <w:tcBorders>
              <w:top w:val="single" w:sz="6" w:space="0" w:color="D3D3D3"/>
              <w:left w:val="single" w:sz="6" w:space="0" w:color="D3D3D3"/>
              <w:bottom w:val="single" w:sz="6" w:space="0" w:color="D3D3D3"/>
              <w:right w:val="single" w:sz="6" w:space="0" w:color="D3D3D3"/>
            </w:tcBorders>
          </w:tcPr>
          <w:p w14:paraId="2859B1EF" w14:textId="77777777" w:rsidR="00664DF3" w:rsidRDefault="007218EF">
            <w:pPr>
              <w:keepNext/>
              <w:spacing w:after="60"/>
              <w:jc w:val="right"/>
            </w:pPr>
            <w:r>
              <w:rPr>
                <w:rFonts w:ascii="Calibri" w:hAnsi="Calibri"/>
                <w:sz w:val="20"/>
              </w:rPr>
              <w:t>8.9</w:t>
            </w:r>
          </w:p>
        </w:tc>
        <w:tc>
          <w:tcPr>
            <w:tcW w:w="1561" w:type="dxa"/>
            <w:tcBorders>
              <w:top w:val="single" w:sz="6" w:space="0" w:color="D3D3D3"/>
              <w:left w:val="single" w:sz="6" w:space="0" w:color="D3D3D3"/>
              <w:bottom w:val="single" w:sz="6" w:space="0" w:color="D3D3D3"/>
              <w:right w:val="single" w:sz="6" w:space="0" w:color="D3D3D3"/>
            </w:tcBorders>
          </w:tcPr>
          <w:p w14:paraId="140BF51E" w14:textId="77777777" w:rsidR="00664DF3" w:rsidRDefault="007218EF">
            <w:pPr>
              <w:keepNext/>
              <w:spacing w:after="60"/>
              <w:jc w:val="right"/>
            </w:pPr>
            <w:r>
              <w:rPr>
                <w:rFonts w:ascii="Calibri" w:hAnsi="Calibri"/>
                <w:sz w:val="20"/>
              </w:rPr>
              <w:t>8.4</w:t>
            </w:r>
          </w:p>
        </w:tc>
      </w:tr>
      <w:tr w:rsidR="00664DF3" w14:paraId="164C7137" w14:textId="77777777">
        <w:trPr>
          <w:cantSplit/>
          <w:jc w:val="center"/>
        </w:trPr>
        <w:tc>
          <w:tcPr>
            <w:tcW w:w="1559" w:type="dxa"/>
            <w:tcBorders>
              <w:top w:val="single" w:sz="6" w:space="0" w:color="D3D3D3"/>
              <w:left w:val="single" w:sz="6" w:space="0" w:color="D3D3D3"/>
              <w:bottom w:val="single" w:sz="6" w:space="0" w:color="D3D3D3"/>
              <w:right w:val="single" w:sz="6" w:space="0" w:color="D3D3D3"/>
            </w:tcBorders>
          </w:tcPr>
          <w:p w14:paraId="5D8E7311" w14:textId="77777777" w:rsidR="00664DF3" w:rsidRDefault="007218EF">
            <w:pPr>
              <w:keepNext/>
              <w:spacing w:after="60"/>
            </w:pPr>
            <w:r>
              <w:rPr>
                <w:rFonts w:ascii="Calibri" w:hAnsi="Calibri"/>
                <w:sz w:val="20"/>
              </w:rPr>
              <w:t>Producción: Bioeconomía extendida</w:t>
            </w:r>
          </w:p>
        </w:tc>
        <w:tc>
          <w:tcPr>
            <w:tcW w:w="1560" w:type="dxa"/>
            <w:tcBorders>
              <w:top w:val="single" w:sz="6" w:space="0" w:color="D3D3D3"/>
              <w:left w:val="single" w:sz="6" w:space="0" w:color="D3D3D3"/>
              <w:bottom w:val="single" w:sz="6" w:space="0" w:color="D3D3D3"/>
              <w:right w:val="single" w:sz="6" w:space="0" w:color="D3D3D3"/>
            </w:tcBorders>
          </w:tcPr>
          <w:p w14:paraId="3CE13B07" w14:textId="77777777" w:rsidR="00664DF3" w:rsidRDefault="007218EF">
            <w:pPr>
              <w:keepNext/>
              <w:spacing w:after="60"/>
              <w:jc w:val="right"/>
            </w:pPr>
            <w:r>
              <w:rPr>
                <w:rFonts w:ascii="Calibri" w:hAnsi="Calibri"/>
                <w:sz w:val="20"/>
              </w:rPr>
              <w:t>6.1</w:t>
            </w:r>
          </w:p>
        </w:tc>
        <w:tc>
          <w:tcPr>
            <w:tcW w:w="1560" w:type="dxa"/>
            <w:tcBorders>
              <w:top w:val="single" w:sz="6" w:space="0" w:color="D3D3D3"/>
              <w:left w:val="single" w:sz="6" w:space="0" w:color="D3D3D3"/>
              <w:bottom w:val="single" w:sz="6" w:space="0" w:color="D3D3D3"/>
              <w:right w:val="single" w:sz="6" w:space="0" w:color="D3D3D3"/>
            </w:tcBorders>
          </w:tcPr>
          <w:p w14:paraId="27A24BF1" w14:textId="77777777" w:rsidR="00664DF3" w:rsidRDefault="007218EF">
            <w:pPr>
              <w:keepNext/>
              <w:spacing w:after="60"/>
              <w:jc w:val="right"/>
            </w:pPr>
            <w:r>
              <w:rPr>
                <w:rFonts w:ascii="Calibri" w:hAnsi="Calibri"/>
                <w:sz w:val="20"/>
              </w:rPr>
              <w:t>6.2</w:t>
            </w:r>
          </w:p>
        </w:tc>
        <w:tc>
          <w:tcPr>
            <w:tcW w:w="1560" w:type="dxa"/>
            <w:tcBorders>
              <w:top w:val="single" w:sz="6" w:space="0" w:color="D3D3D3"/>
              <w:left w:val="single" w:sz="6" w:space="0" w:color="D3D3D3"/>
              <w:bottom w:val="single" w:sz="6" w:space="0" w:color="D3D3D3"/>
              <w:right w:val="single" w:sz="6" w:space="0" w:color="D3D3D3"/>
            </w:tcBorders>
          </w:tcPr>
          <w:p w14:paraId="18483292" w14:textId="77777777" w:rsidR="00664DF3" w:rsidRDefault="007218EF">
            <w:pPr>
              <w:keepNext/>
              <w:spacing w:after="60"/>
              <w:jc w:val="right"/>
            </w:pPr>
            <w:r>
              <w:rPr>
                <w:rFonts w:ascii="Calibri" w:hAnsi="Calibri"/>
                <w:sz w:val="20"/>
              </w:rPr>
              <w:t>5.3</w:t>
            </w:r>
          </w:p>
        </w:tc>
        <w:tc>
          <w:tcPr>
            <w:tcW w:w="1560" w:type="dxa"/>
            <w:tcBorders>
              <w:top w:val="single" w:sz="6" w:space="0" w:color="D3D3D3"/>
              <w:left w:val="single" w:sz="6" w:space="0" w:color="D3D3D3"/>
              <w:bottom w:val="single" w:sz="6" w:space="0" w:color="D3D3D3"/>
              <w:right w:val="single" w:sz="6" w:space="0" w:color="D3D3D3"/>
            </w:tcBorders>
          </w:tcPr>
          <w:p w14:paraId="24C8D299" w14:textId="77777777" w:rsidR="00664DF3" w:rsidRDefault="007218EF">
            <w:pPr>
              <w:keepNext/>
              <w:spacing w:after="60"/>
              <w:jc w:val="right"/>
            </w:pPr>
            <w:r>
              <w:rPr>
                <w:rFonts w:ascii="Calibri" w:hAnsi="Calibri"/>
                <w:sz w:val="20"/>
              </w:rPr>
              <w:t>5.1</w:t>
            </w:r>
          </w:p>
        </w:tc>
        <w:tc>
          <w:tcPr>
            <w:tcW w:w="1561" w:type="dxa"/>
            <w:tcBorders>
              <w:top w:val="single" w:sz="6" w:space="0" w:color="D3D3D3"/>
              <w:left w:val="single" w:sz="6" w:space="0" w:color="D3D3D3"/>
              <w:bottom w:val="single" w:sz="6" w:space="0" w:color="D3D3D3"/>
              <w:right w:val="single" w:sz="6" w:space="0" w:color="D3D3D3"/>
            </w:tcBorders>
          </w:tcPr>
          <w:p w14:paraId="4743FCF7" w14:textId="77777777" w:rsidR="00664DF3" w:rsidRDefault="007218EF">
            <w:pPr>
              <w:keepNext/>
              <w:spacing w:after="60"/>
              <w:jc w:val="right"/>
            </w:pPr>
            <w:r>
              <w:rPr>
                <w:rFonts w:ascii="Calibri" w:hAnsi="Calibri"/>
                <w:sz w:val="20"/>
              </w:rPr>
              <w:t>5.1</w:t>
            </w:r>
          </w:p>
        </w:tc>
      </w:tr>
      <w:tr w:rsidR="00664DF3" w14:paraId="5607CA8A" w14:textId="77777777">
        <w:trPr>
          <w:cantSplit/>
          <w:jc w:val="center"/>
        </w:trPr>
        <w:tc>
          <w:tcPr>
            <w:tcW w:w="1559" w:type="dxa"/>
            <w:tcBorders>
              <w:top w:val="single" w:sz="6" w:space="0" w:color="D3D3D3"/>
              <w:left w:val="single" w:sz="6" w:space="0" w:color="D3D3D3"/>
              <w:bottom w:val="single" w:sz="6" w:space="0" w:color="D3D3D3"/>
              <w:right w:val="single" w:sz="6" w:space="0" w:color="D3D3D3"/>
            </w:tcBorders>
          </w:tcPr>
          <w:p w14:paraId="0DA00A86" w14:textId="77777777" w:rsidR="00664DF3" w:rsidRDefault="007218EF">
            <w:pPr>
              <w:keepNext/>
              <w:spacing w:after="60"/>
            </w:pPr>
            <w:r>
              <w:rPr>
                <w:rFonts w:ascii="Calibri" w:hAnsi="Calibri"/>
                <w:sz w:val="20"/>
              </w:rPr>
              <w:t>CI: Bioeconomía</w:t>
            </w:r>
          </w:p>
        </w:tc>
        <w:tc>
          <w:tcPr>
            <w:tcW w:w="1560" w:type="dxa"/>
            <w:tcBorders>
              <w:top w:val="single" w:sz="6" w:space="0" w:color="D3D3D3"/>
              <w:left w:val="single" w:sz="6" w:space="0" w:color="D3D3D3"/>
              <w:bottom w:val="single" w:sz="6" w:space="0" w:color="D3D3D3"/>
              <w:right w:val="single" w:sz="6" w:space="0" w:color="D3D3D3"/>
            </w:tcBorders>
          </w:tcPr>
          <w:p w14:paraId="4FC06B5B" w14:textId="77777777" w:rsidR="00664DF3" w:rsidRDefault="007218EF">
            <w:pPr>
              <w:keepNext/>
              <w:spacing w:after="60"/>
              <w:jc w:val="right"/>
            </w:pPr>
            <w:r>
              <w:rPr>
                <w:rFonts w:ascii="Calibri" w:hAnsi="Calibri"/>
                <w:sz w:val="20"/>
              </w:rPr>
              <w:t>14.1</w:t>
            </w:r>
          </w:p>
        </w:tc>
        <w:tc>
          <w:tcPr>
            <w:tcW w:w="1560" w:type="dxa"/>
            <w:tcBorders>
              <w:top w:val="single" w:sz="6" w:space="0" w:color="D3D3D3"/>
              <w:left w:val="single" w:sz="6" w:space="0" w:color="D3D3D3"/>
              <w:bottom w:val="single" w:sz="6" w:space="0" w:color="D3D3D3"/>
              <w:right w:val="single" w:sz="6" w:space="0" w:color="D3D3D3"/>
            </w:tcBorders>
          </w:tcPr>
          <w:p w14:paraId="23E35023" w14:textId="77777777" w:rsidR="00664DF3" w:rsidRDefault="007218EF">
            <w:pPr>
              <w:keepNext/>
              <w:spacing w:after="60"/>
              <w:jc w:val="right"/>
            </w:pPr>
            <w:r>
              <w:rPr>
                <w:rFonts w:ascii="Calibri" w:hAnsi="Calibri"/>
                <w:sz w:val="20"/>
              </w:rPr>
              <w:t>14.4</w:t>
            </w:r>
          </w:p>
        </w:tc>
        <w:tc>
          <w:tcPr>
            <w:tcW w:w="1560" w:type="dxa"/>
            <w:tcBorders>
              <w:top w:val="single" w:sz="6" w:space="0" w:color="D3D3D3"/>
              <w:left w:val="single" w:sz="6" w:space="0" w:color="D3D3D3"/>
              <w:bottom w:val="single" w:sz="6" w:space="0" w:color="D3D3D3"/>
              <w:right w:val="single" w:sz="6" w:space="0" w:color="D3D3D3"/>
            </w:tcBorders>
          </w:tcPr>
          <w:p w14:paraId="62860C87" w14:textId="77777777" w:rsidR="00664DF3" w:rsidRDefault="007218EF">
            <w:pPr>
              <w:keepNext/>
              <w:spacing w:after="60"/>
              <w:jc w:val="right"/>
            </w:pPr>
            <w:r>
              <w:rPr>
                <w:rFonts w:ascii="Calibri" w:hAnsi="Calibri"/>
                <w:sz w:val="20"/>
              </w:rPr>
              <w:t>16.1</w:t>
            </w:r>
          </w:p>
        </w:tc>
        <w:tc>
          <w:tcPr>
            <w:tcW w:w="1560" w:type="dxa"/>
            <w:tcBorders>
              <w:top w:val="single" w:sz="6" w:space="0" w:color="D3D3D3"/>
              <w:left w:val="single" w:sz="6" w:space="0" w:color="D3D3D3"/>
              <w:bottom w:val="single" w:sz="6" w:space="0" w:color="D3D3D3"/>
              <w:right w:val="single" w:sz="6" w:space="0" w:color="D3D3D3"/>
            </w:tcBorders>
          </w:tcPr>
          <w:p w14:paraId="4B9B91A0" w14:textId="77777777" w:rsidR="00664DF3" w:rsidRDefault="007218EF">
            <w:pPr>
              <w:keepNext/>
              <w:spacing w:after="60"/>
              <w:jc w:val="right"/>
            </w:pPr>
            <w:r>
              <w:rPr>
                <w:rFonts w:ascii="Calibri" w:hAnsi="Calibri"/>
                <w:sz w:val="20"/>
              </w:rPr>
              <w:t>15.4</w:t>
            </w:r>
          </w:p>
        </w:tc>
        <w:tc>
          <w:tcPr>
            <w:tcW w:w="1561" w:type="dxa"/>
            <w:tcBorders>
              <w:top w:val="single" w:sz="6" w:space="0" w:color="D3D3D3"/>
              <w:left w:val="single" w:sz="6" w:space="0" w:color="D3D3D3"/>
              <w:bottom w:val="single" w:sz="6" w:space="0" w:color="D3D3D3"/>
              <w:right w:val="single" w:sz="6" w:space="0" w:color="D3D3D3"/>
            </w:tcBorders>
          </w:tcPr>
          <w:p w14:paraId="2A2E8742" w14:textId="77777777" w:rsidR="00664DF3" w:rsidRDefault="007218EF">
            <w:pPr>
              <w:keepNext/>
              <w:spacing w:after="60"/>
              <w:jc w:val="right"/>
            </w:pPr>
            <w:r>
              <w:rPr>
                <w:rFonts w:ascii="Calibri" w:hAnsi="Calibri"/>
                <w:sz w:val="20"/>
              </w:rPr>
              <w:t>14.8</w:t>
            </w:r>
          </w:p>
        </w:tc>
      </w:tr>
      <w:tr w:rsidR="00664DF3" w14:paraId="72C0FEFB" w14:textId="77777777">
        <w:trPr>
          <w:cantSplit/>
          <w:jc w:val="center"/>
        </w:trPr>
        <w:tc>
          <w:tcPr>
            <w:tcW w:w="1559" w:type="dxa"/>
            <w:tcBorders>
              <w:top w:val="single" w:sz="6" w:space="0" w:color="D3D3D3"/>
              <w:left w:val="single" w:sz="6" w:space="0" w:color="D3D3D3"/>
              <w:bottom w:val="single" w:sz="6" w:space="0" w:color="D3D3D3"/>
              <w:right w:val="single" w:sz="6" w:space="0" w:color="D3D3D3"/>
            </w:tcBorders>
          </w:tcPr>
          <w:p w14:paraId="03F1E8A1" w14:textId="77777777" w:rsidR="00664DF3" w:rsidRDefault="007218EF">
            <w:pPr>
              <w:keepNext/>
              <w:spacing w:after="60"/>
            </w:pPr>
            <w:r>
              <w:rPr>
                <w:rFonts w:ascii="Calibri" w:hAnsi="Calibri"/>
                <w:sz w:val="20"/>
              </w:rPr>
              <w:t>CI: Bioeconomía extendida</w:t>
            </w:r>
          </w:p>
        </w:tc>
        <w:tc>
          <w:tcPr>
            <w:tcW w:w="1560" w:type="dxa"/>
            <w:tcBorders>
              <w:top w:val="single" w:sz="6" w:space="0" w:color="D3D3D3"/>
              <w:left w:val="single" w:sz="6" w:space="0" w:color="D3D3D3"/>
              <w:bottom w:val="single" w:sz="6" w:space="0" w:color="D3D3D3"/>
              <w:right w:val="single" w:sz="6" w:space="0" w:color="D3D3D3"/>
            </w:tcBorders>
          </w:tcPr>
          <w:p w14:paraId="72760974" w14:textId="77777777" w:rsidR="00664DF3" w:rsidRDefault="007218EF">
            <w:pPr>
              <w:keepNext/>
              <w:spacing w:after="60"/>
              <w:jc w:val="right"/>
            </w:pPr>
            <w:r>
              <w:rPr>
                <w:rFonts w:ascii="Calibri" w:hAnsi="Calibri"/>
                <w:sz w:val="20"/>
              </w:rPr>
              <w:t>8.1</w:t>
            </w:r>
          </w:p>
        </w:tc>
        <w:tc>
          <w:tcPr>
            <w:tcW w:w="1560" w:type="dxa"/>
            <w:tcBorders>
              <w:top w:val="single" w:sz="6" w:space="0" w:color="D3D3D3"/>
              <w:left w:val="single" w:sz="6" w:space="0" w:color="D3D3D3"/>
              <w:bottom w:val="single" w:sz="6" w:space="0" w:color="D3D3D3"/>
              <w:right w:val="single" w:sz="6" w:space="0" w:color="D3D3D3"/>
            </w:tcBorders>
          </w:tcPr>
          <w:p w14:paraId="3555A459" w14:textId="77777777" w:rsidR="00664DF3" w:rsidRDefault="007218EF">
            <w:pPr>
              <w:keepNext/>
              <w:spacing w:after="60"/>
              <w:jc w:val="right"/>
            </w:pPr>
            <w:r>
              <w:rPr>
                <w:rFonts w:ascii="Calibri" w:hAnsi="Calibri"/>
                <w:sz w:val="20"/>
              </w:rPr>
              <w:t>8.3</w:t>
            </w:r>
          </w:p>
        </w:tc>
        <w:tc>
          <w:tcPr>
            <w:tcW w:w="1560" w:type="dxa"/>
            <w:tcBorders>
              <w:top w:val="single" w:sz="6" w:space="0" w:color="D3D3D3"/>
              <w:left w:val="single" w:sz="6" w:space="0" w:color="D3D3D3"/>
              <w:bottom w:val="single" w:sz="6" w:space="0" w:color="D3D3D3"/>
              <w:right w:val="single" w:sz="6" w:space="0" w:color="D3D3D3"/>
            </w:tcBorders>
          </w:tcPr>
          <w:p w14:paraId="318EB1E4" w14:textId="77777777" w:rsidR="00664DF3" w:rsidRDefault="007218EF">
            <w:pPr>
              <w:keepNext/>
              <w:spacing w:after="60"/>
              <w:jc w:val="right"/>
            </w:pPr>
            <w:r>
              <w:rPr>
                <w:rFonts w:ascii="Calibri" w:hAnsi="Calibri"/>
                <w:sz w:val="20"/>
              </w:rPr>
              <w:t>9.2</w:t>
            </w:r>
          </w:p>
        </w:tc>
        <w:tc>
          <w:tcPr>
            <w:tcW w:w="1560" w:type="dxa"/>
            <w:tcBorders>
              <w:top w:val="single" w:sz="6" w:space="0" w:color="D3D3D3"/>
              <w:left w:val="single" w:sz="6" w:space="0" w:color="D3D3D3"/>
              <w:bottom w:val="single" w:sz="6" w:space="0" w:color="D3D3D3"/>
              <w:right w:val="single" w:sz="6" w:space="0" w:color="D3D3D3"/>
            </w:tcBorders>
          </w:tcPr>
          <w:p w14:paraId="4A4B3D36" w14:textId="77777777" w:rsidR="00664DF3" w:rsidRDefault="007218EF">
            <w:pPr>
              <w:keepNext/>
              <w:spacing w:after="60"/>
              <w:jc w:val="right"/>
            </w:pPr>
            <w:r>
              <w:rPr>
                <w:rFonts w:ascii="Calibri" w:hAnsi="Calibri"/>
                <w:sz w:val="20"/>
              </w:rPr>
              <w:t>8.5</w:t>
            </w:r>
          </w:p>
        </w:tc>
        <w:tc>
          <w:tcPr>
            <w:tcW w:w="1561" w:type="dxa"/>
            <w:tcBorders>
              <w:top w:val="single" w:sz="6" w:space="0" w:color="D3D3D3"/>
              <w:left w:val="single" w:sz="6" w:space="0" w:color="D3D3D3"/>
              <w:bottom w:val="single" w:sz="6" w:space="0" w:color="D3D3D3"/>
              <w:right w:val="single" w:sz="6" w:space="0" w:color="D3D3D3"/>
            </w:tcBorders>
          </w:tcPr>
          <w:p w14:paraId="43782219" w14:textId="77777777" w:rsidR="00664DF3" w:rsidRDefault="007218EF">
            <w:pPr>
              <w:keepNext/>
              <w:spacing w:after="60"/>
              <w:jc w:val="right"/>
            </w:pPr>
            <w:r>
              <w:rPr>
                <w:rFonts w:ascii="Calibri" w:hAnsi="Calibri"/>
                <w:sz w:val="20"/>
              </w:rPr>
              <w:t>7.9</w:t>
            </w:r>
          </w:p>
        </w:tc>
      </w:tr>
      <w:tr w:rsidR="00664DF3" w14:paraId="14A0A989" w14:textId="77777777">
        <w:trPr>
          <w:cantSplit/>
          <w:jc w:val="center"/>
        </w:trPr>
        <w:tc>
          <w:tcPr>
            <w:tcW w:w="1559" w:type="dxa"/>
            <w:tcBorders>
              <w:top w:val="single" w:sz="6" w:space="0" w:color="D3D3D3"/>
              <w:left w:val="single" w:sz="6" w:space="0" w:color="D3D3D3"/>
              <w:bottom w:val="single" w:sz="6" w:space="0" w:color="D3D3D3"/>
              <w:right w:val="single" w:sz="6" w:space="0" w:color="D3D3D3"/>
            </w:tcBorders>
          </w:tcPr>
          <w:p w14:paraId="7102E495" w14:textId="77777777" w:rsidR="00664DF3" w:rsidRDefault="007218EF">
            <w:pPr>
              <w:keepNext/>
              <w:spacing w:after="60"/>
            </w:pPr>
            <w:r>
              <w:rPr>
                <w:rFonts w:ascii="Calibri" w:hAnsi="Calibri"/>
                <w:sz w:val="20"/>
              </w:rPr>
              <w:t>VAB: Bioeconomía</w:t>
            </w:r>
          </w:p>
        </w:tc>
        <w:tc>
          <w:tcPr>
            <w:tcW w:w="1560" w:type="dxa"/>
            <w:tcBorders>
              <w:top w:val="single" w:sz="6" w:space="0" w:color="D3D3D3"/>
              <w:left w:val="single" w:sz="6" w:space="0" w:color="D3D3D3"/>
              <w:bottom w:val="single" w:sz="6" w:space="0" w:color="D3D3D3"/>
              <w:right w:val="single" w:sz="6" w:space="0" w:color="D3D3D3"/>
            </w:tcBorders>
          </w:tcPr>
          <w:p w14:paraId="17081CA5" w14:textId="77777777" w:rsidR="00664DF3" w:rsidRDefault="007218EF">
            <w:pPr>
              <w:keepNext/>
              <w:spacing w:after="60"/>
              <w:jc w:val="right"/>
            </w:pPr>
            <w:r>
              <w:rPr>
                <w:rFonts w:ascii="Calibri" w:hAnsi="Calibri"/>
                <w:sz w:val="20"/>
              </w:rPr>
              <w:t>4.1</w:t>
            </w:r>
          </w:p>
        </w:tc>
        <w:tc>
          <w:tcPr>
            <w:tcW w:w="1560" w:type="dxa"/>
            <w:tcBorders>
              <w:top w:val="single" w:sz="6" w:space="0" w:color="D3D3D3"/>
              <w:left w:val="single" w:sz="6" w:space="0" w:color="D3D3D3"/>
              <w:bottom w:val="single" w:sz="6" w:space="0" w:color="D3D3D3"/>
              <w:right w:val="single" w:sz="6" w:space="0" w:color="D3D3D3"/>
            </w:tcBorders>
          </w:tcPr>
          <w:p w14:paraId="2D3FAACD" w14:textId="77777777" w:rsidR="00664DF3" w:rsidRDefault="007218EF">
            <w:pPr>
              <w:keepNext/>
              <w:spacing w:after="60"/>
              <w:jc w:val="right"/>
            </w:pPr>
            <w:r>
              <w:rPr>
                <w:rFonts w:ascii="Calibri" w:hAnsi="Calibri"/>
                <w:sz w:val="20"/>
              </w:rPr>
              <w:t>4.2</w:t>
            </w:r>
          </w:p>
        </w:tc>
        <w:tc>
          <w:tcPr>
            <w:tcW w:w="1560" w:type="dxa"/>
            <w:tcBorders>
              <w:top w:val="single" w:sz="6" w:space="0" w:color="D3D3D3"/>
              <w:left w:val="single" w:sz="6" w:space="0" w:color="D3D3D3"/>
              <w:bottom w:val="single" w:sz="6" w:space="0" w:color="D3D3D3"/>
              <w:right w:val="single" w:sz="6" w:space="0" w:color="D3D3D3"/>
            </w:tcBorders>
          </w:tcPr>
          <w:p w14:paraId="7E885189" w14:textId="77777777" w:rsidR="00664DF3" w:rsidRDefault="007218EF">
            <w:pPr>
              <w:keepNext/>
              <w:spacing w:after="60"/>
              <w:jc w:val="right"/>
            </w:pPr>
            <w:r>
              <w:rPr>
                <w:rFonts w:ascii="Calibri" w:hAnsi="Calibri"/>
                <w:sz w:val="20"/>
              </w:rPr>
              <w:t>6.5</w:t>
            </w:r>
          </w:p>
        </w:tc>
        <w:tc>
          <w:tcPr>
            <w:tcW w:w="1560" w:type="dxa"/>
            <w:tcBorders>
              <w:top w:val="single" w:sz="6" w:space="0" w:color="D3D3D3"/>
              <w:left w:val="single" w:sz="6" w:space="0" w:color="D3D3D3"/>
              <w:bottom w:val="single" w:sz="6" w:space="0" w:color="D3D3D3"/>
              <w:right w:val="single" w:sz="6" w:space="0" w:color="D3D3D3"/>
            </w:tcBorders>
          </w:tcPr>
          <w:p w14:paraId="4EACF785" w14:textId="77777777" w:rsidR="00664DF3" w:rsidRDefault="007218EF">
            <w:pPr>
              <w:keepNext/>
              <w:spacing w:after="60"/>
              <w:jc w:val="right"/>
            </w:pPr>
            <w:r>
              <w:rPr>
                <w:rFonts w:ascii="Calibri" w:hAnsi="Calibri"/>
                <w:sz w:val="20"/>
              </w:rPr>
              <w:t>5.6</w:t>
            </w:r>
          </w:p>
        </w:tc>
        <w:tc>
          <w:tcPr>
            <w:tcW w:w="1561" w:type="dxa"/>
            <w:tcBorders>
              <w:top w:val="single" w:sz="6" w:space="0" w:color="D3D3D3"/>
              <w:left w:val="single" w:sz="6" w:space="0" w:color="D3D3D3"/>
              <w:bottom w:val="single" w:sz="6" w:space="0" w:color="D3D3D3"/>
              <w:right w:val="single" w:sz="6" w:space="0" w:color="D3D3D3"/>
            </w:tcBorders>
          </w:tcPr>
          <w:p w14:paraId="5CA081CE" w14:textId="77777777" w:rsidR="00664DF3" w:rsidRDefault="007218EF">
            <w:pPr>
              <w:keepNext/>
              <w:spacing w:after="60"/>
              <w:jc w:val="right"/>
            </w:pPr>
            <w:r>
              <w:rPr>
                <w:rFonts w:ascii="Calibri" w:hAnsi="Calibri"/>
                <w:sz w:val="20"/>
              </w:rPr>
              <w:t>5.1</w:t>
            </w:r>
          </w:p>
        </w:tc>
      </w:tr>
      <w:tr w:rsidR="00664DF3" w14:paraId="654886F5" w14:textId="77777777">
        <w:trPr>
          <w:cantSplit/>
          <w:jc w:val="center"/>
        </w:trPr>
        <w:tc>
          <w:tcPr>
            <w:tcW w:w="1559" w:type="dxa"/>
            <w:tcBorders>
              <w:top w:val="single" w:sz="6" w:space="0" w:color="D3D3D3"/>
              <w:left w:val="single" w:sz="6" w:space="0" w:color="D3D3D3"/>
              <w:bottom w:val="single" w:sz="6" w:space="0" w:color="D3D3D3"/>
              <w:right w:val="single" w:sz="6" w:space="0" w:color="D3D3D3"/>
            </w:tcBorders>
          </w:tcPr>
          <w:p w14:paraId="72949D3F" w14:textId="77777777" w:rsidR="00664DF3" w:rsidRDefault="007218EF">
            <w:pPr>
              <w:keepNext/>
              <w:spacing w:after="60"/>
            </w:pPr>
            <w:r>
              <w:rPr>
                <w:rFonts w:ascii="Calibri" w:hAnsi="Calibri"/>
                <w:sz w:val="20"/>
              </w:rPr>
              <w:t>VAB: Bioeconomía extendida</w:t>
            </w:r>
          </w:p>
        </w:tc>
        <w:tc>
          <w:tcPr>
            <w:tcW w:w="1560" w:type="dxa"/>
            <w:tcBorders>
              <w:top w:val="single" w:sz="6" w:space="0" w:color="D3D3D3"/>
              <w:left w:val="single" w:sz="6" w:space="0" w:color="D3D3D3"/>
              <w:bottom w:val="single" w:sz="6" w:space="0" w:color="D3D3D3"/>
              <w:right w:val="single" w:sz="6" w:space="0" w:color="D3D3D3"/>
            </w:tcBorders>
          </w:tcPr>
          <w:p w14:paraId="4A6167BB" w14:textId="77777777" w:rsidR="00664DF3" w:rsidRDefault="007218EF">
            <w:pPr>
              <w:keepNext/>
              <w:spacing w:after="60"/>
              <w:jc w:val="right"/>
            </w:pPr>
            <w:r>
              <w:rPr>
                <w:rFonts w:ascii="Calibri" w:hAnsi="Calibri"/>
                <w:sz w:val="20"/>
              </w:rPr>
              <w:t>4.9</w:t>
            </w:r>
          </w:p>
        </w:tc>
        <w:tc>
          <w:tcPr>
            <w:tcW w:w="1560" w:type="dxa"/>
            <w:tcBorders>
              <w:top w:val="single" w:sz="6" w:space="0" w:color="D3D3D3"/>
              <w:left w:val="single" w:sz="6" w:space="0" w:color="D3D3D3"/>
              <w:bottom w:val="single" w:sz="6" w:space="0" w:color="D3D3D3"/>
              <w:right w:val="single" w:sz="6" w:space="0" w:color="D3D3D3"/>
            </w:tcBorders>
          </w:tcPr>
          <w:p w14:paraId="15D555DD" w14:textId="77777777" w:rsidR="00664DF3" w:rsidRDefault="007218EF">
            <w:pPr>
              <w:keepNext/>
              <w:spacing w:after="60"/>
              <w:jc w:val="right"/>
            </w:pPr>
            <w:r>
              <w:rPr>
                <w:rFonts w:ascii="Calibri" w:hAnsi="Calibri"/>
                <w:sz w:val="20"/>
              </w:rPr>
              <w:t>5.1</w:t>
            </w:r>
          </w:p>
        </w:tc>
        <w:tc>
          <w:tcPr>
            <w:tcW w:w="1560" w:type="dxa"/>
            <w:tcBorders>
              <w:top w:val="single" w:sz="6" w:space="0" w:color="D3D3D3"/>
              <w:left w:val="single" w:sz="6" w:space="0" w:color="D3D3D3"/>
              <w:bottom w:val="single" w:sz="6" w:space="0" w:color="D3D3D3"/>
              <w:right w:val="single" w:sz="6" w:space="0" w:color="D3D3D3"/>
            </w:tcBorders>
          </w:tcPr>
          <w:p w14:paraId="344BCC76" w14:textId="77777777" w:rsidR="00664DF3" w:rsidRDefault="007218EF">
            <w:pPr>
              <w:keepNext/>
              <w:spacing w:after="60"/>
              <w:jc w:val="right"/>
            </w:pPr>
            <w:r>
              <w:rPr>
                <w:rFonts w:ascii="Calibri" w:hAnsi="Calibri"/>
                <w:sz w:val="20"/>
              </w:rPr>
              <w:t>3.4</w:t>
            </w:r>
          </w:p>
        </w:tc>
        <w:tc>
          <w:tcPr>
            <w:tcW w:w="1560" w:type="dxa"/>
            <w:tcBorders>
              <w:top w:val="single" w:sz="6" w:space="0" w:color="D3D3D3"/>
              <w:left w:val="single" w:sz="6" w:space="0" w:color="D3D3D3"/>
              <w:bottom w:val="single" w:sz="6" w:space="0" w:color="D3D3D3"/>
              <w:right w:val="single" w:sz="6" w:space="0" w:color="D3D3D3"/>
            </w:tcBorders>
          </w:tcPr>
          <w:p w14:paraId="5AEFA827" w14:textId="77777777" w:rsidR="00664DF3" w:rsidRDefault="007218EF">
            <w:pPr>
              <w:keepNext/>
              <w:spacing w:after="60"/>
              <w:jc w:val="right"/>
            </w:pPr>
            <w:r>
              <w:rPr>
                <w:rFonts w:ascii="Calibri" w:hAnsi="Calibri"/>
                <w:sz w:val="20"/>
              </w:rPr>
              <w:t>3.4</w:t>
            </w:r>
          </w:p>
        </w:tc>
        <w:tc>
          <w:tcPr>
            <w:tcW w:w="1561" w:type="dxa"/>
            <w:tcBorders>
              <w:top w:val="single" w:sz="6" w:space="0" w:color="D3D3D3"/>
              <w:left w:val="single" w:sz="6" w:space="0" w:color="D3D3D3"/>
              <w:bottom w:val="single" w:sz="6" w:space="0" w:color="D3D3D3"/>
              <w:right w:val="single" w:sz="6" w:space="0" w:color="D3D3D3"/>
            </w:tcBorders>
          </w:tcPr>
          <w:p w14:paraId="3712BF7A" w14:textId="77777777" w:rsidR="00664DF3" w:rsidRDefault="007218EF">
            <w:pPr>
              <w:keepNext/>
              <w:spacing w:after="60"/>
              <w:jc w:val="right"/>
            </w:pPr>
            <w:r>
              <w:rPr>
                <w:rFonts w:ascii="Calibri" w:hAnsi="Calibri"/>
                <w:sz w:val="20"/>
              </w:rPr>
              <w:t>3.6</w:t>
            </w:r>
          </w:p>
        </w:tc>
      </w:tr>
      <w:tr w:rsidR="00664DF3" w14:paraId="63454C70" w14:textId="77777777">
        <w:trPr>
          <w:cantSplit/>
          <w:jc w:val="center"/>
        </w:trPr>
        <w:tc>
          <w:tcPr>
            <w:tcW w:w="9360" w:type="dxa"/>
            <w:gridSpan w:val="6"/>
          </w:tcPr>
          <w:p w14:paraId="2A6E4477" w14:textId="77777777" w:rsidR="00664DF3" w:rsidRDefault="007218EF">
            <w:pPr>
              <w:keepNext/>
              <w:spacing w:after="60"/>
            </w:pPr>
            <w:r>
              <w:rPr>
                <w:rFonts w:ascii="Calibri" w:hAnsi="Calibri"/>
                <w:sz w:val="20"/>
              </w:rPr>
              <w:t>Fuente: Elaboración propia con datos del INEC Panamá.</w:t>
            </w:r>
            <w:bookmarkStart w:id="33" w:name="tbl-temporal"/>
            <w:bookmarkEnd w:id="33"/>
          </w:p>
        </w:tc>
      </w:tr>
    </w:tbl>
    <w:p w14:paraId="74926244" w14:textId="77777777" w:rsidR="00664DF3" w:rsidRDefault="007218EF">
      <w:pPr>
        <w:pStyle w:val="BodyText"/>
      </w:pPr>
      <w:r>
        <w:t xml:space="preserve">La </w:t>
      </w:r>
      <w:hyperlink w:anchor="fig-temporal">
        <w:r>
          <w:rPr>
            <w:rStyle w:val="Hyperlink"/>
          </w:rPr>
          <w:t>Figura 4</w:t>
        </w:r>
      </w:hyperlink>
      <w:r>
        <w:t xml:space="preserve"> muestra gráficamente esta evolución. Se observa que las participaciones bioeconómicas se mantienen relativamente estables a lo largo del período, con variaciones moderadas. El año 2020, marcado por la pandemia de COVID-19, muestra el efecto de la contracción económica generalizada, aunque la participación relativa de la bioeconomía no presenta cambios drásticos, lo que sugiere que los sectores bioeconómicos se contrajeron en magnitudes similares al resto de la economía.</w:t>
      </w:r>
    </w:p>
    <w:tbl>
      <w:tblPr>
        <w:tblStyle w:val="Table"/>
        <w:tblW w:w="5000" w:type="pct"/>
        <w:tblInd w:w="0" w:type="dxa"/>
        <w:tblLayout w:type="fixed"/>
        <w:tblLook w:val="0000" w:firstRow="0" w:lastRow="0" w:firstColumn="0" w:lastColumn="0" w:noHBand="0" w:noVBand="0"/>
      </w:tblPr>
      <w:tblGrid>
        <w:gridCol w:w="9360"/>
      </w:tblGrid>
      <w:tr w:rsidR="00664DF3" w14:paraId="605B3CD3" w14:textId="77777777" w:rsidTr="00664DF3">
        <w:tc>
          <w:tcPr>
            <w:tcW w:w="9360" w:type="dxa"/>
          </w:tcPr>
          <w:p w14:paraId="2ED0B507" w14:textId="77777777" w:rsidR="00664DF3" w:rsidRDefault="007218EF">
            <w:pPr>
              <w:pStyle w:val="Compact"/>
              <w:jc w:val="center"/>
              <w:rPr>
                <w:rFonts w:ascii="Aptos" w:eastAsia="Aptos" w:hAnsi="Aptos"/>
              </w:rPr>
            </w:pPr>
            <w:bookmarkStart w:id="34" w:name="fig-temporal"/>
            <w:r>
              <w:rPr>
                <w:rFonts w:eastAsia="Aptos"/>
                <w:noProof/>
              </w:rPr>
              <w:lastRenderedPageBreak/>
              <w:drawing>
                <wp:inline distT="0" distB="0" distL="0" distR="0" wp14:anchorId="2E6C9FC6" wp14:editId="183A3690">
                  <wp:extent cx="5943600" cy="382079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5943600" cy="3820795"/>
                          </a:xfrm>
                          <a:prstGeom prst="rect">
                            <a:avLst/>
                          </a:prstGeom>
                          <a:noFill/>
                        </pic:spPr>
                      </pic:pic>
                    </a:graphicData>
                  </a:graphic>
                </wp:inline>
              </w:drawing>
            </w:r>
          </w:p>
          <w:p w14:paraId="17BD9DCB" w14:textId="77777777" w:rsidR="00664DF3" w:rsidRDefault="007218EF">
            <w:pPr>
              <w:pStyle w:val="ImageCaption"/>
              <w:spacing w:before="200"/>
              <w:rPr>
                <w:rFonts w:ascii="Aptos" w:eastAsia="Aptos" w:hAnsi="Aptos"/>
              </w:rPr>
            </w:pPr>
            <w:r>
              <w:rPr>
                <w:rFonts w:eastAsia="Aptos"/>
              </w:rPr>
              <w:t>Figura 4: Evolución de la participación bioeconómica en el VAB, Panamá 2018–2022</w:t>
            </w:r>
            <w:bookmarkStart w:id="35" w:name="evolución-temporal-20182022"/>
            <w:bookmarkEnd w:id="34"/>
            <w:bookmarkEnd w:id="35"/>
          </w:p>
        </w:tc>
      </w:tr>
    </w:tbl>
    <w:p w14:paraId="273960D1" w14:textId="77777777" w:rsidR="00664DF3" w:rsidRDefault="007218EF">
      <w:pPr>
        <w:pStyle w:val="Heading3"/>
      </w:pPr>
      <w:bookmarkStart w:id="36" w:name="_Toc227259869"/>
      <w:r>
        <w:t>3.8 Comparación regional</w:t>
      </w:r>
      <w:bookmarkEnd w:id="36"/>
    </w:p>
    <w:p w14:paraId="5F43F68F" w14:textId="77777777" w:rsidR="00664DF3" w:rsidRDefault="007218EF">
      <w:pPr>
        <w:pStyle w:val="FirstParagraph"/>
      </w:pPr>
      <w:r>
        <w:t xml:space="preserve">Los resultados obtenidos para Panamá pueden contextualizarse dentro del panorama regional. La </w:t>
      </w:r>
      <w:hyperlink w:anchor="fig-regional">
        <w:r>
          <w:rPr>
            <w:rStyle w:val="Hyperlink"/>
          </w:rPr>
          <w:t>Figura 5</w:t>
        </w:r>
      </w:hyperlink>
      <w:r>
        <w:t xml:space="preserve"> presenta una comparación de la participación bioeconómica en el valor agregado bruto para trece países de América Latina y el Caribe, con base en los datos de Vargas et al. (2023) y los resultados del presente ejercicio.</w:t>
      </w:r>
    </w:p>
    <w:tbl>
      <w:tblPr>
        <w:tblStyle w:val="Table"/>
        <w:tblW w:w="5000" w:type="pct"/>
        <w:tblInd w:w="0" w:type="dxa"/>
        <w:tblLayout w:type="fixed"/>
        <w:tblLook w:val="0000" w:firstRow="0" w:lastRow="0" w:firstColumn="0" w:lastColumn="0" w:noHBand="0" w:noVBand="0"/>
      </w:tblPr>
      <w:tblGrid>
        <w:gridCol w:w="9360"/>
      </w:tblGrid>
      <w:tr w:rsidR="00664DF3" w14:paraId="18E1ED0C" w14:textId="77777777" w:rsidTr="00664DF3">
        <w:tc>
          <w:tcPr>
            <w:tcW w:w="9360" w:type="dxa"/>
          </w:tcPr>
          <w:p w14:paraId="4D56B479" w14:textId="77777777" w:rsidR="00664DF3" w:rsidRDefault="007218EF">
            <w:pPr>
              <w:pStyle w:val="Compact"/>
              <w:jc w:val="center"/>
              <w:rPr>
                <w:rFonts w:ascii="Aptos" w:eastAsia="Aptos" w:hAnsi="Aptos"/>
              </w:rPr>
            </w:pPr>
            <w:bookmarkStart w:id="37" w:name="fig-regional"/>
            <w:r>
              <w:rPr>
                <w:rFonts w:eastAsia="Aptos"/>
                <w:noProof/>
              </w:rPr>
              <w:lastRenderedPageBreak/>
              <w:drawing>
                <wp:inline distT="0" distB="0" distL="0" distR="0" wp14:anchorId="0C4BFEAB" wp14:editId="5A759D1E">
                  <wp:extent cx="5943600" cy="3302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943600" cy="3302000"/>
                          </a:xfrm>
                          <a:prstGeom prst="rect">
                            <a:avLst/>
                          </a:prstGeom>
                          <a:noFill/>
                        </pic:spPr>
                      </pic:pic>
                    </a:graphicData>
                  </a:graphic>
                </wp:inline>
              </w:drawing>
            </w:r>
          </w:p>
          <w:p w14:paraId="12566EB6" w14:textId="77777777" w:rsidR="00664DF3" w:rsidRDefault="007218EF">
            <w:pPr>
              <w:pStyle w:val="ImageCaption"/>
              <w:spacing w:before="200"/>
              <w:rPr>
                <w:rFonts w:ascii="Aptos" w:eastAsia="Aptos" w:hAnsi="Aptos"/>
              </w:rPr>
            </w:pPr>
            <w:r>
              <w:rPr>
                <w:rFonts w:eastAsia="Aptos"/>
              </w:rPr>
              <w:t>Figura 5: Participación de la bioeconomía en el VAB de países seleccionados de América Latina y el Caribe (%)</w:t>
            </w:r>
            <w:bookmarkEnd w:id="37"/>
          </w:p>
        </w:tc>
      </w:tr>
    </w:tbl>
    <w:p w14:paraId="2E4FB04A" w14:textId="77777777" w:rsidR="00664DF3" w:rsidRDefault="007218EF">
      <w:pPr>
        <w:pStyle w:val="BodyText"/>
      </w:pPr>
      <w:r>
        <w:t>Como se observa, Panamá se ubica en la parte inferior del rango regional en cuanto a participación bioeconómica en el VAB, resultado coherente con su estructura económica fuertemente orientada a los servicios. Los países centroamericanos con mayor peso del sector agropecuario, como Nicaragua, Honduras y Guatemala, presentan las mayores participaciones bioeconómicas. No obstante, esta comparación debe interpretarse con cautela, dado que una menor participación relativa no implica necesariamente un menor pote</w:t>
      </w:r>
      <w:r>
        <w:t xml:space="preserve">ncial de desarrollo </w:t>
      </w:r>
      <w:proofErr w:type="spellStart"/>
      <w:r>
        <w:t>bioeconómico</w:t>
      </w:r>
      <w:proofErr w:type="spellEnd"/>
      <w:r>
        <w:t>, sino que refleja la composición sectorial de cada economía.</w:t>
      </w:r>
      <w:bookmarkEnd w:id="12"/>
    </w:p>
    <w:p w14:paraId="422AD2EF" w14:textId="77777777" w:rsidR="00664DF3" w:rsidRDefault="007218EF">
      <w:pPr>
        <w:pStyle w:val="Heading2"/>
      </w:pPr>
      <w:bookmarkStart w:id="38" w:name="sec-conclusiones"/>
      <w:bookmarkStart w:id="39" w:name="_Toc227259870"/>
      <w:r>
        <w:t>4 Conclusiones y recomendaciones</w:t>
      </w:r>
      <w:bookmarkEnd w:id="39"/>
    </w:p>
    <w:p w14:paraId="7FEB02AC" w14:textId="77777777" w:rsidR="00664DF3" w:rsidRDefault="007218EF">
      <w:pPr>
        <w:pStyle w:val="FirstParagraph"/>
      </w:pPr>
      <w:r>
        <w:t>El presente ejercicio de construcción de una cuenta satélite de bioeconomía para Panamá permite extraer varias conclusiones y plantear recomendaciones para el fortalecimiento de la medición y la política en esta materia.</w:t>
      </w:r>
    </w:p>
    <w:p w14:paraId="75D2773E" w14:textId="77777777" w:rsidR="00664DF3" w:rsidRDefault="007218EF">
      <w:pPr>
        <w:pStyle w:val="BodyText"/>
      </w:pPr>
      <w:r>
        <w:t>En primer lugar, los resultados confirman que la bioeconomía, si bien representa una proporción menor del PIB panameño en comparación con otros países de la región, constituye un componente relevante de la estructura productiva nacional. La bioeconomía directa y extendida, en conjunto, representan aproximadamente el 9% del valor agregado bruto, con una presencia concentrada en la agricultura, la industria alimentaria y las manufacturas basadas en recursos biológicos. Esta participación, aunque modesta en té</w:t>
      </w:r>
      <w:r>
        <w:t>rminos relativos, involucra sectores estratégicos para la seguridad alimentaria, el empleo rural y la diversificación productiva del país.</w:t>
      </w:r>
    </w:p>
    <w:p w14:paraId="263581FB" w14:textId="77777777" w:rsidR="00664DF3" w:rsidRDefault="007218EF">
      <w:pPr>
        <w:pStyle w:val="BodyText"/>
      </w:pPr>
      <w:r>
        <w:lastRenderedPageBreak/>
        <w:t>En segundo lugar, la serie temporal 2018–2022 muestra una relativa estabilidad en la participación bioeconómica, sugiriendo que los sectores basados en recursos biológicos se comportan de manera similar al conjunto de la economía ante choques macroeconómicos como la pandemia de COVID-19. Este hallazgo resulta relevante para la discusión sobre la resiliencia de los modelos productivos basados en la bioeconomía.</w:t>
      </w:r>
    </w:p>
    <w:p w14:paraId="6DC848C8" w14:textId="77777777" w:rsidR="00664DF3" w:rsidRDefault="007218EF">
      <w:pPr>
        <w:pStyle w:val="BodyText"/>
      </w:pPr>
      <w:r>
        <w:t>En tercer lugar, el análisis de las importaciones revela que una proporción significativa de los insumos bioeconómicos utilizados por la economía panameña proviene del exterior, lo que sugiere oportunidades para la sustitución de importaciones y el fortalecimiento de cadenas de valor nacionales basadas en recursos biológicos.</w:t>
      </w:r>
    </w:p>
    <w:p w14:paraId="379D0F40" w14:textId="77777777" w:rsidR="00664DF3" w:rsidRDefault="007218EF">
      <w:pPr>
        <w:pStyle w:val="BodyText"/>
      </w:pPr>
      <w:r>
        <w:t>Respecto a las limitaciones del presente ejercicio, es importante señalar que la ausencia de una Matriz de Insumo-Producto actualizada para Panamá restringe el alcance del análisis a la contribución directa de la bioeconomía. En el caso de Ecuador, la disponibilidad de una MIP permitió estimar multiplicadores de demanda y clasificar las actividades económicas según la intensidad de sus encadenamientos bioeconómicos, distinguiendo entre actividades con multiplicadores bioeconómicos muy altos, altos, sobre la</w:t>
      </w:r>
      <w:r>
        <w:t xml:space="preserve"> mediana y bajo la mediana (Vargas, 2025). Este tipo de análisis resulta particularmente valioso para la identificación de sectores con alto potencial de arrastre </w:t>
      </w:r>
      <w:proofErr w:type="spellStart"/>
      <w:r>
        <w:t>bioeconómico</w:t>
      </w:r>
      <w:proofErr w:type="spellEnd"/>
      <w:r>
        <w:t xml:space="preserve"> y para el diseño de políticas de fomento productivo.</w:t>
      </w:r>
    </w:p>
    <w:p w14:paraId="1F5EE7FD" w14:textId="77777777" w:rsidR="00664DF3" w:rsidRDefault="007218EF">
      <w:pPr>
        <w:pStyle w:val="BodyText"/>
      </w:pPr>
      <w:r>
        <w:t>En este sentido, se recomienda que las autoridades estadísticas de Panamá prioricen la actualización de la Matriz de Insumo-Producto oficial, lo que permitiría:</w:t>
      </w:r>
    </w:p>
    <w:p w14:paraId="16F6914E" w14:textId="77777777" w:rsidR="00664DF3" w:rsidRDefault="007218EF">
      <w:pPr>
        <w:numPr>
          <w:ilvl w:val="0"/>
          <w:numId w:val="7"/>
        </w:numPr>
      </w:pPr>
      <w:r>
        <w:t>Estimar la contribución indirecta de la bioeconomía, incluyendo los efectos de encadenamiento hacia atrás y hacia adelante a lo largo de las cadenas productivas.</w:t>
      </w:r>
    </w:p>
    <w:p w14:paraId="0C312040" w14:textId="77777777" w:rsidR="00664DF3" w:rsidRDefault="007218EF">
      <w:pPr>
        <w:numPr>
          <w:ilvl w:val="0"/>
          <w:numId w:val="2"/>
        </w:numPr>
      </w:pPr>
      <w:r>
        <w:t xml:space="preserve">Calcular multiplicadores de demanda bioeconómica, identificando qué actividades generan los mayores efectos multiplicadores cuando aumenta la demanda de productos bioeconómicos (Miller y Blair, 2009; Vargas y </w:t>
      </w:r>
      <w:proofErr w:type="spellStart"/>
      <w:r>
        <w:t>Dietzenbacher</w:t>
      </w:r>
      <w:proofErr w:type="spellEnd"/>
      <w:r>
        <w:t>, 2015).</w:t>
      </w:r>
    </w:p>
    <w:p w14:paraId="53AEF298" w14:textId="77777777" w:rsidR="00664DF3" w:rsidRDefault="007218EF">
      <w:pPr>
        <w:numPr>
          <w:ilvl w:val="0"/>
          <w:numId w:val="2"/>
        </w:numPr>
      </w:pPr>
      <w:r>
        <w:t>Profundizar el análisis de política, al disponer de herramientas cuantitativas que permitan simular escenarios de fomento de la bioeconomía y estimar sus impactos sobre la producción, el empleo y el comercio exterior.</w:t>
      </w:r>
    </w:p>
    <w:p w14:paraId="799D85A9" w14:textId="77777777" w:rsidR="00664DF3" w:rsidRDefault="007218EF">
      <w:pPr>
        <w:pStyle w:val="FirstParagraph"/>
      </w:pPr>
      <w:r>
        <w:t>Adicionalmente, se recomienda:</w:t>
      </w:r>
    </w:p>
    <w:p w14:paraId="2B1D996F" w14:textId="77777777" w:rsidR="00664DF3" w:rsidRDefault="007218EF">
      <w:pPr>
        <w:numPr>
          <w:ilvl w:val="0"/>
          <w:numId w:val="1"/>
        </w:numPr>
      </w:pPr>
      <w:r>
        <w:t>Actualización periódica de la cuenta satélite de bioeconomía, incorporando los nuevos años de COU conforme estén disponibles, para mantener un monitoreo continuo de la evolución del sector.</w:t>
      </w:r>
    </w:p>
    <w:p w14:paraId="299406AD" w14:textId="77777777" w:rsidR="00664DF3" w:rsidRDefault="007218EF">
      <w:pPr>
        <w:numPr>
          <w:ilvl w:val="0"/>
          <w:numId w:val="1"/>
        </w:numPr>
      </w:pPr>
      <w:r>
        <w:t>Incorporación de los COU que muestran medidas encadenadas de valor, para determinar el crecimiento real de la bioeconomía.</w:t>
      </w:r>
    </w:p>
    <w:p w14:paraId="2ED0DC09" w14:textId="77777777" w:rsidR="00664DF3" w:rsidRDefault="007218EF">
      <w:pPr>
        <w:numPr>
          <w:ilvl w:val="0"/>
          <w:numId w:val="1"/>
        </w:numPr>
      </w:pPr>
      <w:r>
        <w:lastRenderedPageBreak/>
        <w:t>Vinculación con cuentas ambientales, siguiendo el marco del Sistema de Contabilidad Ambiental y Económica (SCAE) (</w:t>
      </w:r>
      <w:proofErr w:type="spellStart"/>
      <w:r>
        <w:t>European</w:t>
      </w:r>
      <w:proofErr w:type="spellEnd"/>
      <w:r>
        <w:t xml:space="preserve"> </w:t>
      </w:r>
      <w:proofErr w:type="spellStart"/>
      <w:r>
        <w:t>Commission</w:t>
      </w:r>
      <w:proofErr w:type="spellEnd"/>
      <w:r>
        <w:t xml:space="preserve"> et al., 2013), lo que permitiría analizar la relación entre la bioeconomía y el uso de recursos naturales y servicios ecosistémicos.</w:t>
      </w:r>
    </w:p>
    <w:p w14:paraId="1D962029" w14:textId="77777777" w:rsidR="00664DF3" w:rsidRDefault="007218EF">
      <w:pPr>
        <w:numPr>
          <w:ilvl w:val="0"/>
          <w:numId w:val="1"/>
        </w:numPr>
      </w:pPr>
      <w:r>
        <w:t>Desarrollo de una estrategia nacional de bioeconomía, que se apoye en la evidencia estadística generada por las cuentas satélite para establecer metas cuantificables y mecanismos de seguimiento, como han hecho otros países de la región.</w:t>
      </w:r>
      <w:bookmarkEnd w:id="38"/>
    </w:p>
    <w:p w14:paraId="235C8509" w14:textId="77777777" w:rsidR="00664DF3" w:rsidRDefault="007218EF">
      <w:pPr>
        <w:pStyle w:val="Heading2"/>
      </w:pPr>
      <w:bookmarkStart w:id="40" w:name="referencias"/>
      <w:bookmarkStart w:id="41" w:name="_Toc227259871"/>
      <w:r>
        <w:t>Referencias</w:t>
      </w:r>
      <w:bookmarkEnd w:id="41"/>
    </w:p>
    <w:p w14:paraId="2F687054" w14:textId="77777777" w:rsidR="00664DF3" w:rsidRPr="00701AD6" w:rsidRDefault="007218EF">
      <w:pPr>
        <w:pStyle w:val="Bibliography"/>
        <w:rPr>
          <w:lang w:val="en-US"/>
        </w:rPr>
      </w:pPr>
      <w:bookmarkStart w:id="42" w:name="ref-comision_europea_scn_2016"/>
      <w:bookmarkStart w:id="43" w:name="refs"/>
      <w:r>
        <w:t xml:space="preserve">Comisión Europea, Fondo Monetario Internacional, Organización de Cooperación y Desarrollo Económicos, Naciones Unidas y Banco Mundial. </w:t>
      </w:r>
      <w:r w:rsidRPr="00701AD6">
        <w:rPr>
          <w:lang w:val="en-US"/>
        </w:rPr>
        <w:t xml:space="preserve">(2016). </w:t>
      </w:r>
      <w:r w:rsidRPr="00701AD6">
        <w:rPr>
          <w:i/>
          <w:iCs/>
          <w:lang w:val="en-US"/>
        </w:rPr>
        <w:t>Sistema de Cuentas Nacionales 2008</w:t>
      </w:r>
      <w:r w:rsidRPr="00701AD6">
        <w:rPr>
          <w:lang w:val="en-US"/>
        </w:rPr>
        <w:t xml:space="preserve">. </w:t>
      </w:r>
      <w:proofErr w:type="spellStart"/>
      <w:r w:rsidRPr="00701AD6">
        <w:rPr>
          <w:lang w:val="en-US"/>
        </w:rPr>
        <w:t>Naciones</w:t>
      </w:r>
      <w:proofErr w:type="spellEnd"/>
      <w:r w:rsidRPr="00701AD6">
        <w:rPr>
          <w:lang w:val="en-US"/>
        </w:rPr>
        <w:t xml:space="preserve"> Unidas.</w:t>
      </w:r>
      <w:bookmarkEnd w:id="42"/>
    </w:p>
    <w:p w14:paraId="54AA19FC" w14:textId="77777777" w:rsidR="00664DF3" w:rsidRPr="00701AD6" w:rsidRDefault="007218EF">
      <w:pPr>
        <w:pStyle w:val="Bibliography"/>
        <w:rPr>
          <w:lang w:val="en-US"/>
        </w:rPr>
      </w:pPr>
      <w:bookmarkStart w:id="44" w:name="ref-european_commission_system_2013"/>
      <w:r w:rsidRPr="00701AD6">
        <w:rPr>
          <w:lang w:val="en-US"/>
        </w:rPr>
        <w:t xml:space="preserve">European Commission, </w:t>
      </w:r>
      <w:proofErr w:type="spellStart"/>
      <w:r w:rsidRPr="00701AD6">
        <w:rPr>
          <w:lang w:val="en-US"/>
        </w:rPr>
        <w:t>Organisation</w:t>
      </w:r>
      <w:proofErr w:type="spellEnd"/>
      <w:r w:rsidRPr="00701AD6">
        <w:rPr>
          <w:lang w:val="en-US"/>
        </w:rPr>
        <w:t xml:space="preserve"> for Economic Cooperation and Development, United Nations y World Bank. (2013). </w:t>
      </w:r>
      <w:r w:rsidRPr="00701AD6">
        <w:rPr>
          <w:i/>
          <w:iCs/>
          <w:lang w:val="en-US"/>
        </w:rPr>
        <w:t>System of Environmental-Economic Accounting 2012</w:t>
      </w:r>
      <w:r w:rsidRPr="00701AD6">
        <w:rPr>
          <w:lang w:val="en-US"/>
        </w:rPr>
        <w:t>. United Nations.</w:t>
      </w:r>
      <w:bookmarkEnd w:id="44"/>
    </w:p>
    <w:p w14:paraId="1CB3BFBA" w14:textId="77777777" w:rsidR="00664DF3" w:rsidRPr="00701AD6" w:rsidRDefault="007218EF">
      <w:pPr>
        <w:pStyle w:val="Bibliography"/>
        <w:rPr>
          <w:lang w:val="en-US"/>
        </w:rPr>
      </w:pPr>
      <w:bookmarkStart w:id="45" w:name="ref-german_bioeconomy_council_2018"/>
      <w:r w:rsidRPr="00701AD6">
        <w:rPr>
          <w:lang w:val="en-US"/>
        </w:rPr>
        <w:t xml:space="preserve">German Bioeconomy Council. (2018). </w:t>
      </w:r>
      <w:r w:rsidRPr="00701AD6">
        <w:rPr>
          <w:i/>
          <w:iCs/>
          <w:lang w:val="en-US"/>
        </w:rPr>
        <w:t>Global Bioeconomy Summit: Conference Report</w:t>
      </w:r>
      <w:r w:rsidRPr="00701AD6">
        <w:rPr>
          <w:lang w:val="en-US"/>
        </w:rPr>
        <w:t>. German Bioeconomy Council.</w:t>
      </w:r>
      <w:bookmarkEnd w:id="45"/>
    </w:p>
    <w:p w14:paraId="36CEFA9E" w14:textId="77777777" w:rsidR="00664DF3" w:rsidRPr="00701AD6" w:rsidRDefault="007218EF">
      <w:pPr>
        <w:pStyle w:val="Bibliography"/>
        <w:rPr>
          <w:lang w:val="en-US"/>
        </w:rPr>
      </w:pPr>
      <w:bookmarkStart w:id="46" w:name="ref-iacgb_2018"/>
      <w:r w:rsidRPr="00701AD6">
        <w:rPr>
          <w:lang w:val="en-US"/>
        </w:rPr>
        <w:t xml:space="preserve">IACGB. (2018). </w:t>
      </w:r>
      <w:r w:rsidRPr="00701AD6">
        <w:rPr>
          <w:i/>
          <w:iCs/>
          <w:lang w:val="en-US"/>
        </w:rPr>
        <w:t>Innovation in the Global Bioeconomy for Sustainable and Inclusive Transformation and Wellbeing: Communiqué of the Global Bioeconomy Summit 2018</w:t>
      </w:r>
      <w:r w:rsidRPr="00701AD6">
        <w:rPr>
          <w:lang w:val="en-US"/>
        </w:rPr>
        <w:t>. International Advisory Council on Global Bioeconomy.</w:t>
      </w:r>
      <w:bookmarkEnd w:id="46"/>
    </w:p>
    <w:p w14:paraId="3D715425" w14:textId="77777777" w:rsidR="00664DF3" w:rsidRDefault="007218EF">
      <w:pPr>
        <w:pStyle w:val="Bibliography"/>
      </w:pPr>
      <w:bookmarkStart w:id="47" w:name="ref-iacgb_2020"/>
      <w:r w:rsidRPr="00701AD6">
        <w:rPr>
          <w:lang w:val="en-US"/>
        </w:rPr>
        <w:t xml:space="preserve">IACGB. (2020). </w:t>
      </w:r>
      <w:r w:rsidRPr="00701AD6">
        <w:rPr>
          <w:i/>
          <w:iCs/>
          <w:lang w:val="en-US"/>
        </w:rPr>
        <w:t>Expanding the Sustainable Bioeconomy: Vision and Way Forward: Communiqué of the Global Bioeconomy Summit 2020</w:t>
      </w:r>
      <w:r w:rsidRPr="00701AD6">
        <w:rPr>
          <w:lang w:val="en-US"/>
        </w:rPr>
        <w:t xml:space="preserve">. </w:t>
      </w:r>
      <w:r>
        <w:t xml:space="preserve">International </w:t>
      </w:r>
      <w:proofErr w:type="spellStart"/>
      <w:r>
        <w:t>Advisory</w:t>
      </w:r>
      <w:proofErr w:type="spellEnd"/>
      <w:r>
        <w:t xml:space="preserve"> Council </w:t>
      </w:r>
      <w:proofErr w:type="spellStart"/>
      <w:r>
        <w:t>on</w:t>
      </w:r>
      <w:proofErr w:type="spellEnd"/>
      <w:r>
        <w:t xml:space="preserve"> Global </w:t>
      </w:r>
      <w:proofErr w:type="spellStart"/>
      <w:r>
        <w:t>Bioeconomy</w:t>
      </w:r>
      <w:proofErr w:type="spellEnd"/>
      <w:r>
        <w:t>.</w:t>
      </w:r>
      <w:bookmarkEnd w:id="47"/>
    </w:p>
    <w:p w14:paraId="3FB5D3A0" w14:textId="77777777" w:rsidR="00664DF3" w:rsidRDefault="007218EF">
      <w:pPr>
        <w:pStyle w:val="Bibliography"/>
      </w:pPr>
      <w:bookmarkStart w:id="48" w:name="ref-inec_panama_cou"/>
      <w:r>
        <w:t xml:space="preserve">INEC Panamá. (2024). </w:t>
      </w:r>
      <w:r>
        <w:rPr>
          <w:i/>
          <w:iCs/>
        </w:rPr>
        <w:t>Cuadros de Oferta y Utilización del Sistema de Cuentas Nacionales de Panamá</w:t>
      </w:r>
      <w:r>
        <w:t>. Instituto Nacional de Estadística y Censo (INEC).</w:t>
      </w:r>
      <w:bookmarkEnd w:id="48"/>
    </w:p>
    <w:p w14:paraId="3D848634" w14:textId="77777777" w:rsidR="00664DF3" w:rsidRPr="00701AD6" w:rsidRDefault="007218EF">
      <w:pPr>
        <w:pStyle w:val="Bibliography"/>
        <w:rPr>
          <w:lang w:val="en-US"/>
        </w:rPr>
      </w:pPr>
      <w:bookmarkStart w:id="49" w:name="ref-miller_blair_2009"/>
      <w:r>
        <w:t xml:space="preserve">Miller, R. E. y Blair, P. D. (2009). </w:t>
      </w:r>
      <w:r w:rsidRPr="00701AD6">
        <w:rPr>
          <w:i/>
          <w:iCs/>
          <w:lang w:val="en-US"/>
        </w:rPr>
        <w:t>Input-Output Analysis: Foundations and Extensions</w:t>
      </w:r>
      <w:r w:rsidRPr="00701AD6">
        <w:rPr>
          <w:lang w:val="en-US"/>
        </w:rPr>
        <w:t xml:space="preserve"> (2.ª ed.). Cambridge University Press.</w:t>
      </w:r>
      <w:bookmarkEnd w:id="49"/>
    </w:p>
    <w:p w14:paraId="201D5401" w14:textId="77777777" w:rsidR="00664DF3" w:rsidRDefault="007218EF">
      <w:pPr>
        <w:pStyle w:val="Bibliography"/>
      </w:pPr>
      <w:bookmarkStart w:id="50" w:name="ref-rodriguez_bioeconomia_2017"/>
      <w:r w:rsidRPr="00701AD6">
        <w:rPr>
          <w:lang w:val="en-US"/>
        </w:rPr>
        <w:t xml:space="preserve">Rodríguez, A., </w:t>
      </w:r>
      <w:proofErr w:type="spellStart"/>
      <w:r w:rsidRPr="00701AD6">
        <w:rPr>
          <w:lang w:val="en-US"/>
        </w:rPr>
        <w:t>Mondaini</w:t>
      </w:r>
      <w:proofErr w:type="spellEnd"/>
      <w:r w:rsidRPr="00701AD6">
        <w:rPr>
          <w:lang w:val="en-US"/>
        </w:rPr>
        <w:t xml:space="preserve">, A. y </w:t>
      </w:r>
      <w:proofErr w:type="spellStart"/>
      <w:r w:rsidRPr="00701AD6">
        <w:rPr>
          <w:lang w:val="en-US"/>
        </w:rPr>
        <w:t>Hitschfeld</w:t>
      </w:r>
      <w:proofErr w:type="spellEnd"/>
      <w:r w:rsidRPr="00701AD6">
        <w:rPr>
          <w:lang w:val="en-US"/>
        </w:rPr>
        <w:t xml:space="preserve">, M. (2017). </w:t>
      </w:r>
      <w:r>
        <w:rPr>
          <w:i/>
          <w:iCs/>
        </w:rPr>
        <w:t>Bioeconomía en América Latina y el Caribe: contexto global y regional y perspectivas</w:t>
      </w:r>
      <w:r>
        <w:t xml:space="preserve"> (N.º 215; Serie Desarrollo Productivo). Comisión Económica para América Latina y el Caribe (CEPAL).</w:t>
      </w:r>
      <w:bookmarkEnd w:id="50"/>
    </w:p>
    <w:p w14:paraId="202C7F69" w14:textId="77777777" w:rsidR="00664DF3" w:rsidRDefault="007218EF">
      <w:pPr>
        <w:pStyle w:val="Bibliography"/>
      </w:pPr>
      <w:bookmarkStart w:id="51" w:name="ref-vargas_ecuador_2025"/>
      <w:r>
        <w:t xml:space="preserve">Vargas, R. (2025). </w:t>
      </w:r>
      <w:r>
        <w:rPr>
          <w:i/>
          <w:iCs/>
        </w:rPr>
        <w:t>Implementación de una metodología de construcción de cuentas satélite de bioeconomía con el Sistema de Cuentas Nacionales de Ecuador</w:t>
      </w:r>
      <w:r>
        <w:t>. Comisión Económica para América Latina y el Caribe (CEPAL).</w:t>
      </w:r>
      <w:bookmarkEnd w:id="51"/>
    </w:p>
    <w:p w14:paraId="662098D6" w14:textId="77777777" w:rsidR="00664DF3" w:rsidRDefault="007218EF">
      <w:pPr>
        <w:pStyle w:val="Bibliography"/>
      </w:pPr>
      <w:bookmarkStart w:id="52" w:name="ref-vargas_cuenta_2022"/>
      <w:r>
        <w:lastRenderedPageBreak/>
        <w:t xml:space="preserve">Vargas, R., Alvarado, I., Rodríguez, A., Rodríguez, M. y Wander, P. (2022). </w:t>
      </w:r>
      <w:r>
        <w:rPr>
          <w:i/>
          <w:iCs/>
        </w:rPr>
        <w:t>Cuenta satélite de bioeconomía para Costa Rica</w:t>
      </w:r>
      <w:r>
        <w:t xml:space="preserve"> (N.º 214; Serie Recursos Naturales y Desarrollo). Comisión Económica para América Latina y el Caribe (CEPAL).</w:t>
      </w:r>
      <w:bookmarkEnd w:id="52"/>
    </w:p>
    <w:p w14:paraId="0B9444B4" w14:textId="77777777" w:rsidR="00664DF3" w:rsidRPr="00701AD6" w:rsidRDefault="007218EF">
      <w:pPr>
        <w:pStyle w:val="Bibliography"/>
        <w:rPr>
          <w:lang w:val="en-US"/>
        </w:rPr>
      </w:pPr>
      <w:bookmarkStart w:id="53" w:name="ref-vargas_dietzenbacher_2015"/>
      <w:r>
        <w:t xml:space="preserve">Vargas, R. y </w:t>
      </w:r>
      <w:proofErr w:type="spellStart"/>
      <w:r>
        <w:t>Dietzenbacher</w:t>
      </w:r>
      <w:proofErr w:type="spellEnd"/>
      <w:r>
        <w:t xml:space="preserve">, E. (2015). </w:t>
      </w:r>
      <w:r w:rsidRPr="00701AD6">
        <w:rPr>
          <w:lang w:val="en-US"/>
        </w:rPr>
        <w:t xml:space="preserve">Economies to die for: Impacts on human health embodied in production and trade. </w:t>
      </w:r>
      <w:r w:rsidRPr="00701AD6">
        <w:rPr>
          <w:i/>
          <w:iCs/>
          <w:lang w:val="en-US"/>
        </w:rPr>
        <w:t>Economic Systems Research</w:t>
      </w:r>
      <w:r w:rsidRPr="00701AD6">
        <w:rPr>
          <w:lang w:val="en-US"/>
        </w:rPr>
        <w:t>.</w:t>
      </w:r>
      <w:bookmarkEnd w:id="53"/>
    </w:p>
    <w:p w14:paraId="521C63A3" w14:textId="77777777" w:rsidR="00664DF3" w:rsidRDefault="007218EF">
      <w:pPr>
        <w:pStyle w:val="Bibliography"/>
      </w:pPr>
      <w:bookmarkStart w:id="54" w:name="ref-vargas_cuentas_2023"/>
      <w:r w:rsidRPr="00701AD6">
        <w:rPr>
          <w:lang w:val="en-US"/>
        </w:rPr>
        <w:t xml:space="preserve">Vargas, R., </w:t>
      </w:r>
      <w:proofErr w:type="spellStart"/>
      <w:r w:rsidRPr="00701AD6">
        <w:rPr>
          <w:lang w:val="en-US"/>
        </w:rPr>
        <w:t>Mondaini</w:t>
      </w:r>
      <w:proofErr w:type="spellEnd"/>
      <w:r w:rsidRPr="00701AD6">
        <w:rPr>
          <w:lang w:val="en-US"/>
        </w:rPr>
        <w:t xml:space="preserve">, A. y Rodríguez, A. (2023). </w:t>
      </w:r>
      <w:r>
        <w:rPr>
          <w:i/>
          <w:iCs/>
        </w:rPr>
        <w:t>Cuentas satélite de bioeconomía para 13 países de América Latina y el Caribe</w:t>
      </w:r>
      <w:r>
        <w:t xml:space="preserve"> (N.º 219; Serie Recursos Naturales y Desarrollo). Comisión Económica para América Latina y el Caribe (CEPAL).</w:t>
      </w:r>
      <w:bookmarkEnd w:id="40"/>
      <w:bookmarkEnd w:id="43"/>
      <w:bookmarkEnd w:id="54"/>
    </w:p>
    <w:sectPr w:rsidR="00664DF3">
      <w:footerReference w:type="even" r:id="rId12"/>
      <w:footerReference w:type="default" r:id="rId13"/>
      <w:footerReference w:type="first" r:id="rId14"/>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14B5" w14:textId="77777777" w:rsidR="007218EF" w:rsidRDefault="007218EF">
      <w:pPr>
        <w:spacing w:after="0"/>
      </w:pPr>
      <w:r>
        <w:separator/>
      </w:r>
    </w:p>
  </w:endnote>
  <w:endnote w:type="continuationSeparator" w:id="0">
    <w:p w14:paraId="459A4190" w14:textId="77777777" w:rsidR="007218EF" w:rsidRDefault="007218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D951" w14:textId="77777777" w:rsidR="00664DF3" w:rsidRDefault="00664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AB9D" w14:textId="77777777" w:rsidR="00664DF3" w:rsidRDefault="007218EF">
    <w:pPr>
      <w:pStyle w:val="Footer"/>
    </w:pPr>
    <w:r>
      <w:tab/>
    </w:r>
    <w:r>
      <w:fldChar w:fldCharType="begin"/>
    </w:r>
    <w:r>
      <w:instrText xml:space="preserve"> PAGE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43C7" w14:textId="77777777" w:rsidR="00664DF3" w:rsidRDefault="007218EF">
    <w:pPr>
      <w:pStyle w:val="Footer"/>
    </w:pPr>
    <w:r>
      <w:tab/>
    </w:r>
    <w:r>
      <w:fldChar w:fldCharType="begin"/>
    </w:r>
    <w:r>
      <w:instrText xml:space="preserve"> PAGE </w:instrText>
    </w:r>
    <w:r>
      <w:fldChar w:fldCharType="separate"/>
    </w:r>
    <w: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77531" w14:textId="77777777" w:rsidR="007218EF" w:rsidRDefault="007218EF">
      <w:pPr>
        <w:spacing w:after="0"/>
      </w:pPr>
      <w:r>
        <w:separator/>
      </w:r>
    </w:p>
  </w:footnote>
  <w:footnote w:type="continuationSeparator" w:id="0">
    <w:p w14:paraId="1CED6646" w14:textId="77777777" w:rsidR="007218EF" w:rsidRDefault="007218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5A69"/>
    <w:multiLevelType w:val="multilevel"/>
    <w:tmpl w:val="57086926"/>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15:restartNumberingAfterBreak="0">
    <w:nsid w:val="239A78F4"/>
    <w:multiLevelType w:val="multilevel"/>
    <w:tmpl w:val="E0D86558"/>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3224579C"/>
    <w:multiLevelType w:val="multilevel"/>
    <w:tmpl w:val="89BEDE90"/>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2965A14"/>
    <w:multiLevelType w:val="multilevel"/>
    <w:tmpl w:val="EB5EF902"/>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ED47FC8"/>
    <w:multiLevelType w:val="multilevel"/>
    <w:tmpl w:val="F48AF5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94613250">
    <w:abstractNumId w:val="2"/>
  </w:num>
  <w:num w:numId="2" w16cid:durableId="245267796">
    <w:abstractNumId w:val="0"/>
  </w:num>
  <w:num w:numId="3" w16cid:durableId="1325429425">
    <w:abstractNumId w:val="1"/>
  </w:num>
  <w:num w:numId="4" w16cid:durableId="629045732">
    <w:abstractNumId w:val="3"/>
  </w:num>
  <w:num w:numId="5" w16cid:durableId="961688160">
    <w:abstractNumId w:val="4"/>
  </w:num>
  <w:num w:numId="6" w16cid:durableId="8215674">
    <w:abstractNumId w:val="0"/>
    <w:lvlOverride w:ilvl="0">
      <w:startOverride w:val="1"/>
    </w:lvlOverride>
  </w:num>
  <w:num w:numId="7" w16cid:durableId="2100104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F3"/>
    <w:rsid w:val="00350EAC"/>
    <w:rsid w:val="0036588C"/>
    <w:rsid w:val="00583813"/>
    <w:rsid w:val="00664DF3"/>
    <w:rsid w:val="00701AD6"/>
    <w:rsid w:val="007218EF"/>
    <w:rsid w:val="007C7994"/>
    <w:rsid w:val="009C7C8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1997"/>
  <w15:docId w15:val="{80D046E6-019F-4C4F-B0A8-747389BF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rsid w:val="0003144B"/>
    <w:pPr>
      <w:keepNext/>
      <w:keepLines/>
      <w:spacing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0570CE"/>
    <w:pPr>
      <w:keepNext/>
      <w:keepLines/>
      <w:spacing w:after="2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0570CE"/>
    <w:pPr>
      <w:keepNext/>
      <w:keepLines/>
      <w:spacing w:after="24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031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05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05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156082" w:themeColor="accent1"/>
    </w:rPr>
  </w:style>
  <w:style w:type="character" w:customStyle="1" w:styleId="KeywordTok">
    <w:name w:val="KeywordTok"/>
    <w:basedOn w:val="VerbatimChar"/>
    <w:qFormat/>
    <w:rPr>
      <w:rFonts w:ascii="Consolas" w:hAnsi="Consolas"/>
      <w:b/>
      <w:color w:val="003B4F"/>
      <w:sz w:val="22"/>
      <w:shd w:val="clear" w:color="auto" w:fill="F1F3F5"/>
    </w:rPr>
  </w:style>
  <w:style w:type="character" w:customStyle="1" w:styleId="DataTypeTok">
    <w:name w:val="DataTypeTok"/>
    <w:basedOn w:val="VerbatimChar"/>
    <w:qFormat/>
    <w:rPr>
      <w:rFonts w:ascii="Consolas" w:hAnsi="Consolas"/>
      <w:color w:val="AD0000"/>
      <w:sz w:val="22"/>
      <w:shd w:val="clear" w:color="auto" w:fill="F1F3F5"/>
    </w:rPr>
  </w:style>
  <w:style w:type="character" w:customStyle="1" w:styleId="DecValTok">
    <w:name w:val="DecValTok"/>
    <w:basedOn w:val="VerbatimChar"/>
    <w:qFormat/>
    <w:rPr>
      <w:rFonts w:ascii="Consolas" w:hAnsi="Consolas"/>
      <w:color w:val="AD0000"/>
      <w:sz w:val="22"/>
      <w:shd w:val="clear" w:color="auto" w:fill="F1F3F5"/>
    </w:rPr>
  </w:style>
  <w:style w:type="character" w:customStyle="1" w:styleId="BaseNTok">
    <w:name w:val="BaseNTok"/>
    <w:basedOn w:val="VerbatimChar"/>
    <w:qFormat/>
    <w:rPr>
      <w:rFonts w:ascii="Consolas" w:hAnsi="Consolas"/>
      <w:color w:val="AD0000"/>
      <w:sz w:val="22"/>
      <w:shd w:val="clear" w:color="auto" w:fill="F1F3F5"/>
    </w:rPr>
  </w:style>
  <w:style w:type="character" w:customStyle="1" w:styleId="FloatTok">
    <w:name w:val="FloatTok"/>
    <w:basedOn w:val="VerbatimChar"/>
    <w:qFormat/>
    <w:rPr>
      <w:rFonts w:ascii="Consolas" w:hAnsi="Consolas"/>
      <w:color w:val="AD0000"/>
      <w:sz w:val="22"/>
      <w:shd w:val="clear" w:color="auto" w:fill="F1F3F5"/>
    </w:rPr>
  </w:style>
  <w:style w:type="character" w:customStyle="1" w:styleId="ConstantTok">
    <w:name w:val="ConstantTok"/>
    <w:basedOn w:val="VerbatimChar"/>
    <w:qFormat/>
    <w:rPr>
      <w:rFonts w:ascii="Consolas" w:hAnsi="Consolas"/>
      <w:color w:val="8F5902"/>
      <w:sz w:val="22"/>
      <w:shd w:val="clear" w:color="auto" w:fill="F1F3F5"/>
    </w:rPr>
  </w:style>
  <w:style w:type="character" w:customStyle="1" w:styleId="CharTok">
    <w:name w:val="CharTok"/>
    <w:basedOn w:val="VerbatimChar"/>
    <w:qFormat/>
    <w:rPr>
      <w:rFonts w:ascii="Consolas" w:hAnsi="Consolas"/>
      <w:color w:val="20794D"/>
      <w:sz w:val="22"/>
      <w:shd w:val="clear" w:color="auto" w:fill="F1F3F5"/>
    </w:rPr>
  </w:style>
  <w:style w:type="character" w:customStyle="1" w:styleId="SpecialCharTok">
    <w:name w:val="SpecialCharTok"/>
    <w:basedOn w:val="VerbatimChar"/>
    <w:qFormat/>
    <w:rPr>
      <w:rFonts w:ascii="Consolas" w:hAnsi="Consolas"/>
      <w:color w:val="5E5E5E"/>
      <w:sz w:val="22"/>
      <w:shd w:val="clear" w:color="auto" w:fill="F1F3F5"/>
    </w:rPr>
  </w:style>
  <w:style w:type="character" w:customStyle="1" w:styleId="StringTok">
    <w:name w:val="StringTok"/>
    <w:basedOn w:val="VerbatimChar"/>
    <w:qFormat/>
    <w:rPr>
      <w:rFonts w:ascii="Consolas" w:hAnsi="Consolas"/>
      <w:color w:val="20794D"/>
      <w:sz w:val="22"/>
      <w:shd w:val="clear" w:color="auto" w:fill="F1F3F5"/>
    </w:rPr>
  </w:style>
  <w:style w:type="character" w:customStyle="1" w:styleId="VerbatimStringTok">
    <w:name w:val="VerbatimStringTok"/>
    <w:basedOn w:val="VerbatimChar"/>
    <w:qFormat/>
    <w:rPr>
      <w:rFonts w:ascii="Consolas" w:hAnsi="Consolas"/>
      <w:color w:val="20794D"/>
      <w:sz w:val="22"/>
      <w:shd w:val="clear" w:color="auto" w:fill="F1F3F5"/>
    </w:rPr>
  </w:style>
  <w:style w:type="character" w:customStyle="1" w:styleId="SpecialStringTok">
    <w:name w:val="SpecialStringTok"/>
    <w:basedOn w:val="VerbatimChar"/>
    <w:qFormat/>
    <w:rPr>
      <w:rFonts w:ascii="Consolas" w:hAnsi="Consolas"/>
      <w:color w:val="20794D"/>
      <w:sz w:val="22"/>
      <w:shd w:val="clear" w:color="auto" w:fill="F1F3F5"/>
    </w:rPr>
  </w:style>
  <w:style w:type="character" w:customStyle="1" w:styleId="ImportTok">
    <w:name w:val="ImportTok"/>
    <w:basedOn w:val="VerbatimChar"/>
    <w:qFormat/>
    <w:rPr>
      <w:rFonts w:ascii="Consolas" w:hAnsi="Consolas"/>
      <w:color w:val="00769E"/>
      <w:sz w:val="22"/>
      <w:shd w:val="clear" w:color="auto" w:fill="F1F3F5"/>
    </w:rPr>
  </w:style>
  <w:style w:type="character" w:customStyle="1" w:styleId="CommentTok">
    <w:name w:val="CommentTok"/>
    <w:basedOn w:val="VerbatimChar"/>
    <w:qFormat/>
    <w:rPr>
      <w:rFonts w:ascii="Consolas" w:hAnsi="Consolas"/>
      <w:color w:val="5E5E5E"/>
      <w:sz w:val="22"/>
      <w:shd w:val="clear" w:color="auto" w:fill="F1F3F5"/>
    </w:rPr>
  </w:style>
  <w:style w:type="character" w:customStyle="1" w:styleId="DocumentationTok">
    <w:name w:val="DocumentationTok"/>
    <w:basedOn w:val="VerbatimChar"/>
    <w:qFormat/>
    <w:rPr>
      <w:rFonts w:ascii="Consolas" w:hAnsi="Consolas"/>
      <w:i/>
      <w:color w:val="5E5E5E"/>
      <w:sz w:val="22"/>
      <w:shd w:val="clear" w:color="auto" w:fill="F1F3F5"/>
    </w:rPr>
  </w:style>
  <w:style w:type="character" w:customStyle="1" w:styleId="AnnotationTok">
    <w:name w:val="AnnotationTok"/>
    <w:basedOn w:val="VerbatimChar"/>
    <w:qFormat/>
    <w:rPr>
      <w:rFonts w:ascii="Consolas" w:hAnsi="Consolas"/>
      <w:color w:val="5E5E5E"/>
      <w:sz w:val="22"/>
      <w:shd w:val="clear" w:color="auto" w:fill="F1F3F5"/>
    </w:rPr>
  </w:style>
  <w:style w:type="character" w:customStyle="1" w:styleId="CommentVarTok">
    <w:name w:val="CommentVarTok"/>
    <w:basedOn w:val="VerbatimChar"/>
    <w:qFormat/>
    <w:rPr>
      <w:rFonts w:ascii="Consolas" w:hAnsi="Consolas"/>
      <w:i/>
      <w:color w:val="5E5E5E"/>
      <w:sz w:val="22"/>
      <w:shd w:val="clear" w:color="auto" w:fill="F1F3F5"/>
    </w:rPr>
  </w:style>
  <w:style w:type="character" w:customStyle="1" w:styleId="OtherTok">
    <w:name w:val="OtherTok"/>
    <w:basedOn w:val="VerbatimChar"/>
    <w:qFormat/>
    <w:rPr>
      <w:rFonts w:ascii="Consolas" w:hAnsi="Consolas"/>
      <w:color w:val="003B4F"/>
      <w:sz w:val="22"/>
      <w:shd w:val="clear" w:color="auto" w:fill="F1F3F5"/>
    </w:rPr>
  </w:style>
  <w:style w:type="character" w:customStyle="1" w:styleId="FunctionTok">
    <w:name w:val="FunctionTok"/>
    <w:basedOn w:val="VerbatimChar"/>
    <w:qFormat/>
    <w:rPr>
      <w:rFonts w:ascii="Consolas" w:hAnsi="Consolas"/>
      <w:color w:val="4758AB"/>
      <w:sz w:val="22"/>
      <w:shd w:val="clear" w:color="auto" w:fill="F1F3F5"/>
    </w:rPr>
  </w:style>
  <w:style w:type="character" w:customStyle="1" w:styleId="VariableTok">
    <w:name w:val="VariableTok"/>
    <w:basedOn w:val="VerbatimChar"/>
    <w:qFormat/>
    <w:rPr>
      <w:rFonts w:ascii="Consolas" w:hAnsi="Consolas"/>
      <w:color w:val="111111"/>
      <w:sz w:val="22"/>
      <w:shd w:val="clear" w:color="auto" w:fill="F1F3F5"/>
    </w:rPr>
  </w:style>
  <w:style w:type="character" w:customStyle="1" w:styleId="ControlFlowTok">
    <w:name w:val="ControlFlowTok"/>
    <w:basedOn w:val="VerbatimChar"/>
    <w:qFormat/>
    <w:rPr>
      <w:rFonts w:ascii="Consolas" w:hAnsi="Consolas"/>
      <w:b/>
      <w:color w:val="003B4F"/>
      <w:sz w:val="22"/>
      <w:shd w:val="clear" w:color="auto" w:fill="F1F3F5"/>
    </w:rPr>
  </w:style>
  <w:style w:type="character" w:customStyle="1" w:styleId="OperatorTok">
    <w:name w:val="OperatorTok"/>
    <w:basedOn w:val="VerbatimChar"/>
    <w:qFormat/>
    <w:rPr>
      <w:rFonts w:ascii="Consolas" w:hAnsi="Consolas"/>
      <w:color w:val="5E5E5E"/>
      <w:sz w:val="22"/>
      <w:shd w:val="clear" w:color="auto" w:fill="F1F3F5"/>
    </w:rPr>
  </w:style>
  <w:style w:type="character" w:customStyle="1" w:styleId="BuiltInTok">
    <w:name w:val="BuiltInTok"/>
    <w:basedOn w:val="VerbatimChar"/>
    <w:qFormat/>
    <w:rPr>
      <w:rFonts w:ascii="Consolas" w:hAnsi="Consolas"/>
      <w:color w:val="003B4F"/>
      <w:sz w:val="22"/>
      <w:shd w:val="clear" w:color="auto" w:fill="F1F3F5"/>
    </w:rPr>
  </w:style>
  <w:style w:type="character" w:customStyle="1" w:styleId="ExtensionTok">
    <w:name w:val="ExtensionTok"/>
    <w:basedOn w:val="VerbatimChar"/>
    <w:qFormat/>
    <w:rPr>
      <w:rFonts w:ascii="Consolas" w:hAnsi="Consolas"/>
      <w:color w:val="003B4F"/>
      <w:sz w:val="22"/>
      <w:shd w:val="clear" w:color="auto" w:fill="F1F3F5"/>
    </w:rPr>
  </w:style>
  <w:style w:type="character" w:customStyle="1" w:styleId="PreprocessorTok">
    <w:name w:val="PreprocessorTok"/>
    <w:basedOn w:val="VerbatimChar"/>
    <w:qFormat/>
    <w:rPr>
      <w:rFonts w:ascii="Consolas" w:hAnsi="Consolas"/>
      <w:color w:val="AD0000"/>
      <w:sz w:val="22"/>
      <w:shd w:val="clear" w:color="auto" w:fill="F1F3F5"/>
    </w:rPr>
  </w:style>
  <w:style w:type="character" w:customStyle="1" w:styleId="AttributeTok">
    <w:name w:val="AttributeTok"/>
    <w:basedOn w:val="VerbatimChar"/>
    <w:qFormat/>
    <w:rPr>
      <w:rFonts w:ascii="Consolas" w:hAnsi="Consolas"/>
      <w:color w:val="657422"/>
      <w:sz w:val="22"/>
      <w:shd w:val="clear" w:color="auto" w:fill="F1F3F5"/>
    </w:rPr>
  </w:style>
  <w:style w:type="character" w:customStyle="1" w:styleId="RegionMarkerTok">
    <w:name w:val="RegionMarkerTok"/>
    <w:basedOn w:val="VerbatimChar"/>
    <w:qFormat/>
    <w:rPr>
      <w:rFonts w:ascii="Consolas" w:hAnsi="Consolas"/>
      <w:color w:val="003B4F"/>
      <w:sz w:val="22"/>
      <w:shd w:val="clear" w:color="auto" w:fill="F1F3F5"/>
    </w:rPr>
  </w:style>
  <w:style w:type="character" w:customStyle="1" w:styleId="InformationTok">
    <w:name w:val="InformationTok"/>
    <w:basedOn w:val="VerbatimChar"/>
    <w:qFormat/>
    <w:rPr>
      <w:rFonts w:ascii="Consolas" w:hAnsi="Consolas"/>
      <w:color w:val="5E5E5E"/>
      <w:sz w:val="22"/>
      <w:shd w:val="clear" w:color="auto" w:fill="F1F3F5"/>
    </w:rPr>
  </w:style>
  <w:style w:type="character" w:customStyle="1" w:styleId="WarningTok">
    <w:name w:val="WarningTok"/>
    <w:basedOn w:val="VerbatimChar"/>
    <w:qFormat/>
    <w:rPr>
      <w:rFonts w:ascii="Consolas" w:hAnsi="Consolas"/>
      <w:i/>
      <w:color w:val="5E5E5E"/>
      <w:sz w:val="22"/>
      <w:shd w:val="clear" w:color="auto" w:fill="F1F3F5"/>
    </w:rPr>
  </w:style>
  <w:style w:type="character" w:customStyle="1" w:styleId="AlertTok">
    <w:name w:val="AlertTok"/>
    <w:basedOn w:val="VerbatimChar"/>
    <w:qFormat/>
    <w:rPr>
      <w:rFonts w:ascii="Consolas" w:hAnsi="Consolas"/>
      <w:color w:val="AD0000"/>
      <w:sz w:val="22"/>
      <w:shd w:val="clear" w:color="auto" w:fill="F1F3F5"/>
    </w:rPr>
  </w:style>
  <w:style w:type="character" w:customStyle="1" w:styleId="ErrorTok">
    <w:name w:val="ErrorTok"/>
    <w:basedOn w:val="VerbatimChar"/>
    <w:qFormat/>
    <w:rPr>
      <w:rFonts w:ascii="Consolas" w:hAnsi="Consolas"/>
      <w:color w:val="AD0000"/>
      <w:sz w:val="22"/>
      <w:shd w:val="clear" w:color="auto" w:fill="F1F3F5"/>
    </w:rPr>
  </w:style>
  <w:style w:type="character" w:customStyle="1" w:styleId="NormalTok">
    <w:name w:val="NormalTok"/>
    <w:basedOn w:val="VerbatimChar"/>
    <w:qFormat/>
    <w:rPr>
      <w:rFonts w:ascii="Consolas" w:hAnsi="Consolas"/>
      <w:color w:val="003B4F"/>
      <w:sz w:val="22"/>
      <w:shd w:val="clear" w:color="auto" w:fill="F1F3F5"/>
    </w:rPr>
  </w:style>
  <w:style w:type="character" w:customStyle="1" w:styleId="HeaderChar">
    <w:name w:val="Header Char"/>
    <w:basedOn w:val="DefaultParagraphFont"/>
    <w:link w:val="Header"/>
    <w:qFormat/>
    <w:rsid w:val="00803C7E"/>
  </w:style>
  <w:style w:type="character" w:customStyle="1" w:styleId="FooterChar">
    <w:name w:val="Footer Char"/>
    <w:basedOn w:val="DefaultParagraphFont"/>
    <w:link w:val="Footer"/>
    <w:qFormat/>
    <w:rsid w:val="00803C7E"/>
  </w:style>
  <w:style w:type="character" w:styleId="FollowedHyperlink">
    <w:name w:val="FollowedHyperlink"/>
    <w:basedOn w:val="DefaultParagraphFont"/>
    <w:rsid w:val="000570CE"/>
    <w:rPr>
      <w:color w:val="96607D"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ucida Sans"/>
      <w:sz w:val="28"/>
      <w:szCs w:val="28"/>
    </w:rPr>
  </w:style>
  <w:style w:type="paragraph" w:styleId="BodyText">
    <w:name w:val="Body Text"/>
    <w:basedOn w:val="Normal"/>
    <w:qFormat/>
    <w:rsid w:val="0003144B"/>
    <w:pPr>
      <w:spacing w:after="240"/>
      <w:jc w:val="both"/>
    </w:pPr>
  </w:style>
  <w:style w:type="paragraph" w:styleId="List">
    <w:name w:val="List"/>
    <w:basedOn w:val="BodyText"/>
    <w:rPr>
      <w:rFonts w:cs="Lucida 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Lucida Sans"/>
    </w:rPr>
  </w:style>
  <w:style w:type="paragraph" w:customStyle="1" w:styleId="FirstParagraph">
    <w:name w:val="First Paragraph"/>
    <w:basedOn w:val="BodyText"/>
    <w:next w:val="BodyText"/>
    <w:qFormat/>
    <w:rsid w:val="0003144B"/>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0570CE"/>
    <w:pPr>
      <w:ind w:left="720" w:hanging="720"/>
      <w:jc w:val="both"/>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pPr>
      <w:shd w:val="clear" w:color="auto" w:fill="F1F3F5"/>
    </w:pPr>
  </w:style>
  <w:style w:type="paragraph" w:styleId="TOC1">
    <w:name w:val="toc 1"/>
    <w:basedOn w:val="Normal"/>
    <w:next w:val="Normal"/>
    <w:autoRedefine/>
    <w:uiPriority w:val="39"/>
    <w:rsid w:val="00FE7C35"/>
    <w:pPr>
      <w:spacing w:after="100"/>
    </w:pPr>
  </w:style>
  <w:style w:type="paragraph" w:styleId="TOC2">
    <w:name w:val="toc 2"/>
    <w:basedOn w:val="Normal"/>
    <w:next w:val="Normal"/>
    <w:autoRedefine/>
    <w:uiPriority w:val="39"/>
    <w:rsid w:val="00FE7C35"/>
    <w:pPr>
      <w:spacing w:after="100"/>
      <w:ind w:left="240"/>
    </w:pPr>
  </w:style>
  <w:style w:type="paragraph" w:styleId="TOC3">
    <w:name w:val="toc 3"/>
    <w:basedOn w:val="Normal"/>
    <w:next w:val="Normal"/>
    <w:autoRedefine/>
    <w:uiPriority w:val="39"/>
    <w:rsid w:val="00FE7C35"/>
    <w:pPr>
      <w:spacing w:after="100"/>
      <w:ind w:left="480"/>
    </w:pPr>
  </w:style>
  <w:style w:type="paragraph" w:customStyle="1" w:styleId="HeaderandFooter">
    <w:name w:val="Header and Footer"/>
    <w:basedOn w:val="Normal"/>
    <w:qFormat/>
  </w:style>
  <w:style w:type="paragraph" w:styleId="Header">
    <w:name w:val="header"/>
    <w:basedOn w:val="Normal"/>
    <w:link w:val="HeaderChar"/>
    <w:rsid w:val="00803C7E"/>
    <w:pPr>
      <w:tabs>
        <w:tab w:val="center" w:pos="4680"/>
        <w:tab w:val="right" w:pos="9360"/>
      </w:tabs>
      <w:spacing w:after="0"/>
    </w:pPr>
  </w:style>
  <w:style w:type="paragraph" w:styleId="Footer">
    <w:name w:val="footer"/>
    <w:basedOn w:val="Normal"/>
    <w:link w:val="FooterChar"/>
    <w:rsid w:val="00803C7E"/>
    <w:pPr>
      <w:tabs>
        <w:tab w:val="center" w:pos="4680"/>
        <w:tab w:val="right" w:pos="9360"/>
      </w:tabs>
      <w:spacing w:after="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17</Pages>
  <Words>4205</Words>
  <Characters>23970</Characters>
  <Application>Microsoft Office Word</Application>
  <DocSecurity>0</DocSecurity>
  <Lines>199</Lines>
  <Paragraphs>56</Paragraphs>
  <ScaleCrop>false</ScaleCrop>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 de Bioeconomía de Panamá</dc:title>
  <dc:subject/>
  <dc:creator>Renato Vargas; Andrés Mondaini; Adrián Rodríguez</dc:creator>
  <dc:description/>
  <cp:lastModifiedBy>Renato Vargas</cp:lastModifiedBy>
  <cp:revision>6</cp:revision>
  <dcterms:created xsi:type="dcterms:W3CDTF">2026-04-17T01:14:00Z</dcterms:created>
  <dcterms:modified xsi:type="dcterms:W3CDTF">2026-04-17T01:24:00Z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apa-es.csl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yntax-highlighting">
    <vt:lpwstr>github</vt:lpwstr>
  </property>
  <property fmtid="{D5CDD505-2E9C-101B-9397-08002B2CF9AE}" pid="14" name="toc-title">
    <vt:lpwstr>Tabla de contenidos</vt:lpwstr>
  </property>
</Properties>
</file>