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7B3" w:rsidRPr="00AC2C3F" w:rsidRDefault="00ED07B3" w:rsidP="00ED07B3">
      <w:pPr>
        <w:rPr>
          <w:rFonts w:ascii="Candara" w:hAnsi="Candara" w:cs="Arial"/>
          <w:b/>
          <w:sz w:val="24"/>
          <w:szCs w:val="24"/>
        </w:rPr>
      </w:pPr>
      <w:r w:rsidRPr="00AC2C3F">
        <w:rPr>
          <w:rFonts w:ascii="Candara" w:hAnsi="Candara" w:cs="Arial"/>
          <w:b/>
          <w:sz w:val="24"/>
          <w:szCs w:val="24"/>
        </w:rPr>
        <w:t>Historia Reficar</w:t>
      </w:r>
    </w:p>
    <w:p w:rsidR="00BD15FF" w:rsidRPr="00AC2C3F" w:rsidRDefault="00BD15FF" w:rsidP="00ED07B3">
      <w:pPr>
        <w:rPr>
          <w:rFonts w:ascii="Candara" w:hAnsi="Candara" w:cs="Arial"/>
          <w:b/>
          <w:color w:val="FF0000"/>
          <w:sz w:val="24"/>
          <w:szCs w:val="24"/>
        </w:rPr>
      </w:pPr>
      <w:r w:rsidRPr="00AC2C3F">
        <w:rPr>
          <w:rFonts w:ascii="Candara" w:hAnsi="Candara" w:cs="Arial"/>
          <w:b/>
          <w:color w:val="FF0000"/>
          <w:sz w:val="24"/>
          <w:szCs w:val="24"/>
        </w:rPr>
        <w:t>Incluir foto para ilustrar (Adjunta en la carpeta)</w:t>
      </w:r>
    </w:p>
    <w:p w:rsidR="00ED07B3" w:rsidRPr="00AC2C3F" w:rsidRDefault="00ED07B3" w:rsidP="00691A99">
      <w:pPr>
        <w:jc w:val="both"/>
        <w:rPr>
          <w:rFonts w:ascii="Candara" w:hAnsi="Candara" w:cs="Arial"/>
          <w:sz w:val="20"/>
          <w:szCs w:val="20"/>
        </w:rPr>
      </w:pPr>
      <w:r w:rsidRPr="00AC2C3F">
        <w:rPr>
          <w:rFonts w:ascii="Candara" w:hAnsi="Candara" w:cs="Arial"/>
          <w:sz w:val="20"/>
          <w:szCs w:val="20"/>
        </w:rPr>
        <w:t xml:space="preserve">Reficar - Refinería de Cartagena S.A. surge a partir de la oportunidad que el Gobierno Nacional otorgó a un socio estratégico privado para vincularse al mejoramiento y expansión del sector de refinación, que hasta entonces había estado a cargo del sector público; esto en la perspectiva de fortalecer el autoabastecimiento energético y los encadenamientos de este subsector, como proveedor de materias primas para la </w:t>
      </w:r>
      <w:bookmarkStart w:id="0" w:name="_GoBack"/>
      <w:r w:rsidRPr="00AC2C3F">
        <w:rPr>
          <w:rFonts w:ascii="Candara" w:hAnsi="Candara" w:cs="Arial"/>
          <w:sz w:val="20"/>
          <w:szCs w:val="20"/>
        </w:rPr>
        <w:t xml:space="preserve">industria petroquímica, </w:t>
      </w:r>
      <w:bookmarkEnd w:id="0"/>
      <w:r w:rsidRPr="00AC2C3F">
        <w:rPr>
          <w:rFonts w:ascii="Candara" w:hAnsi="Candara" w:cs="Arial"/>
          <w:sz w:val="20"/>
          <w:szCs w:val="20"/>
        </w:rPr>
        <w:t>especialmente.</w:t>
      </w:r>
    </w:p>
    <w:p w:rsidR="00ED07B3" w:rsidRPr="00AC2C3F" w:rsidRDefault="00ED07B3" w:rsidP="00691A99">
      <w:pPr>
        <w:jc w:val="both"/>
        <w:rPr>
          <w:rFonts w:ascii="Candara" w:hAnsi="Candara" w:cs="Arial"/>
          <w:sz w:val="20"/>
          <w:szCs w:val="20"/>
        </w:rPr>
      </w:pPr>
      <w:r w:rsidRPr="00AC2C3F">
        <w:rPr>
          <w:rFonts w:ascii="Candara" w:hAnsi="Candara" w:cs="Arial"/>
          <w:sz w:val="20"/>
          <w:szCs w:val="20"/>
        </w:rPr>
        <w:t>Su estructuración data desde 1997, cuando el Gobierno Nacional adoptó una estrategia de apertura en los esquemas de asociación para la exploración, explotación, tratamiento y transformación de los hidrocarburos.</w:t>
      </w:r>
    </w:p>
    <w:p w:rsidR="00ED07B3" w:rsidRPr="00AC2C3F" w:rsidRDefault="00ED07B3" w:rsidP="00691A99">
      <w:pPr>
        <w:jc w:val="both"/>
        <w:rPr>
          <w:rFonts w:ascii="Candara" w:hAnsi="Candara" w:cs="Arial"/>
          <w:sz w:val="20"/>
          <w:szCs w:val="20"/>
        </w:rPr>
      </w:pPr>
      <w:r w:rsidRPr="00AC2C3F">
        <w:rPr>
          <w:rFonts w:ascii="Candara" w:hAnsi="Candara" w:cs="Arial"/>
          <w:sz w:val="20"/>
          <w:szCs w:val="20"/>
        </w:rPr>
        <w:t xml:space="preserve">En el año 2006 comienza un proceso para buscar un socio estratégico para la ampliación y modernización de la refinería de Cartagena. Este se dio mediante subasta pública organizada por </w:t>
      </w:r>
      <w:proofErr w:type="spellStart"/>
      <w:r w:rsidRPr="00AC2C3F">
        <w:rPr>
          <w:rFonts w:ascii="Candara" w:hAnsi="Candara" w:cs="Arial"/>
          <w:sz w:val="20"/>
          <w:szCs w:val="20"/>
        </w:rPr>
        <w:t>ABNAmro</w:t>
      </w:r>
      <w:proofErr w:type="spellEnd"/>
      <w:r w:rsidRPr="00AC2C3F">
        <w:rPr>
          <w:rFonts w:ascii="Candara" w:hAnsi="Candara" w:cs="Arial"/>
          <w:sz w:val="20"/>
          <w:szCs w:val="20"/>
        </w:rPr>
        <w:t xml:space="preserve">, y la puja final fue entre Petrobras y </w:t>
      </w:r>
      <w:proofErr w:type="spellStart"/>
      <w:r w:rsidRPr="00AC2C3F">
        <w:rPr>
          <w:rFonts w:ascii="Candara" w:hAnsi="Candara" w:cs="Arial"/>
          <w:sz w:val="20"/>
          <w:szCs w:val="20"/>
        </w:rPr>
        <w:t>Glencore</w:t>
      </w:r>
      <w:proofErr w:type="spellEnd"/>
      <w:r w:rsidRPr="00AC2C3F">
        <w:rPr>
          <w:rFonts w:ascii="Candara" w:hAnsi="Candara" w:cs="Arial"/>
          <w:sz w:val="20"/>
          <w:szCs w:val="20"/>
        </w:rPr>
        <w:t xml:space="preserve">, quedándose esta última, una multinacional Suiza con el 51% de acciones de la refinería de Cartagena. </w:t>
      </w:r>
      <w:proofErr w:type="spellStart"/>
      <w:r w:rsidRPr="00AC2C3F">
        <w:rPr>
          <w:rFonts w:ascii="Candara" w:hAnsi="Candara" w:cs="Arial"/>
          <w:sz w:val="20"/>
          <w:szCs w:val="20"/>
        </w:rPr>
        <w:t>Glencore</w:t>
      </w:r>
      <w:proofErr w:type="spellEnd"/>
      <w:r w:rsidRPr="00AC2C3F">
        <w:rPr>
          <w:rFonts w:ascii="Candara" w:hAnsi="Candara" w:cs="Arial"/>
          <w:sz w:val="20"/>
          <w:szCs w:val="20"/>
        </w:rPr>
        <w:t xml:space="preserve"> y Ecopetrol se asocian y crean Reficar - Refinería de Cartagena S.A., empresa que asume el desarrollo del proyecto más importante del país en la última década.</w:t>
      </w:r>
    </w:p>
    <w:p w:rsidR="00ED07B3" w:rsidRPr="00AC2C3F" w:rsidRDefault="00ED07B3" w:rsidP="00691A99">
      <w:pPr>
        <w:jc w:val="both"/>
        <w:rPr>
          <w:rFonts w:ascii="Candara" w:hAnsi="Candara" w:cs="Arial"/>
          <w:sz w:val="20"/>
          <w:szCs w:val="20"/>
        </w:rPr>
      </w:pPr>
      <w:r w:rsidRPr="00AC2C3F">
        <w:rPr>
          <w:rFonts w:ascii="Candara" w:hAnsi="Candara" w:cs="Arial"/>
          <w:sz w:val="20"/>
          <w:szCs w:val="20"/>
        </w:rPr>
        <w:t xml:space="preserve">El 16 de febrero de 2009, </w:t>
      </w:r>
      <w:proofErr w:type="spellStart"/>
      <w:r w:rsidRPr="00AC2C3F">
        <w:rPr>
          <w:rFonts w:ascii="Candara" w:hAnsi="Candara" w:cs="Arial"/>
          <w:sz w:val="20"/>
          <w:szCs w:val="20"/>
        </w:rPr>
        <w:t>Glencore</w:t>
      </w:r>
      <w:proofErr w:type="spellEnd"/>
      <w:r w:rsidRPr="00AC2C3F">
        <w:rPr>
          <w:rFonts w:ascii="Candara" w:hAnsi="Candara" w:cs="Arial"/>
          <w:sz w:val="20"/>
          <w:szCs w:val="20"/>
        </w:rPr>
        <w:t xml:space="preserve"> y Ecopetrol acuerdan a una salida amigable, luego de que </w:t>
      </w:r>
      <w:proofErr w:type="spellStart"/>
      <w:r w:rsidRPr="00AC2C3F">
        <w:rPr>
          <w:rFonts w:ascii="Candara" w:hAnsi="Candara" w:cs="Arial"/>
          <w:sz w:val="20"/>
          <w:szCs w:val="20"/>
        </w:rPr>
        <w:t>Glencore</w:t>
      </w:r>
      <w:proofErr w:type="spellEnd"/>
      <w:r w:rsidRPr="00AC2C3F">
        <w:rPr>
          <w:rFonts w:ascii="Candara" w:hAnsi="Candara" w:cs="Arial"/>
          <w:sz w:val="20"/>
          <w:szCs w:val="20"/>
        </w:rPr>
        <w:t xml:space="preserve"> decide vender el 51% de sus acciones a Ecopetrol para retirarse del proyecto de ampliación y modernización de la Refinería de Cartagena S.A., ante la inhabilidad para conseguir los empréstitos internacionales que demanda la obra.</w:t>
      </w:r>
    </w:p>
    <w:p w:rsidR="00ED07B3" w:rsidRPr="00AC2C3F" w:rsidRDefault="00ED07B3" w:rsidP="00691A99">
      <w:pPr>
        <w:jc w:val="both"/>
        <w:rPr>
          <w:rFonts w:ascii="Candara" w:hAnsi="Candara" w:cs="Arial"/>
          <w:sz w:val="20"/>
          <w:szCs w:val="20"/>
        </w:rPr>
      </w:pPr>
      <w:r w:rsidRPr="00AC2C3F">
        <w:rPr>
          <w:rFonts w:ascii="Candara" w:hAnsi="Candara" w:cs="Arial"/>
          <w:sz w:val="20"/>
          <w:szCs w:val="20"/>
        </w:rPr>
        <w:t>Más adelante en los primeros días del mes de marzo de 2009 se elaboró un memorándum de entendimiento que incluía la base del precio de compra de las acciones por un monto que se estima no superior a los $658 millones de dólares que pagó originalmente la multinacional suiza a Ecopetrol.</w:t>
      </w:r>
    </w:p>
    <w:p w:rsidR="00ED07B3" w:rsidRPr="00AC2C3F" w:rsidRDefault="00ED07B3" w:rsidP="00691A99">
      <w:pPr>
        <w:jc w:val="both"/>
        <w:rPr>
          <w:rFonts w:ascii="Candara" w:hAnsi="Candara" w:cs="Arial"/>
          <w:sz w:val="20"/>
          <w:szCs w:val="20"/>
        </w:rPr>
      </w:pPr>
      <w:r w:rsidRPr="00AC2C3F">
        <w:rPr>
          <w:rFonts w:ascii="Candara" w:hAnsi="Candara" w:cs="Arial"/>
          <w:sz w:val="20"/>
          <w:szCs w:val="20"/>
        </w:rPr>
        <w:t xml:space="preserve">El 27 de mayo de 2009, Ecopetrol reafirmó su compromiso de crecimiento empresarial y cerró por intermedio de </w:t>
      </w:r>
      <w:proofErr w:type="spellStart"/>
      <w:r w:rsidRPr="00AC2C3F">
        <w:rPr>
          <w:rFonts w:ascii="Candara" w:hAnsi="Candara" w:cs="Arial"/>
          <w:sz w:val="20"/>
          <w:szCs w:val="20"/>
        </w:rPr>
        <w:t>Andean</w:t>
      </w:r>
      <w:proofErr w:type="spellEnd"/>
      <w:r w:rsidRPr="00AC2C3F">
        <w:rPr>
          <w:rFonts w:ascii="Candara" w:hAnsi="Candara" w:cs="Arial"/>
          <w:sz w:val="20"/>
          <w:szCs w:val="20"/>
        </w:rPr>
        <w:t xml:space="preserve"> </w:t>
      </w:r>
      <w:proofErr w:type="spellStart"/>
      <w:r w:rsidRPr="00AC2C3F">
        <w:rPr>
          <w:rFonts w:ascii="Candara" w:hAnsi="Candara" w:cs="Arial"/>
          <w:sz w:val="20"/>
          <w:szCs w:val="20"/>
        </w:rPr>
        <w:t>Chemical</w:t>
      </w:r>
      <w:proofErr w:type="spellEnd"/>
      <w:r w:rsidRPr="00AC2C3F">
        <w:rPr>
          <w:rFonts w:ascii="Candara" w:hAnsi="Candara" w:cs="Arial"/>
          <w:sz w:val="20"/>
          <w:szCs w:val="20"/>
        </w:rPr>
        <w:t xml:space="preserve"> la negociación de compra del 51% de las acciones que </w:t>
      </w:r>
      <w:proofErr w:type="spellStart"/>
      <w:r w:rsidRPr="00AC2C3F">
        <w:rPr>
          <w:rFonts w:ascii="Candara" w:hAnsi="Candara" w:cs="Arial"/>
          <w:sz w:val="20"/>
          <w:szCs w:val="20"/>
        </w:rPr>
        <w:t>Glencore</w:t>
      </w:r>
      <w:proofErr w:type="spellEnd"/>
      <w:r w:rsidRPr="00AC2C3F">
        <w:rPr>
          <w:rFonts w:ascii="Candara" w:hAnsi="Candara" w:cs="Arial"/>
          <w:sz w:val="20"/>
          <w:szCs w:val="20"/>
        </w:rPr>
        <w:t xml:space="preserve"> AG poseía en la Refinería de Cartagena S.A. – Reficar. La operación de adquisición de acciones se concretó por un valor de US$ 549 millones de dólares. Reficar se convierte en una subsidiaria de Ecopetrol S.A., y mantendrá su autonomía operativa, administrativa y financiera, cuyo control se ejercerá a través de los mecanismos establecidos en su Junta Directiva.</w:t>
      </w:r>
    </w:p>
    <w:p w:rsidR="00ED07B3" w:rsidRPr="00AC2C3F" w:rsidRDefault="00ED07B3" w:rsidP="00691A99">
      <w:pPr>
        <w:jc w:val="both"/>
        <w:rPr>
          <w:rFonts w:ascii="Candara" w:hAnsi="Candara" w:cs="Arial"/>
          <w:sz w:val="20"/>
          <w:szCs w:val="20"/>
        </w:rPr>
      </w:pPr>
      <w:r w:rsidRPr="00AC2C3F">
        <w:rPr>
          <w:rFonts w:ascii="Candara" w:hAnsi="Candara" w:cs="Arial"/>
          <w:sz w:val="20"/>
          <w:szCs w:val="20"/>
        </w:rPr>
        <w:t>Esta operación le permitió a Ecopetrol avanzar en la búsqueda de la meta de aumentar la capacidad de refinación a 650.000 barriles por día en sinergia con la Refinería de Barrancabermeja y maximizar los beneficios para el negocio.</w:t>
      </w:r>
    </w:p>
    <w:p w:rsidR="00ED07B3" w:rsidRPr="00AC2C3F" w:rsidRDefault="00ED07B3" w:rsidP="00691A99">
      <w:pPr>
        <w:jc w:val="both"/>
        <w:rPr>
          <w:rFonts w:ascii="Candara" w:hAnsi="Candara" w:cs="Arial"/>
          <w:sz w:val="20"/>
          <w:szCs w:val="20"/>
        </w:rPr>
      </w:pPr>
      <w:r w:rsidRPr="00AC2C3F">
        <w:rPr>
          <w:rFonts w:ascii="Candara" w:hAnsi="Candara" w:cs="Arial"/>
          <w:sz w:val="20"/>
          <w:szCs w:val="20"/>
        </w:rPr>
        <w:t xml:space="preserve">La planeación y ejecución del proyecto fue confiada a Chicago, Bridge and </w:t>
      </w:r>
      <w:proofErr w:type="spellStart"/>
      <w:r w:rsidRPr="00AC2C3F">
        <w:rPr>
          <w:rFonts w:ascii="Candara" w:hAnsi="Candara" w:cs="Arial"/>
          <w:sz w:val="20"/>
          <w:szCs w:val="20"/>
        </w:rPr>
        <w:t>Iron</w:t>
      </w:r>
      <w:proofErr w:type="spellEnd"/>
      <w:r w:rsidRPr="00AC2C3F">
        <w:rPr>
          <w:rFonts w:ascii="Candara" w:hAnsi="Candara" w:cs="Arial"/>
          <w:sz w:val="20"/>
          <w:szCs w:val="20"/>
        </w:rPr>
        <w:t xml:space="preserve"> (CBI), empresa norteamericana que desarrolló la ingeniería básica y de detalle, la procura, la construcción y la contratación de mano obra calificada. Su diseño y tecnología de punta ha sido desde el principio considerado como uno de los más avanzados a nivel mundial y por ello se considera la refinería más moderna de Latino América.</w:t>
      </w:r>
    </w:p>
    <w:p w:rsidR="00ED07B3" w:rsidRPr="00AC2C3F" w:rsidRDefault="00ED07B3" w:rsidP="00691A99">
      <w:pPr>
        <w:jc w:val="both"/>
        <w:rPr>
          <w:rFonts w:ascii="Candara" w:hAnsi="Candara" w:cs="Arial"/>
          <w:sz w:val="20"/>
          <w:szCs w:val="20"/>
        </w:rPr>
      </w:pPr>
    </w:p>
    <w:p w:rsidR="00ED07B3" w:rsidRPr="00AC2C3F" w:rsidRDefault="00ED07B3" w:rsidP="00691A99">
      <w:pPr>
        <w:jc w:val="both"/>
        <w:rPr>
          <w:rFonts w:ascii="Candara" w:hAnsi="Candara" w:cs="Arial"/>
          <w:sz w:val="20"/>
          <w:szCs w:val="20"/>
        </w:rPr>
      </w:pPr>
      <w:r w:rsidRPr="00AC2C3F">
        <w:rPr>
          <w:rFonts w:ascii="Candara" w:hAnsi="Candara" w:cs="Arial"/>
          <w:sz w:val="20"/>
          <w:szCs w:val="20"/>
        </w:rPr>
        <w:lastRenderedPageBreak/>
        <w:t>La refinería de Cartagena obtuvo su primera producción de destilados con una carga de 90.000 barriles, el 10 de noviembre de 2015. Diésel, nafta, Gas Licuado de Petróleo (GLP) y combustible de aviación (Jet). Se prevé para marzo de 2016 la operación con carga completa de 165.000 barriles de crudo diario.</w:t>
      </w:r>
    </w:p>
    <w:p w:rsidR="00ED07B3" w:rsidRPr="00AC2C3F" w:rsidRDefault="00ED07B3" w:rsidP="00691A99">
      <w:pPr>
        <w:jc w:val="both"/>
        <w:rPr>
          <w:rFonts w:ascii="Candara" w:hAnsi="Candara" w:cs="Arial"/>
          <w:sz w:val="20"/>
          <w:szCs w:val="20"/>
        </w:rPr>
      </w:pPr>
      <w:r w:rsidRPr="00AC2C3F">
        <w:rPr>
          <w:rFonts w:ascii="Candara" w:hAnsi="Candara" w:cs="Arial"/>
          <w:sz w:val="20"/>
          <w:szCs w:val="20"/>
        </w:rPr>
        <w:t xml:space="preserve">La producción diaria en barriles se distribuirá así: 90 mil de diésel, 40 mil de nafta y gasolina, 10 mil de jet, 5 mil de </w:t>
      </w:r>
      <w:proofErr w:type="spellStart"/>
      <w:r w:rsidRPr="00AC2C3F">
        <w:rPr>
          <w:rFonts w:ascii="Candara" w:hAnsi="Candara" w:cs="Arial"/>
          <w:sz w:val="20"/>
          <w:szCs w:val="20"/>
        </w:rPr>
        <w:t>propileno</w:t>
      </w:r>
      <w:proofErr w:type="spellEnd"/>
      <w:r w:rsidRPr="00AC2C3F">
        <w:rPr>
          <w:rFonts w:ascii="Candara" w:hAnsi="Candara" w:cs="Arial"/>
          <w:sz w:val="20"/>
          <w:szCs w:val="20"/>
        </w:rPr>
        <w:t>, 4 mil de GLP y 2.500 toneladas de coque, mientras la producción mensual de azufre será de 270 toneladas. De cada barril procesado, el 97% se convertirá en productos valiosos. Antes este rendimiento era del 74%.</w:t>
      </w:r>
    </w:p>
    <w:p w:rsidR="00653EA9" w:rsidRPr="00AC2C3F" w:rsidRDefault="00ED07B3" w:rsidP="00691A99">
      <w:pPr>
        <w:jc w:val="both"/>
        <w:rPr>
          <w:rFonts w:ascii="Candara" w:hAnsi="Candara" w:cs="Arial"/>
          <w:sz w:val="20"/>
          <w:szCs w:val="20"/>
        </w:rPr>
      </w:pPr>
      <w:r w:rsidRPr="00AC2C3F">
        <w:rPr>
          <w:rFonts w:ascii="Candara" w:hAnsi="Candara" w:cs="Arial"/>
          <w:sz w:val="20"/>
          <w:szCs w:val="20"/>
        </w:rPr>
        <w:t>La refinería de Cartagena una vez operando la totalidad de sus 31 unidades, 17 de servicios industriales y 14 de refinación y procesos, será administrada mediante contrato de mandato por Ecopetrol.</w:t>
      </w:r>
    </w:p>
    <w:sectPr w:rsidR="00653EA9" w:rsidRPr="00AC2C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53F16"/>
    <w:multiLevelType w:val="hybridMultilevel"/>
    <w:tmpl w:val="A1CEE3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9582E67"/>
    <w:multiLevelType w:val="hybridMultilevel"/>
    <w:tmpl w:val="B596E6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43D92DA6"/>
    <w:multiLevelType w:val="hybridMultilevel"/>
    <w:tmpl w:val="A5B0CA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4B111610"/>
    <w:multiLevelType w:val="multilevel"/>
    <w:tmpl w:val="26D06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EB7CC7"/>
    <w:multiLevelType w:val="hybridMultilevel"/>
    <w:tmpl w:val="A8A8D8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BEA"/>
    <w:rsid w:val="00377EE7"/>
    <w:rsid w:val="005F7721"/>
    <w:rsid w:val="00653EA9"/>
    <w:rsid w:val="00691A99"/>
    <w:rsid w:val="007817DE"/>
    <w:rsid w:val="009E3BEA"/>
    <w:rsid w:val="00AC2C3F"/>
    <w:rsid w:val="00BD15FF"/>
    <w:rsid w:val="00D83D35"/>
    <w:rsid w:val="00EC69FD"/>
    <w:rsid w:val="00ED07B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4">
    <w:name w:val="heading 4"/>
    <w:basedOn w:val="Normal"/>
    <w:link w:val="Ttulo4Car"/>
    <w:uiPriority w:val="9"/>
    <w:qFormat/>
    <w:rsid w:val="009E3BEA"/>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9E3BEA"/>
    <w:rPr>
      <w:rFonts w:ascii="Times New Roman" w:eastAsia="Times New Roman" w:hAnsi="Times New Roman" w:cs="Times New Roman"/>
      <w:b/>
      <w:bCs/>
      <w:sz w:val="24"/>
      <w:szCs w:val="24"/>
      <w:lang w:eastAsia="es-CO"/>
    </w:rPr>
  </w:style>
  <w:style w:type="paragraph" w:styleId="NormalWeb">
    <w:name w:val="Normal (Web)"/>
    <w:basedOn w:val="Normal"/>
    <w:uiPriority w:val="99"/>
    <w:semiHidden/>
    <w:unhideWhenUsed/>
    <w:rsid w:val="009E3BEA"/>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D83D35"/>
    <w:pPr>
      <w:ind w:left="720"/>
      <w:contextualSpacing/>
    </w:pPr>
  </w:style>
  <w:style w:type="paragraph" w:styleId="Textodeglobo">
    <w:name w:val="Balloon Text"/>
    <w:basedOn w:val="Normal"/>
    <w:link w:val="TextodegloboCar"/>
    <w:uiPriority w:val="99"/>
    <w:semiHidden/>
    <w:unhideWhenUsed/>
    <w:rsid w:val="00D83D3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3D35"/>
    <w:rPr>
      <w:rFonts w:ascii="Tahoma" w:hAnsi="Tahoma" w:cs="Tahoma"/>
      <w:sz w:val="16"/>
      <w:szCs w:val="16"/>
    </w:rPr>
  </w:style>
  <w:style w:type="paragraph" w:customStyle="1" w:styleId="encabezado">
    <w:name w:val="encabezado"/>
    <w:basedOn w:val="Normal"/>
    <w:rsid w:val="00D83D35"/>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4">
    <w:name w:val="heading 4"/>
    <w:basedOn w:val="Normal"/>
    <w:link w:val="Ttulo4Car"/>
    <w:uiPriority w:val="9"/>
    <w:qFormat/>
    <w:rsid w:val="009E3BEA"/>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9E3BEA"/>
    <w:rPr>
      <w:rFonts w:ascii="Times New Roman" w:eastAsia="Times New Roman" w:hAnsi="Times New Roman" w:cs="Times New Roman"/>
      <w:b/>
      <w:bCs/>
      <w:sz w:val="24"/>
      <w:szCs w:val="24"/>
      <w:lang w:eastAsia="es-CO"/>
    </w:rPr>
  </w:style>
  <w:style w:type="paragraph" w:styleId="NormalWeb">
    <w:name w:val="Normal (Web)"/>
    <w:basedOn w:val="Normal"/>
    <w:uiPriority w:val="99"/>
    <w:semiHidden/>
    <w:unhideWhenUsed/>
    <w:rsid w:val="009E3BEA"/>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D83D35"/>
    <w:pPr>
      <w:ind w:left="720"/>
      <w:contextualSpacing/>
    </w:pPr>
  </w:style>
  <w:style w:type="paragraph" w:styleId="Textodeglobo">
    <w:name w:val="Balloon Text"/>
    <w:basedOn w:val="Normal"/>
    <w:link w:val="TextodegloboCar"/>
    <w:uiPriority w:val="99"/>
    <w:semiHidden/>
    <w:unhideWhenUsed/>
    <w:rsid w:val="00D83D3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3D35"/>
    <w:rPr>
      <w:rFonts w:ascii="Tahoma" w:hAnsi="Tahoma" w:cs="Tahoma"/>
      <w:sz w:val="16"/>
      <w:szCs w:val="16"/>
    </w:rPr>
  </w:style>
  <w:style w:type="paragraph" w:customStyle="1" w:styleId="encabezado">
    <w:name w:val="encabezado"/>
    <w:basedOn w:val="Normal"/>
    <w:rsid w:val="00D83D35"/>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851243">
      <w:bodyDiv w:val="1"/>
      <w:marLeft w:val="0"/>
      <w:marRight w:val="0"/>
      <w:marTop w:val="0"/>
      <w:marBottom w:val="0"/>
      <w:divBdr>
        <w:top w:val="none" w:sz="0" w:space="0" w:color="auto"/>
        <w:left w:val="none" w:sz="0" w:space="0" w:color="auto"/>
        <w:bottom w:val="none" w:sz="0" w:space="0" w:color="auto"/>
        <w:right w:val="none" w:sz="0" w:space="0" w:color="auto"/>
      </w:divBdr>
    </w:div>
    <w:div w:id="1049647910">
      <w:bodyDiv w:val="1"/>
      <w:marLeft w:val="0"/>
      <w:marRight w:val="0"/>
      <w:marTop w:val="0"/>
      <w:marBottom w:val="0"/>
      <w:divBdr>
        <w:top w:val="none" w:sz="0" w:space="0" w:color="auto"/>
        <w:left w:val="none" w:sz="0" w:space="0" w:color="auto"/>
        <w:bottom w:val="none" w:sz="0" w:space="0" w:color="auto"/>
        <w:right w:val="none" w:sz="0" w:space="0" w:color="auto"/>
      </w:divBdr>
      <w:divsChild>
        <w:div w:id="87359533">
          <w:marLeft w:val="0"/>
          <w:marRight w:val="0"/>
          <w:marTop w:val="0"/>
          <w:marBottom w:val="0"/>
          <w:divBdr>
            <w:top w:val="single" w:sz="2" w:space="0" w:color="auto"/>
            <w:left w:val="single" w:sz="2" w:space="0" w:color="auto"/>
            <w:bottom w:val="single" w:sz="2" w:space="0" w:color="auto"/>
            <w:right w:val="single" w:sz="2" w:space="0" w:color="auto"/>
          </w:divBdr>
          <w:divsChild>
            <w:div w:id="1122309425">
              <w:marLeft w:val="0"/>
              <w:marRight w:val="0"/>
              <w:marTop w:val="0"/>
              <w:marBottom w:val="0"/>
              <w:divBdr>
                <w:top w:val="none" w:sz="0" w:space="0" w:color="auto"/>
                <w:left w:val="none" w:sz="0" w:space="0" w:color="auto"/>
                <w:bottom w:val="none" w:sz="0" w:space="0" w:color="auto"/>
                <w:right w:val="none" w:sz="0" w:space="0" w:color="auto"/>
              </w:divBdr>
              <w:divsChild>
                <w:div w:id="383145765">
                  <w:marLeft w:val="0"/>
                  <w:marRight w:val="0"/>
                  <w:marTop w:val="0"/>
                  <w:marBottom w:val="0"/>
                  <w:divBdr>
                    <w:top w:val="none" w:sz="0" w:space="0" w:color="auto"/>
                    <w:left w:val="none" w:sz="0" w:space="0" w:color="auto"/>
                    <w:bottom w:val="none" w:sz="0" w:space="0" w:color="auto"/>
                    <w:right w:val="none" w:sz="0" w:space="0" w:color="auto"/>
                  </w:divBdr>
                  <w:divsChild>
                    <w:div w:id="1877812184">
                      <w:marLeft w:val="0"/>
                      <w:marRight w:val="0"/>
                      <w:marTop w:val="0"/>
                      <w:marBottom w:val="0"/>
                      <w:divBdr>
                        <w:top w:val="none" w:sz="0" w:space="0" w:color="auto"/>
                        <w:left w:val="none" w:sz="0" w:space="0" w:color="auto"/>
                        <w:bottom w:val="none" w:sz="0" w:space="0" w:color="auto"/>
                        <w:right w:val="none" w:sz="0" w:space="0" w:color="auto"/>
                      </w:divBdr>
                      <w:divsChild>
                        <w:div w:id="1638299956">
                          <w:marLeft w:val="0"/>
                          <w:marRight w:val="0"/>
                          <w:marTop w:val="0"/>
                          <w:marBottom w:val="0"/>
                          <w:divBdr>
                            <w:top w:val="none" w:sz="0" w:space="0" w:color="auto"/>
                            <w:left w:val="none" w:sz="0" w:space="0" w:color="auto"/>
                            <w:bottom w:val="none" w:sz="0" w:space="0" w:color="auto"/>
                            <w:right w:val="none" w:sz="0" w:space="0" w:color="auto"/>
                          </w:divBdr>
                          <w:divsChild>
                            <w:div w:id="125181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602</Words>
  <Characters>3311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Katiana Zabaleta</dc:creator>
  <cp:lastModifiedBy>Katiana Zabaleta</cp:lastModifiedBy>
  <cp:revision>8</cp:revision>
  <dcterms:created xsi:type="dcterms:W3CDTF">2016-04-28T16:05:00Z</dcterms:created>
  <dcterms:modified xsi:type="dcterms:W3CDTF">2016-07-26T19:36:00Z</dcterms:modified>
</cp:coreProperties>
</file>