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270C5" w14:textId="77777777" w:rsidR="00291656" w:rsidRDefault="00291656" w:rsidP="00291656">
      <w:pPr>
        <w:pStyle w:val="NormalWeb"/>
      </w:pPr>
      <w:r>
        <w:t xml:space="preserve">Une fois que l'utilisateur a constitué son panier, il est redirigé vers la page de paiement. Si les champs </w:t>
      </w:r>
      <w:r>
        <w:rPr>
          <w:rStyle w:val="CodeHTML"/>
          <w:rFonts w:eastAsiaTheme="majorEastAsia"/>
        </w:rPr>
        <w:t>userName</w:t>
      </w:r>
      <w:r>
        <w:t xml:space="preserve"> et </w:t>
      </w:r>
      <w:r>
        <w:rPr>
          <w:rStyle w:val="CodeHTML"/>
          <w:rFonts w:eastAsiaTheme="majorEastAsia"/>
        </w:rPr>
        <w:t>userFirstname</w:t>
      </w:r>
      <w:r>
        <w:t xml:space="preserve"> sont déjà renseignés dans son entité </w:t>
      </w:r>
      <w:r>
        <w:rPr>
          <w:rStyle w:val="CodeHTML"/>
          <w:rFonts w:eastAsiaTheme="majorEastAsia"/>
        </w:rPr>
        <w:t>User</w:t>
      </w:r>
      <w:r>
        <w:t xml:space="preserve">, il visualise directement le récapitulatif de sa commande ainsi que le bouton de paiement. Dans le cas contraire, un formulaire basé sur le </w:t>
      </w:r>
      <w:r>
        <w:rPr>
          <w:rStyle w:val="CodeHTML"/>
          <w:rFonts w:eastAsiaTheme="majorEastAsia"/>
        </w:rPr>
        <w:t>UserIdentityCartFormType</w:t>
      </w:r>
      <w:r>
        <w:t xml:space="preserve"> s'affiche, lui permettant de saisir son identité. Ces informations sont obligatoires pour des raisons de conformité légale. L'utilisateur a également la possibilité de choisir de persister ou non ces données via la case à cocher </w:t>
      </w:r>
      <w:r>
        <w:rPr>
          <w:rStyle w:val="CodeHTML"/>
          <w:rFonts w:eastAsiaTheme="majorEastAsia"/>
        </w:rPr>
        <w:t>saveIdentity</w:t>
      </w:r>
      <w:r>
        <w:t>, conformément au RGPD et au principe de minimisation des données.</w:t>
      </w:r>
    </w:p>
    <w:p w14:paraId="1D5CED2A" w14:textId="77777777" w:rsidR="00291656" w:rsidRDefault="00291656" w:rsidP="00291656">
      <w:pPr>
        <w:pStyle w:val="NormalWeb"/>
      </w:pPr>
      <w:r>
        <w:t>Lors de la soumission de ce formulaire (méthode HTTP POST), les données sont transmises au contrôleur (</w:t>
      </w:r>
      <w:r>
        <w:rPr>
          <w:rStyle w:val="CodeHTML"/>
          <w:rFonts w:eastAsiaTheme="majorEastAsia"/>
        </w:rPr>
        <w:t>PaymentController::stripeCheckout</w:t>
      </w:r>
      <w:r>
        <w:t xml:space="preserve">). Ce contrôleur réceptionne la requête, crée une instance du </w:t>
      </w:r>
      <w:r>
        <w:rPr>
          <w:rStyle w:val="CodeHTML"/>
          <w:rFonts w:eastAsiaTheme="majorEastAsia"/>
        </w:rPr>
        <w:t>UserIdentityCartFormType</w:t>
      </w:r>
      <w:r>
        <w:t xml:space="preserve">, effectue la validation des données soumises et les enregistre en session. Simultanément, le panier de l'utilisateur est récupéré via le </w:t>
      </w:r>
      <w:r>
        <w:rPr>
          <w:rStyle w:val="CodeHTML"/>
          <w:rFonts w:eastAsiaTheme="majorEastAsia"/>
        </w:rPr>
        <w:t>CartService</w:t>
      </w:r>
      <w:r>
        <w:t xml:space="preserve">. Une vérification du stock disponible pour chaque article du panier est effectuée en comparant la quantité demandée avec le stock maximal moins les tickets déjà réservés pour l'exposition concernée. Si un stock insuffisant est détecté pour un ou plusieurs articles, un message flash de type </w:t>
      </w:r>
      <w:r>
        <w:rPr>
          <w:rStyle w:val="CodeHTML"/>
          <w:rFonts w:eastAsiaTheme="majorEastAsia"/>
        </w:rPr>
        <w:t>danger</w:t>
      </w:r>
      <w:r>
        <w:t xml:space="preserve"> est affiché pour chaque erreur, informant l'utilisateur du problème, et il est redirigé vers la page du panier pour modifier sa commande.</w:t>
      </w:r>
    </w:p>
    <w:p w14:paraId="1103358F" w14:textId="77777777" w:rsidR="00291656" w:rsidRDefault="00291656" w:rsidP="00291656">
      <w:pPr>
        <w:pStyle w:val="NormalWeb"/>
      </w:pPr>
      <w:r>
        <w:t>Si le stock est suffisant pour tous les articles, un tableau contenant les informations nécessaires pour l'API Stripe (</w:t>
      </w:r>
      <w:r>
        <w:rPr>
          <w:rStyle w:val="CodeHTML"/>
          <w:rFonts w:eastAsiaTheme="majorEastAsia"/>
        </w:rPr>
        <w:t>$productStripe</w:t>
      </w:r>
      <w:r>
        <w:t>) est initialisé. Pour chaque article du panier, les informations du ticket (nom) et le prix unitaire sont récupérés, et un tableau structuré pour Stripe est créé, incluant la devise (EUR) et la quantité. Une session de paiement Stripe est alors créée via l'API Stripe, incluant l'adresse e-mail de l'utilisateur (</w:t>
      </w:r>
      <w:r>
        <w:rPr>
          <w:rStyle w:val="CodeHTML"/>
          <w:rFonts w:eastAsiaTheme="majorEastAsia"/>
        </w:rPr>
        <w:t>$this-&gt;getUser()-&gt;getUserIdentifier()</w:t>
      </w:r>
      <w:r>
        <w:t>), le mode de paiement (</w:t>
      </w:r>
      <w:r>
        <w:rPr>
          <w:rStyle w:val="CodeHTML"/>
          <w:rFonts w:eastAsiaTheme="majorEastAsia"/>
        </w:rPr>
        <w:t>payment_method_types</w:t>
      </w:r>
      <w:r>
        <w:t xml:space="preserve"> réglé sur 'card'), les </w:t>
      </w:r>
      <w:r>
        <w:rPr>
          <w:rStyle w:val="CodeHTML"/>
          <w:rFonts w:eastAsiaTheme="majorEastAsia"/>
        </w:rPr>
        <w:t>line_items</w:t>
      </w:r>
      <w:r>
        <w:t xml:space="preserve"> représentant les produits du panier (basés sur le tableau </w:t>
      </w:r>
      <w:r>
        <w:rPr>
          <w:rStyle w:val="CodeHTML"/>
          <w:rFonts w:eastAsiaTheme="majorEastAsia"/>
        </w:rPr>
        <w:t>$productStripe</w:t>
      </w:r>
      <w:r>
        <w:t>) et les URLs de succès (</w:t>
      </w:r>
      <w:r>
        <w:rPr>
          <w:rStyle w:val="CodeHTML"/>
          <w:rFonts w:eastAsiaTheme="majorEastAsia"/>
        </w:rPr>
        <w:t>success_url</w:t>
      </w:r>
      <w:r>
        <w:t xml:space="preserve"> générée pour la route </w:t>
      </w:r>
      <w:r>
        <w:rPr>
          <w:rStyle w:val="CodeHTML"/>
          <w:rFonts w:eastAsiaTheme="majorEastAsia"/>
        </w:rPr>
        <w:t>paymentSuccess</w:t>
      </w:r>
      <w:r>
        <w:t>) et d'annulation (</w:t>
      </w:r>
      <w:r>
        <w:rPr>
          <w:rStyle w:val="CodeHTML"/>
          <w:rFonts w:eastAsiaTheme="majorEastAsia"/>
        </w:rPr>
        <w:t>cancel_url</w:t>
      </w:r>
      <w:r>
        <w:t xml:space="preserve"> générée pour la route </w:t>
      </w:r>
      <w:r>
        <w:rPr>
          <w:rStyle w:val="CodeHTML"/>
          <w:rFonts w:eastAsiaTheme="majorEastAsia"/>
        </w:rPr>
        <w:t>paymentError</w:t>
      </w:r>
      <w:r>
        <w:t xml:space="preserve">). Enfin, l'utilisateur est redirigé vers l'URL de paiement fournie par Stripe. En cas d'échec du paiement (retour via </w:t>
      </w:r>
      <w:r>
        <w:rPr>
          <w:rStyle w:val="CodeHTML"/>
          <w:rFonts w:eastAsiaTheme="majorEastAsia"/>
        </w:rPr>
        <w:t>cancel_url</w:t>
      </w:r>
      <w:r>
        <w:t xml:space="preserve"> et la route </w:t>
      </w:r>
      <w:r>
        <w:rPr>
          <w:rStyle w:val="CodeHTML"/>
          <w:rFonts w:eastAsiaTheme="majorEastAsia"/>
        </w:rPr>
        <w:t>paymentError</w:t>
      </w:r>
      <w:r>
        <w:t xml:space="preserve">), l'utilisateur est redirigé vers la page du panier avec un message flash de type </w:t>
      </w:r>
      <w:r>
        <w:rPr>
          <w:rStyle w:val="CodeHTML"/>
          <w:rFonts w:eastAsiaTheme="majorEastAsia"/>
        </w:rPr>
        <w:t>danger</w:t>
      </w:r>
      <w:r>
        <w:t xml:space="preserve"> indiquant une erreur de paiement.</w:t>
      </w:r>
    </w:p>
    <w:p w14:paraId="432A657F" w14:textId="77777777" w:rsidR="00291656" w:rsidRDefault="00291656" w:rsidP="00291656">
      <w:pPr>
        <w:pStyle w:val="NormalWeb"/>
      </w:pPr>
      <w:r>
        <w:t xml:space="preserve">En cas de succès du paiement (retour via </w:t>
      </w:r>
      <w:r>
        <w:rPr>
          <w:rStyle w:val="CodeHTML"/>
          <w:rFonts w:eastAsiaTheme="majorEastAsia"/>
        </w:rPr>
        <w:t>success_url</w:t>
      </w:r>
      <w:r>
        <w:t xml:space="preserve"> et la route </w:t>
      </w:r>
      <w:r>
        <w:rPr>
          <w:rStyle w:val="CodeHTML"/>
          <w:rFonts w:eastAsiaTheme="majorEastAsia"/>
        </w:rPr>
        <w:t>paymentSuccess</w:t>
      </w:r>
      <w:r>
        <w:t>), les informations du formulaire stockées en session sont récupérées. Si l'utilisateur a activé l'option d'enregistrement (</w:t>
      </w:r>
      <w:r>
        <w:rPr>
          <w:rStyle w:val="CodeHTML"/>
          <w:rFonts w:eastAsiaTheme="majorEastAsia"/>
        </w:rPr>
        <w:t>saveIdentity</w:t>
      </w:r>
      <w:r>
        <w:t xml:space="preserve"> est </w:t>
      </w:r>
      <w:r>
        <w:rPr>
          <w:rStyle w:val="CodeHTML"/>
          <w:rFonts w:eastAsiaTheme="majorEastAsia"/>
        </w:rPr>
        <w:t>true</w:t>
      </w:r>
      <w:r>
        <w:t xml:space="preserve">), les propriétés </w:t>
      </w:r>
      <w:r>
        <w:rPr>
          <w:rStyle w:val="CodeHTML"/>
          <w:rFonts w:eastAsiaTheme="majorEastAsia"/>
        </w:rPr>
        <w:t>userName</w:t>
      </w:r>
      <w:r>
        <w:t xml:space="preserve"> et </w:t>
      </w:r>
      <w:r>
        <w:rPr>
          <w:rStyle w:val="CodeHTML"/>
          <w:rFonts w:eastAsiaTheme="majorEastAsia"/>
        </w:rPr>
        <w:t>userFirstname</w:t>
      </w:r>
      <w:r>
        <w:t xml:space="preserve"> de l'entité </w:t>
      </w:r>
      <w:r>
        <w:rPr>
          <w:rStyle w:val="CodeHTML"/>
          <w:rFonts w:eastAsiaTheme="majorEastAsia"/>
        </w:rPr>
        <w:t>User</w:t>
      </w:r>
      <w:r>
        <w:t xml:space="preserve"> sont mises à jour avec les données de session, puis l'</w:t>
      </w:r>
      <w:r>
        <w:rPr>
          <w:rStyle w:val="CodeHTML"/>
          <w:rFonts w:eastAsiaTheme="majorEastAsia"/>
        </w:rPr>
        <w:t>EntityManager</w:t>
      </w:r>
      <w:r>
        <w:t xml:space="preserve"> Doctrine est utilisé pour persister et enregistrer ces modifications en base de données. Un message flash de type </w:t>
      </w:r>
      <w:r>
        <w:rPr>
          <w:rStyle w:val="CodeHTML"/>
          <w:rFonts w:eastAsiaTheme="majorEastAsia"/>
        </w:rPr>
        <w:t>success</w:t>
      </w:r>
      <w:r>
        <w:t xml:space="preserve"> informe l'utilisateur de cet enregistrement. Ensuite, le contenu du panier est récupéré via le </w:t>
      </w:r>
      <w:r>
        <w:rPr>
          <w:rStyle w:val="CodeHTML"/>
          <w:rFonts w:eastAsiaTheme="majorEastAsia"/>
        </w:rPr>
        <w:t>CartService</w:t>
      </w:r>
      <w:r>
        <w:t xml:space="preserve">. Une nouvelle instance de l'entité </w:t>
      </w:r>
      <w:r>
        <w:rPr>
          <w:rStyle w:val="CodeHTML"/>
          <w:rFonts w:eastAsiaTheme="majorEastAsia"/>
        </w:rPr>
        <w:t>Order</w:t>
      </w:r>
      <w:r>
        <w:t xml:space="preserve"> est créée et hydratée avec les informations pertinentes : </w:t>
      </w:r>
      <w:r>
        <w:rPr>
          <w:rStyle w:val="CodeHTML"/>
          <w:rFonts w:eastAsiaTheme="majorEastAsia"/>
        </w:rPr>
        <w:t>orderDateCreation</w:t>
      </w:r>
      <w:r>
        <w:t xml:space="preserve"> (avec un objet </w:t>
      </w:r>
      <w:r>
        <w:rPr>
          <w:rStyle w:val="CodeHTML"/>
          <w:rFonts w:eastAsiaTheme="majorEastAsia"/>
        </w:rPr>
        <w:t>\DateTimeImmutable</w:t>
      </w:r>
      <w:r>
        <w:t xml:space="preserve">), l'entité </w:t>
      </w:r>
      <w:r>
        <w:rPr>
          <w:rStyle w:val="CodeHTML"/>
          <w:rFonts w:eastAsiaTheme="majorEastAsia"/>
        </w:rPr>
        <w:t>User</w:t>
      </w:r>
      <w:r>
        <w:t xml:space="preserve"> associée, </w:t>
      </w:r>
      <w:r>
        <w:rPr>
          <w:rStyle w:val="CodeHTML"/>
          <w:rFonts w:eastAsiaTheme="majorEastAsia"/>
        </w:rPr>
        <w:t>orderStatus</w:t>
      </w:r>
      <w:r>
        <w:t xml:space="preserve"> initialisé à 'Envoyé', le nom et prénom du client (priorité aux données de session, sinon celles de l'entité </w:t>
      </w:r>
      <w:r>
        <w:rPr>
          <w:rStyle w:val="CodeHTML"/>
          <w:rFonts w:eastAsiaTheme="majorEastAsia"/>
        </w:rPr>
        <w:t>User</w:t>
      </w:r>
      <w:r>
        <w:t xml:space="preserve">), l'adresse e-mail de l'utilisateur et le </w:t>
      </w:r>
      <w:r>
        <w:rPr>
          <w:rStyle w:val="CodeHTML"/>
          <w:rFonts w:eastAsiaTheme="majorEastAsia"/>
        </w:rPr>
        <w:t>orderTotal</w:t>
      </w:r>
      <w:r>
        <w:t xml:space="preserve"> calculé par le </w:t>
      </w:r>
      <w:r>
        <w:rPr>
          <w:rStyle w:val="CodeHTML"/>
          <w:rFonts w:eastAsiaTheme="majorEastAsia"/>
        </w:rPr>
        <w:t>CartService</w:t>
      </w:r>
      <w:r>
        <w:t>. L'</w:t>
      </w:r>
      <w:r>
        <w:rPr>
          <w:rStyle w:val="CodeHTML"/>
          <w:rFonts w:eastAsiaTheme="majorEastAsia"/>
        </w:rPr>
        <w:t>EntityManager</w:t>
      </w:r>
      <w:r>
        <w:t xml:space="preserve"> Doctrine prépare et exécute l'enregistrement de cette entité </w:t>
      </w:r>
      <w:r>
        <w:rPr>
          <w:rStyle w:val="CodeHTML"/>
          <w:rFonts w:eastAsiaTheme="majorEastAsia"/>
        </w:rPr>
        <w:t>Order</w:t>
      </w:r>
      <w:r>
        <w:t xml:space="preserve"> en base de données.</w:t>
      </w:r>
    </w:p>
    <w:p w14:paraId="4C849BF7" w14:textId="77777777" w:rsidR="00291656" w:rsidRDefault="00291656" w:rsidP="00291656">
      <w:pPr>
        <w:pStyle w:val="NormalWeb"/>
      </w:pPr>
      <w:r>
        <w:t xml:space="preserve">On itère ensuite sur les éléments du panier pour créer une nouvelle instance de l'entité </w:t>
      </w:r>
      <w:r>
        <w:rPr>
          <w:rStyle w:val="CodeHTML"/>
          <w:rFonts w:eastAsiaTheme="majorEastAsia"/>
        </w:rPr>
        <w:t>OrderDetail</w:t>
      </w:r>
      <w:r>
        <w:t xml:space="preserve"> pour chaque article. Chaque </w:t>
      </w:r>
      <w:r>
        <w:rPr>
          <w:rStyle w:val="CodeHTML"/>
          <w:rFonts w:eastAsiaTheme="majorEastAsia"/>
        </w:rPr>
        <w:t>OrderDetail</w:t>
      </w:r>
      <w:r>
        <w:t xml:space="preserve"> est hydraté avec l'entité </w:t>
      </w:r>
      <w:r>
        <w:rPr>
          <w:rStyle w:val="CodeHTML"/>
          <w:rFonts w:eastAsiaTheme="majorEastAsia"/>
        </w:rPr>
        <w:t>Order</w:t>
      </w:r>
      <w:r>
        <w:t xml:space="preserve"> associée, l'entité </w:t>
      </w:r>
      <w:r>
        <w:rPr>
          <w:rStyle w:val="CodeHTML"/>
          <w:rFonts w:eastAsiaTheme="majorEastAsia"/>
        </w:rPr>
        <w:t>ExhibitionShare</w:t>
      </w:r>
      <w:r>
        <w:t xml:space="preserve"> et l'entité </w:t>
      </w:r>
      <w:r>
        <w:rPr>
          <w:rStyle w:val="CodeHTML"/>
          <w:rFonts w:eastAsiaTheme="majorEastAsia"/>
        </w:rPr>
        <w:t>Ticket</w:t>
      </w:r>
      <w:r>
        <w:t xml:space="preserve"> correspondantes (retrouvées via leurs repositories), la </w:t>
      </w:r>
      <w:r>
        <w:rPr>
          <w:rStyle w:val="CodeHTML"/>
          <w:rFonts w:eastAsiaTheme="majorEastAsia"/>
        </w:rPr>
        <w:t>quantity</w:t>
      </w:r>
      <w:r>
        <w:t xml:space="preserve"> et le </w:t>
      </w:r>
      <w:r>
        <w:rPr>
          <w:rStyle w:val="CodeHTML"/>
          <w:rFonts w:eastAsiaTheme="majorEastAsia"/>
        </w:rPr>
        <w:t>unitPrice</w:t>
      </w:r>
      <w:r>
        <w:t xml:space="preserve">. Ces entités </w:t>
      </w:r>
      <w:r>
        <w:rPr>
          <w:rStyle w:val="CodeHTML"/>
          <w:rFonts w:eastAsiaTheme="majorEastAsia"/>
        </w:rPr>
        <w:t>OrderDetail</w:t>
      </w:r>
      <w:r>
        <w:t xml:space="preserve"> sont ensuite persistées </w:t>
      </w:r>
      <w:r>
        <w:lastRenderedPageBreak/>
        <w:t>via l'</w:t>
      </w:r>
      <w:r>
        <w:rPr>
          <w:rStyle w:val="CodeHTML"/>
          <w:rFonts w:eastAsiaTheme="majorEastAsia"/>
        </w:rPr>
        <w:t>EntityManager</w:t>
      </w:r>
      <w:r>
        <w:t xml:space="preserve">. L'entité </w:t>
      </w:r>
      <w:r>
        <w:rPr>
          <w:rStyle w:val="CodeHTML"/>
          <w:rFonts w:eastAsiaTheme="majorEastAsia"/>
        </w:rPr>
        <w:t>Order</w:t>
      </w:r>
      <w:r>
        <w:t xml:space="preserve"> est rafraîchie (</w:t>
      </w:r>
      <w:r>
        <w:rPr>
          <w:rStyle w:val="CodeHTML"/>
          <w:rFonts w:eastAsiaTheme="majorEastAsia"/>
        </w:rPr>
        <w:t>$this-&gt;entityManager-&gt;refresh($order)</w:t>
      </w:r>
      <w:r>
        <w:t>) afin de récupérer l'ID généré par la base de données, qui sera utilisé pour la création du numéro de facture unique.</w:t>
      </w:r>
    </w:p>
    <w:p w14:paraId="166042FA" w14:textId="77777777" w:rsidR="00291656" w:rsidRDefault="00291656" w:rsidP="00291656">
      <w:pPr>
        <w:pStyle w:val="NormalWeb"/>
      </w:pPr>
      <w:r>
        <w:t xml:space="preserve">Une nouvelle instance de l'entité </w:t>
      </w:r>
      <w:r>
        <w:rPr>
          <w:rStyle w:val="CodeHTML"/>
          <w:rFonts w:eastAsiaTheme="majorEastAsia"/>
        </w:rPr>
        <w:t>Invoice</w:t>
      </w:r>
      <w:r>
        <w:t xml:space="preserve"> est instanciée et hydratée avec les informations de la commande : </w:t>
      </w:r>
      <w:r>
        <w:rPr>
          <w:rStyle w:val="CodeHTML"/>
          <w:rFonts w:eastAsiaTheme="majorEastAsia"/>
        </w:rPr>
        <w:t>customerName</w:t>
      </w:r>
      <w:r>
        <w:t xml:space="preserve">, </w:t>
      </w:r>
      <w:r>
        <w:rPr>
          <w:rStyle w:val="CodeHTML"/>
          <w:rFonts w:eastAsiaTheme="majorEastAsia"/>
        </w:rPr>
        <w:t>customerFirstname</w:t>
      </w:r>
      <w:r>
        <w:t xml:space="preserve">, </w:t>
      </w:r>
      <w:r>
        <w:rPr>
          <w:rStyle w:val="CodeHTML"/>
          <w:rFonts w:eastAsiaTheme="majorEastAsia"/>
        </w:rPr>
        <w:t>customerEmail</w:t>
      </w:r>
      <w:r>
        <w:t xml:space="preserve">, </w:t>
      </w:r>
      <w:r>
        <w:rPr>
          <w:rStyle w:val="CodeHTML"/>
          <w:rFonts w:eastAsiaTheme="majorEastAsia"/>
        </w:rPr>
        <w:t>orderTotal</w:t>
      </w:r>
      <w:r>
        <w:t xml:space="preserve"> et </w:t>
      </w:r>
      <w:r>
        <w:rPr>
          <w:rStyle w:val="CodeHTML"/>
          <w:rFonts w:eastAsiaTheme="majorEastAsia"/>
        </w:rPr>
        <w:t>dateInvoice</w:t>
      </w:r>
      <w:r>
        <w:t xml:space="preserve"> (avec un objet </w:t>
      </w:r>
      <w:r>
        <w:rPr>
          <w:rStyle w:val="CodeHTML"/>
          <w:rFonts w:eastAsiaTheme="majorEastAsia"/>
        </w:rPr>
        <w:t>\DateTimeImmutable</w:t>
      </w:r>
      <w:r>
        <w:t xml:space="preserve">). Un </w:t>
      </w:r>
      <w:r>
        <w:rPr>
          <w:rStyle w:val="CodeHTML"/>
          <w:rFonts w:eastAsiaTheme="majorEastAsia"/>
        </w:rPr>
        <w:t>numberInvoice</w:t>
      </w:r>
      <w:r>
        <w:t xml:space="preserve"> unique est généré en utilisant l'ID de la commande et la date de création de la commande (</w:t>
      </w:r>
      <w:r>
        <w:rPr>
          <w:rStyle w:val="CodeHTML"/>
          <w:rFonts w:eastAsiaTheme="majorEastAsia"/>
        </w:rPr>
        <w:t>orderDateCreation</w:t>
      </w:r>
      <w:r>
        <w:t xml:space="preserve">). Ce numéro est ensuite attribué aux propriétés </w:t>
      </w:r>
      <w:r>
        <w:rPr>
          <w:rStyle w:val="CodeHTML"/>
          <w:rFonts w:eastAsiaTheme="majorEastAsia"/>
        </w:rPr>
        <w:t>numberInvoice</w:t>
      </w:r>
      <w:r>
        <w:t xml:space="preserve"> des entités </w:t>
      </w:r>
      <w:r>
        <w:rPr>
          <w:rStyle w:val="CodeHTML"/>
          <w:rFonts w:eastAsiaTheme="majorEastAsia"/>
        </w:rPr>
        <w:t>Order</w:t>
      </w:r>
      <w:r>
        <w:t xml:space="preserve"> et </w:t>
      </w:r>
      <w:r>
        <w:rPr>
          <w:rStyle w:val="CodeHTML"/>
          <w:rFonts w:eastAsiaTheme="majorEastAsia"/>
        </w:rPr>
        <w:t>Invoice</w:t>
      </w:r>
      <w:r>
        <w:t xml:space="preserve">. Un slug unique et lisible pour l'administrateur est créé en combinant l'ID de l'utilisateur, son nom et son prénom, et est attribué à la propriété </w:t>
      </w:r>
      <w:r>
        <w:rPr>
          <w:rStyle w:val="CodeHTML"/>
          <w:rFonts w:eastAsiaTheme="majorEastAsia"/>
        </w:rPr>
        <w:t>slug</w:t>
      </w:r>
      <w:r>
        <w:t xml:space="preserve"> de l'entité </w:t>
      </w:r>
      <w:r>
        <w:rPr>
          <w:rStyle w:val="CodeHTML"/>
          <w:rFonts w:eastAsiaTheme="majorEastAsia"/>
        </w:rPr>
        <w:t>Invoice</w:t>
      </w:r>
      <w:r>
        <w:t xml:space="preserve">. On boucle à nouveau sur les éléments du panier pour récupérer chaque article et alimenter un tableau </w:t>
      </w:r>
      <w:r>
        <w:rPr>
          <w:rStyle w:val="CodeHTML"/>
          <w:rFonts w:eastAsiaTheme="majorEastAsia"/>
        </w:rPr>
        <w:t>$invoiceDetails</w:t>
      </w:r>
      <w:r>
        <w:t xml:space="preserve"> contenant les informations nécessaires à la facture (titre de l'exposition et du ticket, prix unitaire, quantité). Ce tableau est ensuite attribué à la propriété </w:t>
      </w:r>
      <w:r>
        <w:rPr>
          <w:rStyle w:val="CodeHTML"/>
          <w:rFonts w:eastAsiaTheme="majorEastAsia"/>
        </w:rPr>
        <w:t>invoiceDetails</w:t>
      </w:r>
      <w:r>
        <w:t xml:space="preserve"> de l'entité </w:t>
      </w:r>
      <w:r>
        <w:rPr>
          <w:rStyle w:val="CodeHTML"/>
          <w:rFonts w:eastAsiaTheme="majorEastAsia"/>
        </w:rPr>
        <w:t>Invoice</w:t>
      </w:r>
      <w:r>
        <w:t>.</w:t>
      </w:r>
    </w:p>
    <w:p w14:paraId="05F6280C" w14:textId="77777777" w:rsidR="00291656" w:rsidRDefault="00291656" w:rsidP="00291656">
      <w:pPr>
        <w:pStyle w:val="NormalWeb"/>
      </w:pPr>
      <w:r>
        <w:t xml:space="preserve">Ensuite, l'entité </w:t>
      </w:r>
      <w:r>
        <w:rPr>
          <w:rStyle w:val="CodeHTML"/>
          <w:rFonts w:eastAsiaTheme="majorEastAsia"/>
        </w:rPr>
        <w:t>Order</w:t>
      </w:r>
      <w:r>
        <w:t xml:space="preserve"> et l'entité </w:t>
      </w:r>
      <w:r>
        <w:rPr>
          <w:rStyle w:val="CodeHTML"/>
          <w:rFonts w:eastAsiaTheme="majorEastAsia"/>
        </w:rPr>
        <w:t>Invoice</w:t>
      </w:r>
      <w:r>
        <w:t xml:space="preserve"> sont persistées et enregistrées en base de données via l'</w:t>
      </w:r>
      <w:r>
        <w:rPr>
          <w:rStyle w:val="CodeHTML"/>
          <w:rFonts w:eastAsiaTheme="majorEastAsia"/>
        </w:rPr>
        <w:t>EntityManager</w:t>
      </w:r>
      <w:r>
        <w:t xml:space="preserve">. L'envoi de la confirmation de commande à l'utilisateur est géré par le service </w:t>
      </w:r>
      <w:r>
        <w:rPr>
          <w:rStyle w:val="CodeHTML"/>
          <w:rFonts w:eastAsiaTheme="majorEastAsia"/>
        </w:rPr>
        <w:t>OrderConfirmationEmailService</w:t>
      </w:r>
      <w:r>
        <w:t xml:space="preserve"> via sa méthode </w:t>
      </w:r>
      <w:r>
        <w:rPr>
          <w:rStyle w:val="CodeHTML"/>
          <w:rFonts w:eastAsiaTheme="majorEastAsia"/>
        </w:rPr>
        <w:t>sendTicketEmail()</w:t>
      </w:r>
      <w:r>
        <w:t xml:space="preserve">. Ce service utilise le </w:t>
      </w:r>
      <w:r>
        <w:rPr>
          <w:rStyle w:val="CodeHTML"/>
          <w:rFonts w:eastAsiaTheme="majorEastAsia"/>
        </w:rPr>
        <w:t>EmailService</w:t>
      </w:r>
      <w:r>
        <w:t xml:space="preserve"> pour l'envoi d'e-mails et potentiellement un service de génération de PDF pour les e-tickets (bien que cela ne soit pas explicitement montré dans ce contrôleur).</w:t>
      </w:r>
    </w:p>
    <w:p w14:paraId="4F6B02D0" w14:textId="77777777" w:rsidR="00291656" w:rsidRDefault="00291656" w:rsidP="00291656">
      <w:pPr>
        <w:pStyle w:val="NormalWeb"/>
      </w:pPr>
      <w:r>
        <w:t xml:space="preserve">L'envoi d'une alerte de stock à l'administrateur est géré par le service </w:t>
      </w:r>
      <w:r>
        <w:rPr>
          <w:rStyle w:val="CodeHTML"/>
          <w:rFonts w:eastAsiaTheme="majorEastAsia"/>
        </w:rPr>
        <w:t>StockAlertEmailService</w:t>
      </w:r>
      <w:r>
        <w:t xml:space="preserve"> via sa méthode </w:t>
      </w:r>
      <w:r>
        <w:rPr>
          <w:rStyle w:val="CodeHTML"/>
          <w:rFonts w:eastAsiaTheme="majorEastAsia"/>
        </w:rPr>
        <w:t>sendStockAlertEmail()</w:t>
      </w:r>
      <w:r>
        <w:t xml:space="preserve">. Avant cet envoi, l'entité </w:t>
      </w:r>
      <w:r>
        <w:rPr>
          <w:rStyle w:val="CodeHTML"/>
          <w:rFonts w:eastAsiaTheme="majorEastAsia"/>
        </w:rPr>
        <w:t>ExhibitionShare</w:t>
      </w:r>
      <w:r>
        <w:t xml:space="preserve"> est rafraîchie pour obtenir les dernières informations de stock. On boucle sur le </w:t>
      </w:r>
      <w:r>
        <w:rPr>
          <w:rStyle w:val="CodeHTML"/>
          <w:rFonts w:eastAsiaTheme="majorEastAsia"/>
        </w:rPr>
        <w:t>$groupedCart</w:t>
      </w:r>
      <w:r>
        <w:t xml:space="preserve"> (le panier regroupé par exposition) pour vérifier le stock restant de chaque exposition. Si le stock restant est inférieur ou égal au seuil d'alerte (</w:t>
      </w:r>
      <w:r>
        <w:rPr>
          <w:rStyle w:val="CodeHTML"/>
          <w:rFonts w:eastAsiaTheme="majorEastAsia"/>
        </w:rPr>
        <w:t>stockAlert</w:t>
      </w:r>
      <w:r>
        <w:t xml:space="preserve">) et supérieur à zéro, l'exposition est ajoutée au tableau </w:t>
      </w:r>
      <w:r>
        <w:rPr>
          <w:rStyle w:val="CodeHTML"/>
          <w:rFonts w:eastAsiaTheme="majorEastAsia"/>
        </w:rPr>
        <w:t>$soonOutStockExhibits</w:t>
      </w:r>
      <w:r>
        <w:t xml:space="preserve">. Si le stock est à zéro, l'exposition est ajoutée au tableau </w:t>
      </w:r>
      <w:r>
        <w:rPr>
          <w:rStyle w:val="CodeHTML"/>
          <w:rFonts w:eastAsiaTheme="majorEastAsia"/>
        </w:rPr>
        <w:t>$outOfStockExhibitions</w:t>
      </w:r>
      <w:r>
        <w:t xml:space="preserve">. Le service </w:t>
      </w:r>
      <w:r>
        <w:rPr>
          <w:rStyle w:val="CodeHTML"/>
          <w:rFonts w:eastAsiaTheme="majorEastAsia"/>
        </w:rPr>
        <w:t>StockAlertEmailService</w:t>
      </w:r>
      <w:r>
        <w:t xml:space="preserve"> utilise ensuite le </w:t>
      </w:r>
      <w:r>
        <w:rPr>
          <w:rStyle w:val="CodeHTML"/>
          <w:rFonts w:eastAsiaTheme="majorEastAsia"/>
        </w:rPr>
        <w:t>EmailService</w:t>
      </w:r>
      <w:r>
        <w:t xml:space="preserve"> pour envoyer un e-mail à l'adresse 'alerte_stock@regardsguerre.fr' si l'un de ces tableaux n'est pas vide.</w:t>
      </w:r>
    </w:p>
    <w:p w14:paraId="5757D714" w14:textId="77777777" w:rsidR="00291656" w:rsidRDefault="00291656" w:rsidP="00291656">
      <w:pPr>
        <w:pStyle w:val="NormalWeb"/>
      </w:pPr>
      <w:r>
        <w:t xml:space="preserve">Enfin, le panier de l'utilisateur est vidé en utilisant la méthode </w:t>
      </w:r>
      <w:r>
        <w:rPr>
          <w:rStyle w:val="CodeHTML"/>
          <w:rFonts w:eastAsiaTheme="majorEastAsia"/>
        </w:rPr>
        <w:t>clearCart()</w:t>
      </w:r>
      <w:r>
        <w:t xml:space="preserve"> du service </w:t>
      </w:r>
      <w:r>
        <w:rPr>
          <w:rStyle w:val="CodeHTML"/>
          <w:rFonts w:eastAsiaTheme="majorEastAsia"/>
        </w:rPr>
        <w:t>CartService</w:t>
      </w:r>
      <w:r>
        <w:t xml:space="preserve">. L'utilisateur est ensuite redirigé vers une page de succès de commande (route </w:t>
      </w:r>
      <w:r>
        <w:rPr>
          <w:rStyle w:val="CodeHTML"/>
          <w:rFonts w:eastAsiaTheme="majorEastAsia"/>
        </w:rPr>
        <w:t>orderSuccess</w:t>
      </w:r>
      <w:r>
        <w:t>).</w:t>
      </w:r>
    </w:p>
    <w:p w14:paraId="09DC1195" w14:textId="77777777" w:rsidR="008D5BF2" w:rsidRPr="00291656" w:rsidRDefault="008D5BF2" w:rsidP="00291656"/>
    <w:sectPr w:rsidR="008D5BF2" w:rsidRPr="00291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F2"/>
    <w:rsid w:val="00291656"/>
    <w:rsid w:val="0032655D"/>
    <w:rsid w:val="008D5BF2"/>
    <w:rsid w:val="009A1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821B"/>
  <w15:chartTrackingRefBased/>
  <w15:docId w15:val="{831F0A4F-D835-4C48-A85A-316FE7D3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5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D5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D5BF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5BF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5BF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5B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5B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5B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5B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5BF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D5BF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D5BF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5BF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5BF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5B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5B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5B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5BF2"/>
    <w:rPr>
      <w:rFonts w:eastAsiaTheme="majorEastAsia" w:cstheme="majorBidi"/>
      <w:color w:val="272727" w:themeColor="text1" w:themeTint="D8"/>
    </w:rPr>
  </w:style>
  <w:style w:type="paragraph" w:styleId="Titre">
    <w:name w:val="Title"/>
    <w:basedOn w:val="Normal"/>
    <w:next w:val="Normal"/>
    <w:link w:val="TitreCar"/>
    <w:uiPriority w:val="10"/>
    <w:qFormat/>
    <w:rsid w:val="008D5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5B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5B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5B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5BF2"/>
    <w:pPr>
      <w:spacing w:before="160"/>
      <w:jc w:val="center"/>
    </w:pPr>
    <w:rPr>
      <w:i/>
      <w:iCs/>
      <w:color w:val="404040" w:themeColor="text1" w:themeTint="BF"/>
    </w:rPr>
  </w:style>
  <w:style w:type="character" w:customStyle="1" w:styleId="CitationCar">
    <w:name w:val="Citation Car"/>
    <w:basedOn w:val="Policepardfaut"/>
    <w:link w:val="Citation"/>
    <w:uiPriority w:val="29"/>
    <w:rsid w:val="008D5BF2"/>
    <w:rPr>
      <w:i/>
      <w:iCs/>
      <w:color w:val="404040" w:themeColor="text1" w:themeTint="BF"/>
    </w:rPr>
  </w:style>
  <w:style w:type="paragraph" w:styleId="Paragraphedeliste">
    <w:name w:val="List Paragraph"/>
    <w:basedOn w:val="Normal"/>
    <w:uiPriority w:val="34"/>
    <w:qFormat/>
    <w:rsid w:val="008D5BF2"/>
    <w:pPr>
      <w:ind w:left="720"/>
      <w:contextualSpacing/>
    </w:pPr>
  </w:style>
  <w:style w:type="character" w:styleId="Accentuationintense">
    <w:name w:val="Intense Emphasis"/>
    <w:basedOn w:val="Policepardfaut"/>
    <w:uiPriority w:val="21"/>
    <w:qFormat/>
    <w:rsid w:val="008D5BF2"/>
    <w:rPr>
      <w:i/>
      <w:iCs/>
      <w:color w:val="0F4761" w:themeColor="accent1" w:themeShade="BF"/>
    </w:rPr>
  </w:style>
  <w:style w:type="paragraph" w:styleId="Citationintense">
    <w:name w:val="Intense Quote"/>
    <w:basedOn w:val="Normal"/>
    <w:next w:val="Normal"/>
    <w:link w:val="CitationintenseCar"/>
    <w:uiPriority w:val="30"/>
    <w:qFormat/>
    <w:rsid w:val="008D5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5BF2"/>
    <w:rPr>
      <w:i/>
      <w:iCs/>
      <w:color w:val="0F4761" w:themeColor="accent1" w:themeShade="BF"/>
    </w:rPr>
  </w:style>
  <w:style w:type="character" w:styleId="Rfrenceintense">
    <w:name w:val="Intense Reference"/>
    <w:basedOn w:val="Policepardfaut"/>
    <w:uiPriority w:val="32"/>
    <w:qFormat/>
    <w:rsid w:val="008D5BF2"/>
    <w:rPr>
      <w:b/>
      <w:bCs/>
      <w:smallCaps/>
      <w:color w:val="0F4761" w:themeColor="accent1" w:themeShade="BF"/>
      <w:spacing w:val="5"/>
    </w:rPr>
  </w:style>
  <w:style w:type="paragraph" w:styleId="NormalWeb">
    <w:name w:val="Normal (Web)"/>
    <w:basedOn w:val="Normal"/>
    <w:uiPriority w:val="99"/>
    <w:semiHidden/>
    <w:unhideWhenUsed/>
    <w:rsid w:val="009A125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9A125C"/>
    <w:rPr>
      <w:b/>
      <w:bCs/>
    </w:rPr>
  </w:style>
  <w:style w:type="character" w:styleId="CodeHTML">
    <w:name w:val="HTML Code"/>
    <w:basedOn w:val="Policepardfaut"/>
    <w:uiPriority w:val="99"/>
    <w:semiHidden/>
    <w:unhideWhenUsed/>
    <w:rsid w:val="009A12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98957">
      <w:bodyDiv w:val="1"/>
      <w:marLeft w:val="0"/>
      <w:marRight w:val="0"/>
      <w:marTop w:val="0"/>
      <w:marBottom w:val="0"/>
      <w:divBdr>
        <w:top w:val="none" w:sz="0" w:space="0" w:color="auto"/>
        <w:left w:val="none" w:sz="0" w:space="0" w:color="auto"/>
        <w:bottom w:val="none" w:sz="0" w:space="0" w:color="auto"/>
        <w:right w:val="none" w:sz="0" w:space="0" w:color="auto"/>
      </w:divBdr>
    </w:div>
    <w:div w:id="17833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997</Words>
  <Characters>5489</Characters>
  <Application>Microsoft Office Word</Application>
  <DocSecurity>0</DocSecurity>
  <Lines>45</Lines>
  <Paragraphs>12</Paragraphs>
  <ScaleCrop>false</ScaleCrop>
  <Company>ELAN Formation</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3</cp:revision>
  <dcterms:created xsi:type="dcterms:W3CDTF">2025-05-06T12:03:00Z</dcterms:created>
  <dcterms:modified xsi:type="dcterms:W3CDTF">2025-05-06T13:36:00Z</dcterms:modified>
</cp:coreProperties>
</file>