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4809490</wp:posOffset>
            </wp:positionH>
            <wp:positionV relativeFrom="page">
              <wp:posOffset>73660</wp:posOffset>
            </wp:positionV>
            <wp:extent cx="1457960" cy="169487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69487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056"/>
        </w:trPr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376" w:right="2016" w:firstLine="0"/>
              <w:jc w:val="lef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8"/>
                <w:u w:val="single"/>
              </w:rPr>
              <w:t>Data Engineering &amp; Analytics Lead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28"/>
              </w:rPr>
              <w:t xml:space="preserve"> </w:t>
            </w:r>
            <w:r>
              <w:br/>
            </w:r>
            <w:r>
              <w:rPr>
                <w:rFonts w:ascii="Garamond" w:hAnsi="Garamond" w:eastAsia="Garamond"/>
                <w:b/>
                <w:i w:val="0"/>
                <w:color w:val="000000"/>
                <w:sz w:val="48"/>
              </w:rPr>
              <w:t xml:space="preserve">SIMON RENAULD 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2016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+ 84 923 180 061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  <w:u w:val="single"/>
              </w:rPr>
              <w:hyperlink r:id="rId9" w:history="1">
                <w:r>
                  <w:rPr>
                    <w:rStyle w:val="Hyperlink"/>
                  </w:rPr>
                  <w:t>sn.renauld@gmail.com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  <w:u w:val="single"/>
              </w:rPr>
              <w:hyperlink r:id="rId10" w:history="1">
                <w:r>
                  <w:rPr>
                    <w:rStyle w:val="Hyperlink"/>
                  </w:rPr>
                  <w:t>linkedin/simonrenauld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6C6C6C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0"/>
                <w:u w:val="single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0"/>
                <w:u w:val="single"/>
              </w:rPr>
              <w:hyperlink r:id="rId11" w:history="1">
                <w:r>
                  <w:rPr>
                    <w:rStyle w:val="Hyperlink"/>
                  </w:rPr>
                  <w:t>https://simondatalab.de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FF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94" w:lineRule="auto" w:before="22" w:after="0"/>
        <w:ind w:left="0" w:right="522" w:firstLine="0"/>
        <w:jc w:val="right"/>
      </w:pPr>
      <w:r>
        <w:rPr>
          <w:rFonts w:ascii="Calibri" w:hAnsi="Calibri" w:eastAsia="Calibri"/>
          <w:b w:val="0"/>
          <w:i w:val="0"/>
          <w:color w:val="6C6C6C"/>
          <w:sz w:val="20"/>
        </w:rPr>
        <w:t>Ho Chi Minh City, Vietnam</w:t>
      </w:r>
    </w:p>
    <w:p>
      <w:pPr>
        <w:autoSpaceDN w:val="0"/>
        <w:autoSpaceDE w:val="0"/>
        <w:widowControl/>
        <w:spacing w:line="240" w:lineRule="auto" w:before="104" w:after="0"/>
        <w:ind w:left="72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Professional Summary </w:t>
      </w:r>
    </w:p>
    <w:p>
      <w:pPr>
        <w:autoSpaceDN w:val="0"/>
        <w:autoSpaceDE w:val="0"/>
        <w:widowControl/>
        <w:spacing w:line="245" w:lineRule="auto" w:before="412" w:after="0"/>
        <w:ind w:left="72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Canadian-born Analytics and Data Engineering leader, based in Ho Chi Minh City, with 10+ years of experience across Southeast Asia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Latin America. I specialize in transforming complex data into actionable insights that improve accuracy, accelerate decisions,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boost operational efficiency. My background spans healthcare and tech startups, where I have built scalable data solutions ranging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from engineering pipelines to governance frameworks. Recognized for bridging technical expertise with business strategy, I foster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cross-functional collaboration to unlock data’s full potential. Passionate about innovation and continuous improvement, my mission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is to deliver lasting business value through human-centered, data-driven solutions </w:t>
      </w:r>
    </w:p>
    <w:p>
      <w:pPr>
        <w:autoSpaceDN w:val="0"/>
        <w:autoSpaceDE w:val="0"/>
        <w:widowControl/>
        <w:spacing w:line="240" w:lineRule="auto" w:before="204" w:after="38"/>
        <w:ind w:left="72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Core Competencies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4680"/>
        <w:gridCol w:w="4680"/>
      </w:tblGrid>
      <w:tr>
        <w:trPr>
          <w:trHeight w:hRule="exact" w:val="434"/>
        </w:trPr>
        <w:tc>
          <w:tcPr>
            <w:tcW w:type="dxa" w:w="55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0" w:after="0"/>
              <w:ind w:left="0" w:right="2188" w:firstLine="0"/>
              <w:jc w:val="righ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2"/>
                <w:u w:val="single"/>
              </w:rPr>
              <w:t>Personal Skills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2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0" w:right="1674" w:firstLine="0"/>
              <w:jc w:val="right"/>
            </w:pPr>
            <w:r>
              <w:rPr>
                <w:rFonts w:ascii="Garamond" w:hAnsi="Garamond" w:eastAsia="Garamond"/>
                <w:b/>
                <w:i w:val="0"/>
                <w:color w:val="000000"/>
                <w:sz w:val="20"/>
                <w:u w:val="single"/>
              </w:rPr>
              <w:t>Technical Skills</w:t>
            </w:r>
            <w:r>
              <w:rPr>
                <w:rFonts w:ascii="Garamond" w:hAnsi="Garamond" w:eastAsia="Garamond"/>
                <w:b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2"/>
        <w:ind w:left="0" w:right="0"/>
      </w:pPr>
    </w:p>
    <w:p>
      <w:pPr>
        <w:sectPr>
          <w:pgSz w:w="12240" w:h="15840"/>
          <w:pgMar w:top="0" w:right="0" w:bottom="578" w:left="0" w:header="720" w:footer="720" w:gutter="0"/>
          <w:cols/>
          <w:docGrid w:linePitch="360"/>
        </w:sectPr>
      </w:pPr>
    </w:p>
    <w:p>
      <w:pPr>
        <w:autoSpaceDN w:val="0"/>
        <w:tabs>
          <w:tab w:pos="862" w:val="left"/>
        </w:tabs>
        <w:autoSpaceDE w:val="0"/>
        <w:widowControl/>
        <w:spacing w:line="245" w:lineRule="auto" w:before="0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>Team Leadership: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Led teams of 50+, reducing project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timelines by 30% through effective coordination and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>mentorship</w:t>
      </w:r>
      <w:r>
        <w:br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>Technical Communication: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Translated complex data concepts </w:t>
      </w:r>
    </w:p>
    <w:p>
      <w:pPr>
        <w:sectPr>
          <w:type w:val="continuous"/>
          <w:pgSz w:w="12240" w:h="15840"/>
          <w:pgMar w:top="0" w:right="0" w:bottom="578" w:left="0" w:header="720" w:footer="720" w:gutter="0"/>
          <w:cols w:num="2" w:equalWidth="0">
            <w:col w:w="6046" w:space="0"/>
            <w:col w:w="6194" w:space="0"/>
          </w:cols>
          <w:docGrid w:linePitch="360"/>
        </w:sectPr>
      </w:pPr>
    </w:p>
    <w:p>
      <w:pPr>
        <w:autoSpaceDN w:val="0"/>
        <w:tabs>
          <w:tab w:pos="264" w:val="left"/>
        </w:tabs>
        <w:autoSpaceDE w:val="0"/>
        <w:widowControl/>
        <w:spacing w:line="250" w:lineRule="auto" w:before="0" w:after="82"/>
        <w:ind w:left="124" w:right="720" w:firstLine="0"/>
        <w:jc w:val="left"/>
      </w:pP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>Data Engineering &amp; Warehousing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 (Python, SQL, ETL, Redshift, </w:t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>PostgreSQL, MySQL)</w:t>
      </w:r>
      <w:r>
        <w:br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Cloud Infrastructure &amp; DevOps 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(AWS, Azure, Hetzner, </w:t>
      </w:r>
    </w:p>
    <w:p>
      <w:pPr>
        <w:sectPr>
          <w:type w:val="nextColumn"/>
          <w:pgSz w:w="12240" w:h="15840"/>
          <w:pgMar w:top="0" w:right="0" w:bottom="578" w:left="0" w:header="720" w:footer="720" w:gutter="0"/>
          <w:cols w:num="2" w:equalWidth="0">
            <w:col w:w="6046" w:space="0"/>
            <w:col w:w="6194" w:space="0"/>
          </w:cols>
          <w:docGrid w:linePitch="360"/>
        </w:sectPr>
      </w:pPr>
    </w:p>
    <w:p>
      <w:pPr>
        <w:autoSpaceDN w:val="0"/>
        <w:tabs>
          <w:tab w:pos="6310" w:val="left"/>
        </w:tabs>
        <w:autoSpaceDE w:val="0"/>
        <w:widowControl/>
        <w:spacing w:line="206" w:lineRule="auto" w:before="0" w:after="46"/>
        <w:ind w:left="862" w:right="0" w:firstLine="0"/>
        <w:jc w:val="left"/>
      </w:pP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into actionable insights, ensuring cross-functional alignment </w:t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>CloudWatch, Grafana)</w:t>
      </w:r>
    </w:p>
    <w:p>
      <w:pPr>
        <w:sectPr>
          <w:type w:val="continuous"/>
          <w:pgSz w:w="12240" w:h="15840"/>
          <w:pgMar w:top="0" w:right="0" w:bottom="578" w:left="0" w:header="720" w:footer="720" w:gutter="0"/>
          <w:cols/>
          <w:docGrid w:linePitch="360"/>
        </w:sectPr>
      </w:pPr>
    </w:p>
    <w:p>
      <w:pPr>
        <w:autoSpaceDN w:val="0"/>
        <w:tabs>
          <w:tab w:pos="862" w:val="left"/>
        </w:tabs>
        <w:autoSpaceDE w:val="0"/>
        <w:widowControl/>
        <w:spacing w:line="245" w:lineRule="auto" w:before="0" w:after="0"/>
        <w:ind w:left="72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>and clear communication</w:t>
      </w:r>
      <w:r>
        <w:br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>Problem Solving: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Developed scalable solutions that increased </w:t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productivity by 50%, demonstrating an initiative-taking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>approach to challenges</w:t>
      </w:r>
      <w:r>
        <w:br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>Adaptability: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Thrives in multicultural environments, an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understanding of Vietnamese culture to navigate diverse </w:t>
      </w:r>
    </w:p>
    <w:p>
      <w:pPr>
        <w:sectPr>
          <w:type w:val="continuous"/>
          <w:pgSz w:w="12240" w:h="15840"/>
          <w:pgMar w:top="0" w:right="0" w:bottom="578" w:left="0" w:header="720" w:footer="720" w:gutter="0"/>
          <w:cols w:num="2" w:equalWidth="0">
            <w:col w:w="6042" w:space="0"/>
            <w:col w:w="6198" w:space="0"/>
          </w:cols>
          <w:docGrid w:linePitch="360"/>
        </w:sectPr>
      </w:pPr>
    </w:p>
    <w:p>
      <w:pPr>
        <w:autoSpaceDN w:val="0"/>
        <w:tabs>
          <w:tab w:pos="268" w:val="left"/>
        </w:tabs>
        <w:autoSpaceDE w:val="0"/>
        <w:widowControl/>
        <w:spacing w:line="262" w:lineRule="auto" w:before="0" w:after="82"/>
        <w:ind w:left="128" w:right="720" w:firstLine="0"/>
        <w:jc w:val="left"/>
      </w:pP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Data Governance 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(Data quality frameworks, Master Data </w:t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>Management)</w:t>
      </w:r>
      <w:r>
        <w:br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APIs &amp; Integration </w:t>
      </w:r>
      <w:r>
        <w:rPr>
          <w:rFonts w:ascii="Calibri" w:hAnsi="Calibri" w:eastAsia="Calibri"/>
          <w:b w:val="0"/>
          <w:i w:val="0"/>
          <w:color w:val="515151"/>
          <w:sz w:val="20"/>
        </w:rPr>
        <w:t>(RESTful APIs, system integration, scripting)</w:t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Data Science &amp; Visualization 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(Power BI, Excel, Metabase, </w:t>
      </w:r>
      <w:r>
        <w:tab/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Pandas, Matplotlib, Seaborn) </w:t>
      </w:r>
    </w:p>
    <w:p>
      <w:pPr>
        <w:sectPr>
          <w:type w:val="nextColumn"/>
          <w:pgSz w:w="12240" w:h="15840"/>
          <w:pgMar w:top="0" w:right="0" w:bottom="578" w:left="0" w:header="720" w:footer="720" w:gutter="0"/>
          <w:cols w:num="2" w:equalWidth="0">
            <w:col w:w="6042" w:space="0"/>
            <w:col w:w="6198" w:space="0"/>
          </w:cols>
          <w:docGrid w:linePitch="360"/>
        </w:sectPr>
      </w:pPr>
    </w:p>
    <w:p>
      <w:pPr>
        <w:autoSpaceDN w:val="0"/>
        <w:tabs>
          <w:tab w:pos="6170" w:val="left"/>
        </w:tabs>
        <w:autoSpaceDE w:val="0"/>
        <w:widowControl/>
        <w:spacing w:line="228" w:lineRule="auto" w:before="0" w:after="46"/>
        <w:ind w:left="862" w:right="0" w:firstLine="0"/>
        <w:jc w:val="left"/>
      </w:pPr>
      <w:r>
        <w:rPr>
          <w:rFonts w:ascii="Calibri" w:hAnsi="Calibri" w:eastAsia="Calibri"/>
          <w:b w:val="0"/>
          <w:i w:val="0"/>
          <w:color w:val="515151"/>
          <w:sz w:val="20"/>
        </w:rPr>
        <w:t>workplaces</w:t>
      </w:r>
      <w:r>
        <w:tab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DevOps &amp; Monitoring: </w:t>
      </w:r>
      <w:r>
        <w:rPr>
          <w:rFonts w:ascii="Calibri" w:hAnsi="Calibri" w:eastAsia="Calibri"/>
          <w:b w:val="0"/>
          <w:i w:val="0"/>
          <w:color w:val="515151"/>
          <w:sz w:val="20"/>
        </w:rPr>
        <w:t>CloudWatch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, </w:t>
      </w:r>
      <w:r>
        <w:rPr>
          <w:rFonts w:ascii="Calibri" w:hAnsi="Calibri" w:eastAsia="Calibri"/>
          <w:b w:val="0"/>
          <w:i w:val="0"/>
          <w:color w:val="515151"/>
          <w:sz w:val="20"/>
        </w:rPr>
        <w:t>Grafana</w:t>
      </w:r>
    </w:p>
    <w:p>
      <w:pPr>
        <w:sectPr>
          <w:type w:val="continuous"/>
          <w:pgSz w:w="12240" w:h="15840"/>
          <w:pgMar w:top="0" w:right="0" w:bottom="5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62" w:right="144" w:hanging="142"/>
        <w:jc w:val="left"/>
      </w:pP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>Strategic Thinking: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Aligns technical solutions with long-term </w:t>
      </w:r>
      <w:r>
        <w:rPr>
          <w:rFonts w:ascii="Calibri" w:hAnsi="Calibri" w:eastAsia="Calibri"/>
          <w:b w:val="0"/>
          <w:i w:val="0"/>
          <w:color w:val="515151"/>
          <w:sz w:val="20"/>
        </w:rPr>
        <w:t xml:space="preserve">business goals, ensuring data initiatives directly drive </w:t>
      </w:r>
      <w:r>
        <w:br/>
      </w:r>
      <w:r>
        <w:rPr>
          <w:rFonts w:ascii="Calibri" w:hAnsi="Calibri" w:eastAsia="Calibri"/>
          <w:b w:val="0"/>
          <w:i w:val="0"/>
          <w:color w:val="515151"/>
          <w:sz w:val="20"/>
        </w:rPr>
        <w:t>organizational success</w:t>
      </w:r>
    </w:p>
    <w:p>
      <w:pPr>
        <w:autoSpaceDN w:val="0"/>
        <w:autoSpaceDE w:val="0"/>
        <w:widowControl/>
        <w:spacing w:line="240" w:lineRule="auto" w:before="368" w:after="0"/>
        <w:ind w:left="720" w:right="0" w:firstLine="0"/>
        <w:jc w:val="left"/>
      </w:pPr>
      <w:r>
        <w:rPr>
          <w:rFonts w:ascii="Garamond" w:hAnsi="Garamond" w:eastAsia="Garamond"/>
          <w:b/>
          <w:i w:val="0"/>
          <w:color w:val="000000"/>
          <w:sz w:val="24"/>
        </w:rPr>
        <w:t xml:space="preserve">Work Experience </w:t>
      </w:r>
    </w:p>
    <w:p>
      <w:pPr>
        <w:sectPr>
          <w:type w:val="continuous"/>
          <w:pgSz w:w="12240" w:h="15840"/>
          <w:pgMar w:top="0" w:right="0" w:bottom="578" w:left="0" w:header="720" w:footer="720" w:gutter="0"/>
          <w:cols w:num="2" w:equalWidth="0">
            <w:col w:w="5984" w:space="0"/>
            <w:col w:w="625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84"/>
        <w:ind w:left="186" w:right="576" w:firstLine="0"/>
        <w:jc w:val="left"/>
      </w:pP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Version Control &amp; CI/CD : </w:t>
      </w:r>
      <w:r>
        <w:rPr>
          <w:rFonts w:ascii="Calibri" w:hAnsi="Calibri" w:eastAsia="Calibri"/>
          <w:b w:val="0"/>
          <w:i w:val="0"/>
          <w:color w:val="515151"/>
          <w:sz w:val="20"/>
        </w:rPr>
        <w:t>Git, GitHub Actions</w:t>
      </w:r>
      <w:r>
        <w:br/>
      </w:r>
      <w:r>
        <w:rPr>
          <w:rFonts w:ascii="Arial" w:hAnsi="Arial" w:eastAsia="Arial"/>
          <w:b w:val="0"/>
          <w:i w:val="0"/>
          <w:color w:val="515151"/>
          <w:sz w:val="16"/>
        </w:rPr>
        <w:t xml:space="preserve">• </w:t>
      </w:r>
      <w:r>
        <w:rPr>
          <w:rFonts w:ascii="Calibri" w:hAnsi="Calibri" w:eastAsia="Calibri"/>
          <w:b/>
          <w:i w:val="0"/>
          <w:color w:val="515151"/>
          <w:sz w:val="20"/>
        </w:rPr>
        <w:t xml:space="preserve">Hyperautomation: </w:t>
      </w:r>
      <w:r>
        <w:rPr>
          <w:rFonts w:ascii="Calibri" w:hAnsi="Calibri" w:eastAsia="Calibri"/>
          <w:b w:val="0"/>
          <w:i w:val="0"/>
          <w:color w:val="515151"/>
          <w:sz w:val="20"/>
        </w:rPr>
        <w:t>Workflow automation &amp; process optimization</w:t>
      </w:r>
    </w:p>
    <w:p>
      <w:pPr>
        <w:sectPr>
          <w:type w:val="nextColumn"/>
          <w:pgSz w:w="12240" w:h="15840"/>
          <w:pgMar w:top="0" w:right="0" w:bottom="578" w:left="0" w:header="720" w:footer="720" w:gutter="0"/>
          <w:cols w:num="2" w:equalWidth="0">
            <w:col w:w="5984" w:space="0"/>
            <w:col w:w="62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4680"/>
        <w:gridCol w:w="4680"/>
      </w:tblGrid>
      <w:tr>
        <w:trPr>
          <w:trHeight w:hRule="exact" w:val="468"/>
        </w:trPr>
        <w:tc>
          <w:tcPr>
            <w:tcW w:type="dxa" w:w="84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MANAGEMENT CONSULTING SPECIALIST–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Independent, Vietnam, Ho Chi Minh City</w:t>
            </w:r>
          </w:p>
        </w:tc>
        <w:tc>
          <w:tcPr>
            <w:tcW w:type="dxa" w:w="253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December 2025 - </w:t>
            </w:r>
          </w:p>
        </w:tc>
      </w:tr>
    </w:tbl>
    <w:p>
      <w:pPr>
        <w:autoSpaceDN w:val="0"/>
        <w:autoSpaceDE w:val="0"/>
        <w:widowControl/>
        <w:spacing w:line="197" w:lineRule="auto" w:before="16" w:after="0"/>
        <w:ind w:left="720" w:right="0" w:firstLine="0"/>
        <w:jc w:val="left"/>
      </w:pPr>
      <w:r>
        <w:rPr>
          <w:rFonts w:ascii="Calibri" w:hAnsi="Calibri" w:eastAsia="Calibri"/>
          <w:b w:val="0"/>
          <w:i/>
          <w:color w:val="323232"/>
          <w:sz w:val="20"/>
        </w:rPr>
        <w:t>Hired to implement scalable processes and governance frameworks for digital transformation initiatives at a regional startup</w:t>
      </w:r>
    </w:p>
    <w:p>
      <w:pPr>
        <w:autoSpaceDN w:val="0"/>
        <w:tabs>
          <w:tab w:pos="1004" w:val="left"/>
        </w:tabs>
        <w:autoSpaceDE w:val="0"/>
        <w:widowControl/>
        <w:spacing w:line="245" w:lineRule="auto" w:before="166" w:after="0"/>
        <w:ind w:left="788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Oversaw multi-stream innovation programs covering SaaS platforms, mobile apps, and emerging technology pilots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Deployed IoT-enabled mobile solutions linking wearable devices to secure cloud analytics platforms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Managed cross-functional Agile squads (UX/UI, development, data engineering, QA) using JIRA for sprint planning, backlog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grooming, and velocity tracking, ensuring on-time delivery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Collaborated with C-level executives on project scope definition, regulatory compliance, and strategic technology roadmaps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Established governance frameworks, API lifecycle management, and risk mitigation strategies to enhance product reliability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scalability </w:t>
      </w:r>
    </w:p>
    <w:p>
      <w:pPr>
        <w:autoSpaceDN w:val="0"/>
        <w:tabs>
          <w:tab w:pos="10442" w:val="left"/>
        </w:tabs>
        <w:autoSpaceDE w:val="0"/>
        <w:widowControl/>
        <w:spacing w:line="245" w:lineRule="auto" w:before="244" w:after="0"/>
        <w:ind w:left="72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ENTERPRISE DATA SCIENCE LAB IMPLEMENTATION –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Independent, Vietnam, Ho Chi Minh City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March 2024 -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Building  low-cost, scalable server infrastructure for enterprise-level data operations </w:t>
      </w:r>
    </w:p>
    <w:p>
      <w:pPr>
        <w:autoSpaceDN w:val="0"/>
        <w:tabs>
          <w:tab w:pos="1004" w:val="left"/>
        </w:tabs>
        <w:autoSpaceDE w:val="0"/>
        <w:widowControl/>
        <w:spacing w:line="245" w:lineRule="auto" w:before="166" w:after="0"/>
        <w:ind w:left="788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Built a high-availability Proxmox VE platform on Hetzner with ZFS and automated backups, enabling failover for Dockerized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Moodle LMS and analytics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AI-driven CRM analytics and automated ELT jobs (Python/SQL, GitHub Actions), reducing reporting time by ~50%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improving client-tracking accuracy. </w:t>
      </w:r>
    </w:p>
    <w:p>
      <w:pPr>
        <w:autoSpaceDN w:val="0"/>
        <w:tabs>
          <w:tab w:pos="1004" w:val="left"/>
        </w:tabs>
        <w:autoSpaceDE w:val="0"/>
        <w:widowControl/>
        <w:spacing w:line="245" w:lineRule="auto" w:before="42" w:after="0"/>
        <w:ind w:left="78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Deployed a production Moodle LMS with custom themes and integrated services, containerized via Docker/Compose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secured with SSH ProxyJump. </w:t>
      </w:r>
    </w:p>
    <w:p>
      <w:pPr>
        <w:autoSpaceDN w:val="0"/>
        <w:autoSpaceDE w:val="0"/>
        <w:widowControl/>
        <w:spacing w:line="194" w:lineRule="auto" w:before="46" w:after="0"/>
        <w:ind w:left="7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Set up observability with Grafana and Prometheus, monitoring platform health, pipeline SLAs, and storage capacity. </w:t>
      </w:r>
    </w:p>
    <w:p>
      <w:pPr>
        <w:autoSpaceDN w:val="0"/>
        <w:tabs>
          <w:tab w:pos="1004" w:val="left"/>
        </w:tabs>
        <w:autoSpaceDE w:val="0"/>
        <w:widowControl/>
        <w:spacing w:line="245" w:lineRule="auto" w:before="46" w:after="0"/>
        <w:ind w:left="788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Designed encrypted, scalable backup strategy using Restic with offsite Hetzner replication, strengthening security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compliance </w:t>
      </w:r>
    </w:p>
    <w:p>
      <w:pPr>
        <w:sectPr>
          <w:type w:val="continuous"/>
          <w:pgSz w:w="12240" w:h="15840"/>
          <w:pgMar w:top="0" w:right="0" w:bottom="57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tabs>
          <w:tab w:pos="9234" w:val="left"/>
        </w:tabs>
        <w:autoSpaceDE w:val="0"/>
        <w:widowControl/>
        <w:spacing w:line="245" w:lineRule="auto" w:before="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CYBERSECURITY ANALYST–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IPSIP, Vietnam, Ho Chi Minh City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Apr 2024 – Jul 2024 </w:t>
      </w:r>
      <w:r>
        <w:rPr>
          <w:rFonts w:ascii="Calibri" w:hAnsi="Calibri" w:eastAsia="Calibri"/>
          <w:b w:val="0"/>
          <w:i/>
          <w:color w:val="323232"/>
          <w:sz w:val="20"/>
        </w:rPr>
        <w:t>Annual Turnover: $50 million | Team Size: 50 employees (Vietnam) | Operations: Global</w:t>
      </w:r>
    </w:p>
    <w:p>
      <w:pPr>
        <w:autoSpaceDN w:val="0"/>
        <w:tabs>
          <w:tab w:pos="312" w:val="left"/>
        </w:tabs>
        <w:autoSpaceDE w:val="0"/>
        <w:widowControl/>
        <w:spacing w:line="245" w:lineRule="auto" w:before="166" w:after="0"/>
        <w:ind w:left="96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Provided technical support and troubleshooting for clients utilizing Wallix Bastion and Access Manager, a leading privileged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access management (PAM) solution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Analyzed system logs to identify and resolve complex security issues, ensuring optimal performance and security posture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Advised clients on best practices for securing their IT infrastructure and mitigating potential cyber threats </w:t>
      </w:r>
    </w:p>
    <w:p>
      <w:pPr>
        <w:autoSpaceDN w:val="0"/>
        <w:tabs>
          <w:tab w:pos="9214" w:val="left"/>
        </w:tabs>
        <w:autoSpaceDE w:val="0"/>
        <w:widowControl/>
        <w:spacing w:line="245" w:lineRule="auto" w:before="24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LEAD DATA ENGINEERING &amp; ANALYTICS –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Jio Health, Vietnam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Jan 2022 - Feb 2024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$75 million | Team Size: 500+ professionals (Vietnam) | Operations: Country-wide-Vietnam </w:t>
      </w:r>
    </w:p>
    <w:p>
      <w:pPr>
        <w:autoSpaceDN w:val="0"/>
        <w:tabs>
          <w:tab w:pos="312" w:val="left"/>
        </w:tabs>
        <w:autoSpaceDE w:val="0"/>
        <w:widowControl/>
        <w:spacing w:line="245" w:lineRule="auto" w:before="166" w:after="0"/>
        <w:ind w:left="96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Coordinated a multidisciplinary team of 50+ professionals, delivering data-driven projects under the guidance of the CTO,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improving project delivery timelines by 30%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Automated core business processes with Python, reducing manual workload by 80% and increasing operational efficiency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by 60% and saving $100,000 USD annually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Spearheaded the migration to the Odoo ERP system, enhancing data quality by 50% and streamlining business processes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Architected and implemented enterprise-wide ETL processes and data warehouse architecture supporting 3x growth </w:t>
      </w:r>
    </w:p>
    <w:p>
      <w:pPr>
        <w:autoSpaceDN w:val="0"/>
        <w:tabs>
          <w:tab w:pos="9154" w:val="left"/>
        </w:tabs>
        <w:autoSpaceDE w:val="0"/>
        <w:widowControl/>
        <w:spacing w:line="245" w:lineRule="auto" w:before="24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ANALYTICS ENGINEER |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POC Pharma, Vietnam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Nov 2019 - Sep 2021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$34 million | Team Size: 100 + professionals (Vietnam) | Operations: Country-wide-Vietnam - Indonesia </w:t>
      </w:r>
    </w:p>
    <w:p>
      <w:pPr>
        <w:autoSpaceDN w:val="0"/>
        <w:tabs>
          <w:tab w:pos="312" w:val="left"/>
        </w:tabs>
        <w:autoSpaceDE w:val="0"/>
        <w:widowControl/>
        <w:spacing w:line="245" w:lineRule="auto" w:before="166" w:after="0"/>
        <w:ind w:left="96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Designed foundational data models for 20K users, 60 suppliers, and 10K products, resulting in more accurate data reports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faster business insights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KPI dashboards supporting data-driven decisions that resulted in a 15% increase in sales over 12 months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Led the DevOps transformation, increasing inter-team productivity by 50% through streamlined processes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collaboration </w:t>
      </w:r>
    </w:p>
    <w:p>
      <w:pPr>
        <w:autoSpaceDN w:val="0"/>
        <w:tabs>
          <w:tab w:pos="9188" w:val="left"/>
        </w:tabs>
        <w:autoSpaceDE w:val="0"/>
        <w:widowControl/>
        <w:spacing w:line="245" w:lineRule="auto" w:before="2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DATA SCIENCE CONSULTANT 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Sanisphere, Hong Kong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Jan 2018 - Nov 2019 </w:t>
      </w:r>
      <w:r>
        <w:rPr>
          <w:rFonts w:ascii="Calibri" w:hAnsi="Calibri" w:eastAsia="Calibri"/>
          <w:b w:val="0"/>
          <w:i/>
          <w:color w:val="323232"/>
          <w:sz w:val="20"/>
        </w:rPr>
        <w:t xml:space="preserve">Annual Turnover: $34 million | Team Size: 150 + professionals | Operations: Southeast Asia and Africa </w:t>
      </w:r>
    </w:p>
    <w:p>
      <w:pPr>
        <w:autoSpaceDN w:val="0"/>
        <w:autoSpaceDE w:val="0"/>
        <w:widowControl/>
        <w:spacing w:line="245" w:lineRule="auto" w:before="162" w:after="0"/>
        <w:ind w:left="0" w:right="506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Delivered strategic data initiatives, resulting in a 25% increase in client market share through targeted and business insights 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Implemented data governance policies, improving data accuracy by 50% and reducing operational inefficiencies across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systems </w:t>
      </w:r>
    </w:p>
    <w:p>
      <w:pPr>
        <w:autoSpaceDN w:val="0"/>
        <w:tabs>
          <w:tab w:pos="9290" w:val="left"/>
        </w:tabs>
        <w:autoSpaceDE w:val="0"/>
        <w:widowControl/>
        <w:spacing w:line="245" w:lineRule="auto" w:before="2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TECH &amp; EDUCATOR|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Humanis, Canada &amp; C.I. de Mexico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Jun 2015 - Jul 2017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Delivered interactive learning experiences in Social Humanities and Geography, incorporating GIS and spatial </w:t>
      </w:r>
      <w:r>
        <w:br/>
      </w:r>
      <w:r>
        <w:rPr>
          <w:rFonts w:ascii="Calibri" w:hAnsi="Calibri" w:eastAsia="Calibri"/>
          <w:b w:val="0"/>
          <w:i/>
          <w:color w:val="000000"/>
          <w:sz w:val="20"/>
        </w:rPr>
        <w:t>database knowledge</w:t>
      </w:r>
    </w:p>
    <w:p>
      <w:pPr>
        <w:autoSpaceDN w:val="0"/>
        <w:autoSpaceDE w:val="0"/>
        <w:widowControl/>
        <w:spacing w:line="245" w:lineRule="auto" w:before="166" w:after="0"/>
        <w:ind w:left="96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Facilitated classes on Geographic Information Systems (GIS) and Digital Elevation Models (DEMs)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course content with tools like ArcGIS, QGIS, enriching the academic curriculum with practical geospatial skills </w:t>
      </w:r>
    </w:p>
    <w:p>
      <w:pPr>
        <w:autoSpaceDN w:val="0"/>
        <w:tabs>
          <w:tab w:pos="9164" w:val="left"/>
        </w:tabs>
        <w:autoSpaceDE w:val="0"/>
        <w:widowControl/>
        <w:spacing w:line="245" w:lineRule="auto" w:before="2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RESEARCH ASSISTANT (M.SC. THESIS) |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Laval University, Canada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Sep 2014 - Aug 2016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Research Chair of Attractiveness and Innovation in Tourism, analyzing geographic markets and customer behaviors </w:t>
      </w:r>
    </w:p>
    <w:p>
      <w:pPr>
        <w:autoSpaceDN w:val="0"/>
        <w:tabs>
          <w:tab w:pos="312" w:val="left"/>
        </w:tabs>
        <w:autoSpaceDE w:val="0"/>
        <w:widowControl/>
        <w:spacing w:line="245" w:lineRule="auto" w:before="162" w:after="0"/>
        <w:ind w:left="96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Pioneered geospatial customer analysis to derive actionable marketing insights, informing strategic location selection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campaign strategies </w:t>
      </w:r>
      <w:r>
        <w:br/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•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Leveraged advanced Geospatial Customer Segmentation using demographic, psychographic, geographic, and behavioral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for targeted marketing initiatives </w:t>
      </w:r>
    </w:p>
    <w:p>
      <w:pPr>
        <w:autoSpaceDN w:val="0"/>
        <w:autoSpaceDE w:val="0"/>
        <w:widowControl/>
        <w:spacing w:line="197" w:lineRule="auto" w:before="246" w:after="4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8"/>
        <w:gridCol w:w="5448"/>
      </w:tblGrid>
      <w:tr>
        <w:trPr>
          <w:trHeight w:hRule="exact" w:val="388"/>
        </w:trPr>
        <w:tc>
          <w:tcPr>
            <w:tcW w:type="dxa" w:w="9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2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M.SC. IN GEOGRAPHY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–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Geomarketing &amp; Geographic Information Science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Laval University, Canada </w:t>
            </w:r>
          </w:p>
        </w:tc>
        <w:tc>
          <w:tcPr>
            <w:tcW w:type="dxa" w:w="17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2014 – 2015 </w:t>
            </w:r>
          </w:p>
        </w:tc>
      </w:tr>
    </w:tbl>
    <w:p>
      <w:pPr>
        <w:autoSpaceDN w:val="0"/>
        <w:autoSpaceDE w:val="0"/>
        <w:widowControl/>
        <w:spacing w:line="197" w:lineRule="auto" w:before="1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Reputed for GIS, big data, machine learning, and spatial analysis. Leveraged Laval’s expertise in AI </w:t>
      </w:r>
    </w:p>
    <w:p>
      <w:pPr>
        <w:autoSpaceDN w:val="0"/>
        <w:tabs>
          <w:tab w:pos="9830" w:val="left"/>
        </w:tabs>
        <w:autoSpaceDE w:val="0"/>
        <w:widowControl/>
        <w:spacing w:line="245" w:lineRule="auto" w:before="1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B.SC. IN GEOGRAPHY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–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Geographic Information Science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Laval – University, Canada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2010 – 2013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Research departments Specialization in Geographic Information Science Emphasized spatial data analysis and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multiphysical mathematical modeling. Benefited from research integration with Laval’s Big Data Research Centre (BDRC) </w:t>
      </w:r>
    </w:p>
    <w:p>
      <w:pPr>
        <w:autoSpaceDN w:val="0"/>
        <w:tabs>
          <w:tab w:pos="9868" w:val="left"/>
        </w:tabs>
        <w:autoSpaceDE w:val="0"/>
        <w:widowControl/>
        <w:spacing w:line="245" w:lineRule="auto" w:before="1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SSVD MECHANICS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– College Aviron, Canada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2008 - 2009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Automobile Mechanics </w:t>
      </w:r>
    </w:p>
    <w:p>
      <w:pPr>
        <w:autoSpaceDN w:val="0"/>
        <w:autoSpaceDE w:val="0"/>
        <w:widowControl/>
        <w:spacing w:line="197" w:lineRule="auto" w:before="24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Languages</w:t>
      </w:r>
    </w:p>
    <w:p>
      <w:pPr>
        <w:autoSpaceDN w:val="0"/>
        <w:autoSpaceDE w:val="0"/>
        <w:widowControl/>
        <w:spacing w:line="197" w:lineRule="auto" w:before="29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French (Native) | English (Fluent) | Spanish (Professional) </w:t>
      </w:r>
    </w:p>
    <w:sectPr w:rsidR="00FC693F" w:rsidRPr="0006063C" w:rsidSect="00034616">
      <w:pgSz w:w="12240" w:h="15840"/>
      <w:pgMar w:top="308" w:right="652" w:bottom="538" w:left="6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n.renauld@gmail.com" TargetMode="External"/><Relationship Id="rId10" Type="http://schemas.openxmlformats.org/officeDocument/2006/relationships/hyperlink" Target="https://www.linkedin.com/in/simonrenauld/" TargetMode="External"/><Relationship Id="rId11" Type="http://schemas.openxmlformats.org/officeDocument/2006/relationships/hyperlink" Target="https://simondatalab.de/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