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2"/>
        </w:rPr>
        <w:t>SYSTEM EVALUATION INSTRUMENTS</w:t>
        <w:br/>
        <w:t>(CIVIL LEX RAG &amp; ML PLATFORM)</w:t>
      </w:r>
    </w:p>
    <w:p>
      <w:pPr>
        <w:jc w:val="center"/>
      </w:pPr>
      <w:r>
        <w:rPr>
          <w:rFonts w:ascii="Arial" w:hAnsi="Arial"/>
          <w:i/>
          <w:color w:val="646464"/>
          <w:sz w:val="22"/>
        </w:rPr>
        <w:t>Framework: ISO/IEC 25010 Supplemented with AI/ML Metrics &amp; Expert Rubrics</w:t>
      </w:r>
    </w:p>
    <w:p/>
    <w:p>
      <w:r>
        <w:rPr>
          <w:rFonts w:ascii="Arial" w:hAnsi="Arial"/>
          <w:b/>
          <w:color w:val="003366"/>
          <w:sz w:val="28"/>
        </w:rPr>
        <w:t>INSTRUMENT A: IT EXPERTS &amp; DATA SCIENCE SPECIALISTS EVALUATION</w:t>
      </w:r>
    </w:p>
    <w:p>
      <w:r>
        <w:rPr>
          <w:rFonts w:ascii="Arial" w:hAnsi="Arial"/>
          <w:sz w:val="21"/>
        </w:rPr>
        <w:t>This instrument evaluates the technical rigor, software quality (ISO/IEC 25010), machine learning model performance, and chatbot response metrics of the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Evaluator Name / Designation: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Expertise (IT, DS, AI/NLP, SoftEng):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________________________________________</w:t>
            </w:r>
          </w:p>
        </w:tc>
      </w:tr>
    </w:tbl>
    <w:p/>
    <w:p>
      <w:r>
        <w:rPr>
          <w:rFonts w:ascii="Arial" w:hAnsi="Arial"/>
          <w:b/>
          <w:color w:val="333333"/>
          <w:sz w:val="24"/>
        </w:rPr>
        <w:t>Part 1: ISO/IEC 25010 Software Quality Criteria (Technical)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Quality Characteristic</w:t>
            </w:r>
          </w:p>
        </w:tc>
        <w:tc>
          <w:tcPr>
            <w:tcW w:type="dxa" w:w="156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Evaluation Criteria / Sub-characteristic</w:t>
            </w:r>
          </w:p>
        </w:tc>
        <w:tc>
          <w:tcPr>
            <w:tcW w:type="dxa" w:w="156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1</w:t>
              <w:br/>
              <w:t>Poor</w:t>
            </w:r>
          </w:p>
        </w:tc>
        <w:tc>
          <w:tcPr>
            <w:tcW w:type="dxa" w:w="156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2</w:t>
              <w:br/>
              <w:t>Fair</w:t>
            </w:r>
          </w:p>
        </w:tc>
        <w:tc>
          <w:tcPr>
            <w:tcW w:type="dxa" w:w="156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3</w:t>
              <w:br/>
              <w:t>Good</w:t>
            </w:r>
          </w:p>
        </w:tc>
        <w:tc>
          <w:tcPr>
            <w:tcW w:type="dxa" w:w="156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4</w:t>
              <w:br/>
              <w:t>Excellent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Functional Suitability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System functions satisfy legal and informational requirements accurately and completely.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Performance Efficiency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Response time, resource utilization, and concurrency handling under operational loads.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Compatibility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Coexistence and interoperability with databases, browser environments, and APIs.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Reliability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Fault tolerance, recoverability, and system availability during uptime.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Security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Confidentiality, integrity, non-repudiation, and authentication protocols.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Maintainability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Modularity, reusability, analyzability, and testability of codebase.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Flexibility / Portability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Adaptability to new environments, scaling capability, and installation ease.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[   ]</w:t>
            </w:r>
          </w:p>
        </w:tc>
      </w:tr>
    </w:tbl>
    <w:p/>
    <w:p>
      <w:r>
        <w:rPr>
          <w:rFonts w:ascii="Arial" w:hAnsi="Arial"/>
          <w:b/>
          <w:color w:val="333333"/>
          <w:sz w:val="24"/>
        </w:rPr>
        <w:t>Part 2: Machine Learning &amp; Retrieval-Augmented Generation (RAG) 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Metric Category</w:t>
            </w:r>
          </w:p>
        </w:tc>
        <w:tc>
          <w:tcPr>
            <w:tcW w:type="dxa" w:w="23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Target / Evaluation Metric</w:t>
            </w:r>
          </w:p>
        </w:tc>
        <w:tc>
          <w:tcPr>
            <w:tcW w:type="dxa" w:w="23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Obtained Score / Result</w:t>
            </w:r>
          </w:p>
        </w:tc>
        <w:tc>
          <w:tcPr>
            <w:tcW w:type="dxa" w:w="23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Validator Verification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Classification Model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Accuracy, Precision, Recall, F1-Score, Confusion Matrix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_______________________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[ Verified ]  [ Needs Revision ]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Regression / Prediction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MAE, MSE, RMSE, R-Squared (R²)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_______________________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[ Verified ]  [ Needs Revision ]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RAG Vector Retrieval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Precision@K, Recall@K, Mean Reciprocal Rank (MRR)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_______________________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[ Verified ]  [ Needs Revision ]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Chatbot Response Quality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Accuracy, Relevance, Coherence, Context Awareness, Safety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Scale (1-5): ________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[ Verified ]  [ Needs Revision ]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03366"/>
          <w:sz w:val="28"/>
        </w:rPr>
        <w:t>INSTRUMENT B: LEGAL EXPERTS &amp; END-USER / CITIZEN EVALUATION</w:t>
      </w:r>
    </w:p>
    <w:p>
      <w:r>
        <w:rPr>
          <w:rFonts w:ascii="Arial" w:hAnsi="Arial"/>
          <w:sz w:val="21"/>
        </w:rPr>
        <w:t>This instrument evaluates the legal accuracy, practical utility, usability, interaction capability, and safety of the system from the perspective of legal professionals and domain citizens.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Evaluator Name / Affiliation: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Role / Category: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[  ] Legal Expert / Lawyer     [  ] Citizen / General User</w:t>
            </w:r>
          </w:p>
        </w:tc>
      </w:tr>
    </w:tbl>
    <w:p/>
    <w:p>
      <w:r>
        <w:rPr>
          <w:b/>
          <w:sz w:val="19"/>
        </w:rPr>
        <w:t xml:space="preserve">Rating Scale: </w:t>
      </w:r>
      <w:r>
        <w:rPr>
          <w:i/>
          <w:sz w:val="19"/>
        </w:rPr>
        <w:t>5 - Strongly Agree | 4 - Agree | 3 - Neutral | 2 - Disagree | 1 - Strongly Disagree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03366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Criteria Category</w:t>
            </w:r>
          </w:p>
        </w:tc>
        <w:tc>
          <w:tcPr>
            <w:tcW w:type="dxa" w:w="1337"/>
            <w:shd w:fill="003366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Evaluation Statement / Question</w:t>
            </w:r>
          </w:p>
        </w:tc>
        <w:tc>
          <w:tcPr>
            <w:tcW w:type="dxa" w:w="1337"/>
            <w:shd w:fill="003366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5</w:t>
            </w:r>
          </w:p>
        </w:tc>
        <w:tc>
          <w:tcPr>
            <w:tcW w:type="dxa" w:w="1337"/>
            <w:shd w:fill="003366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type="dxa" w:w="1337"/>
            <w:shd w:fill="003366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1337"/>
            <w:shd w:fill="003366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1337"/>
            <w:shd w:fill="003366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1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Legal Accuracy (Domain)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The system cites and interprets Philippine civil law provisions (e.g., RA 386) accurately without misrepresenting legal principles.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Functional Suitability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The system effectively addresses the legal query or legal research task it was designed to solve.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Usability &amp; Interaction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The user interface is intuitive, navigation is straightforward, and legal outputs are easy to read and comprehend.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Chatbot Relevance &amp; Coherence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The chatbot's responses directly answer the prompt, maintain logical flow, and remain in context.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Completeness &amp; Consistency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The explanations provided are thorough and do not give contradictory legal guidance across multiple prompts.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Safety &amp; Appropriateness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The system includes appropriate disclaimers and avoids giving definitive unauthorized practice of law while remaining helpful.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Response Time &amp; Efficiency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The system generates retrieval and chatbot responses within an acceptable and prompt timeframe.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[  ]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Part 3: Qualitative Feedback &amp; Recommendations</w:t>
      </w:r>
    </w:p>
    <w:p>
      <w:r>
        <w:t>Strengths / Positive Observations:</w:t>
        <w:br/>
        <w:t>_________________________________________________________________________________</w:t>
        <w:br/>
        <w:t>_________________________________________________________________________________</w:t>
      </w:r>
    </w:p>
    <w:p>
      <w:r>
        <w:t>Areas for Improvement / Recommendations:</w:t>
        <w:br/>
        <w:t>_________________________________________________________________________________</w:t>
        <w:br/>
        <w:t>_________________________________________________________________________________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________________________________________</w:t>
              <w:br/>
              <w:t>Signature over Printed Name of Validator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________________________</w:t>
              <w:br/>
              <w:t>Date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00" w:type="dxa"/>
              <w:right w:w="100" w:type="dxa"/>
            </w:tcMar>
          </w:tcPr>
          <w:p/>
        </w:tc>
        <w:tc>
          <w:tcPr>
            <w:tcW w:type="dxa" w:w="4680"/>
            <w:tcMar>
              <w:top w:w="100" w:type="dxa"/>
              <w:bottom w:w="100" w:type="dxa"/>
              <w:left w:w="100" w:type="dxa"/>
              <w:right w:w="100" w:type="dxa"/>
            </w:tcMar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