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宋体" w:cs="Times New Roman"/>
          <w:sz w:val="24"/>
        </w:rPr>
      </w:pPr>
      <w:r>
        <w:rPr>
          <w:rFonts w:ascii="Times New Roman" w:hAnsi="Times New Roman" w:cs="Times New Roman" w:eastAsia="宋体"/>
          <w:sz w:val="24"/>
        </w:rPr>
        <w:t>潜在标签</w:t>
      </w:r>
    </w:p>
    <w:p>
      <w:pPr>
        <w:pStyle w:val="Normal"/>
        <w:numPr>
          <w:ilvl w:val="0"/>
          <w:numId w:val="0"/>
        </w:numPr>
        <w:spacing w:lineRule="auto" w:line="360"/>
        <w:outlineLvl w:val="0"/>
        <w:rPr/>
      </w:pPr>
      <w:r>
        <w:rPr>
          <w:rFonts w:eastAsia="宋体" w:cs="Times New Roman" w:ascii="Times New Roman" w:hAnsi="Times New Roman"/>
          <w:sz w:val="24"/>
          <w:highlight w:val="yellow"/>
        </w:rPr>
        <w:t xml:space="preserve">1 </w:t>
      </w:r>
      <w:r>
        <w:rPr>
          <w:rFonts w:ascii="Times New Roman" w:hAnsi="Times New Roman" w:cs="Times New Roman" w:eastAsia="宋体"/>
          <w:sz w:val="24"/>
          <w:highlight w:val="yellow"/>
        </w:rPr>
        <w:t>职务犯罪【赵辉】</w:t>
      </w:r>
      <w:r>
        <w:rPr>
          <w:rFonts w:eastAsia="宋体" w:cs="Times New Roman" w:ascii="Times New Roman" w:hAnsi="Times New Roman"/>
          <w:sz w:val="24"/>
          <w:highlight w:val="yellow"/>
        </w:rPr>
        <w:t>4</w:t>
      </w:r>
    </w:p>
    <w:p>
      <w:pPr>
        <w:pStyle w:val="ListParagraph"/>
        <w:numPr>
          <w:ilvl w:val="1"/>
          <w:numId w:val="1"/>
        </w:numPr>
        <w:spacing w:lineRule="auto" w:line="360"/>
        <w:rPr>
          <w:rFonts w:ascii="Times New Roman" w:hAnsi="Times New Roman" w:eastAsia="宋体" w:cs="Times New Roman"/>
          <w:sz w:val="24"/>
        </w:rPr>
      </w:pPr>
      <w:r>
        <w:rPr>
          <w:rFonts w:ascii="Times New Roman" w:hAnsi="Times New Roman" w:cs="Times New Roman" w:eastAsia="宋体"/>
          <w:sz w:val="24"/>
        </w:rPr>
        <w:t>黑暗三人格</w:t>
      </w:r>
      <w:r>
        <w:rPr>
          <w:rFonts w:eastAsia="宋体" w:cs="Times New Roman" w:ascii="Times New Roman" w:hAnsi="Times New Roman"/>
          <w:sz w:val="24"/>
        </w:rPr>
        <w:t>-</w:t>
      </w:r>
      <w:r>
        <w:rPr>
          <w:rFonts w:ascii="Times New Roman" w:hAnsi="Times New Roman" w:cs="Times New Roman" w:eastAsia="宋体"/>
          <w:sz w:val="24"/>
        </w:rPr>
        <w:t>精神病态（</w:t>
      </w:r>
      <w:r>
        <w:rPr>
          <w:rFonts w:eastAsia="宋体" w:cs="Times New Roman" w:ascii="Times New Roman" w:hAnsi="Times New Roman"/>
          <w:sz w:val="24"/>
        </w:rPr>
        <w:t>Psychopath</w:t>
      </w:r>
      <w:r>
        <w:rPr>
          <w:rFonts w:ascii="Times New Roman" w:hAnsi="Times New Roman" w:cs="Times New Roman" w:eastAsia="宋体"/>
          <w:sz w:val="24"/>
        </w:rPr>
        <w:t>）：精神病态水平较高。</w:t>
      </w:r>
    </w:p>
    <w:p>
      <w:pPr>
        <w:pStyle w:val="Normal"/>
        <w:spacing w:lineRule="auto" w:line="360"/>
        <w:rPr>
          <w:rFonts w:ascii="Times New Roman" w:hAnsi="Times New Roman" w:eastAsia="宋体" w:cs="Times New Roman"/>
          <w:sz w:val="24"/>
        </w:rPr>
      </w:pPr>
      <w:bookmarkStart w:id="0" w:name="_GoBack"/>
      <w:bookmarkEnd w:id="0"/>
      <w:r>
        <w:rPr>
          <w:rFonts w:ascii="Times New Roman" w:hAnsi="Times New Roman" w:cs="Times New Roman" w:eastAsia="宋体"/>
          <w:sz w:val="24"/>
        </w:rPr>
        <w:t>精神病态：是一种人格障碍，主要表现为：外表迷人，高智商，病态撒谎，自我夸大，情感肤浅，冷漠无情，缺乏共情，缺乏内疚感和羞耻心，出现没有合理动机的反社会行为。</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测量工具为短式黑暗三联征量表，精神病态是其中一个维度，所以精神病态下没有分维度。</w:t>
      </w:r>
    </w:p>
    <w:p>
      <w:pPr>
        <w:pStyle w:val="ListParagraph"/>
        <w:numPr>
          <w:ilvl w:val="1"/>
          <w:numId w:val="1"/>
        </w:numPr>
        <w:spacing w:lineRule="auto" w:line="360"/>
        <w:rPr>
          <w:rFonts w:ascii="Times New Roman" w:hAnsi="Times New Roman" w:eastAsia="宋体" w:cs="Times New Roman"/>
          <w:sz w:val="24"/>
        </w:rPr>
      </w:pPr>
      <w:r>
        <w:rPr>
          <w:rFonts w:ascii="Times New Roman" w:hAnsi="Times New Roman" w:cs="Times New Roman" w:eastAsia="宋体"/>
          <w:sz w:val="24"/>
        </w:rPr>
        <w:t>责任性（</w:t>
      </w:r>
      <w:r>
        <w:rPr>
          <w:rFonts w:eastAsia="宋体" w:cs="Times New Roman" w:ascii="Times New Roman" w:hAnsi="Times New Roman"/>
          <w:sz w:val="24"/>
        </w:rPr>
        <w:t>conscientious</w:t>
      </w:r>
      <w:r>
        <w:rPr>
          <w:rFonts w:ascii="Times New Roman" w:hAnsi="Times New Roman" w:cs="Times New Roman" w:eastAsia="宋体"/>
          <w:sz w:val="24"/>
        </w:rPr>
        <w:t>）：责任性较低。</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责任性：显示为胜任、公正、条理、尽职、成就、自律、谨慎、克制等特点。根据</w:t>
      </w:r>
      <w:r>
        <w:rPr>
          <w:rFonts w:eastAsia="宋体" w:cs="Times New Roman" w:ascii="Times New Roman" w:hAnsi="Times New Roman"/>
          <w:sz w:val="24"/>
        </w:rPr>
        <w:t>Klitgaard</w:t>
      </w:r>
      <w:r>
        <w:rPr>
          <w:rFonts w:ascii="Times New Roman" w:hAnsi="Times New Roman" w:cs="Times New Roman" w:eastAsia="宋体"/>
          <w:sz w:val="24"/>
        </w:rPr>
        <w:t>的贪腐公式，贪腐</w:t>
      </w:r>
      <w:r>
        <w:rPr>
          <w:rFonts w:eastAsia="宋体" w:cs="Times New Roman" w:ascii="Times New Roman" w:hAnsi="Times New Roman"/>
          <w:sz w:val="24"/>
        </w:rPr>
        <w:t>=</w:t>
      </w:r>
      <w:r>
        <w:rPr>
          <w:rFonts w:ascii="Times New Roman" w:hAnsi="Times New Roman" w:cs="Times New Roman" w:eastAsia="宋体"/>
          <w:sz w:val="24"/>
        </w:rPr>
        <w:t>权威垄断</w:t>
      </w:r>
      <w:r>
        <w:rPr>
          <w:rFonts w:eastAsia="宋体" w:cs="Times New Roman" w:ascii="Times New Roman" w:hAnsi="Times New Roman"/>
          <w:sz w:val="24"/>
        </w:rPr>
        <w:t>+</w:t>
      </w:r>
      <w:r>
        <w:rPr>
          <w:rFonts w:ascii="Times New Roman" w:hAnsi="Times New Roman" w:cs="Times New Roman" w:eastAsia="宋体"/>
          <w:sz w:val="24"/>
        </w:rPr>
        <w:t>自由裁量</w:t>
      </w:r>
      <w:r>
        <w:rPr>
          <w:rFonts w:eastAsia="宋体" w:cs="Times New Roman" w:ascii="Times New Roman" w:hAnsi="Times New Roman"/>
          <w:sz w:val="24"/>
        </w:rPr>
        <w:t>-</w:t>
      </w:r>
      <w:r>
        <w:rPr>
          <w:rFonts w:ascii="Times New Roman" w:hAnsi="Times New Roman" w:cs="Times New Roman" w:eastAsia="宋体"/>
          <w:sz w:val="24"/>
        </w:rPr>
        <w:t>责任感，责任感可以作为贪腐的保护性因子，即通过增强官员的责任感来减少贪腐行为。</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测量工具为大五人格问卷责任性分量表，责任性下没有分维度。</w:t>
      </w:r>
    </w:p>
    <w:p>
      <w:pPr>
        <w:pStyle w:val="ListParagraph"/>
        <w:numPr>
          <w:ilvl w:val="1"/>
          <w:numId w:val="1"/>
        </w:numPr>
        <w:spacing w:lineRule="auto" w:line="360"/>
        <w:rPr>
          <w:rFonts w:ascii="Times New Roman" w:hAnsi="Times New Roman" w:eastAsia="宋体" w:cs="Times New Roman"/>
          <w:sz w:val="24"/>
        </w:rPr>
      </w:pPr>
      <w:r>
        <w:rPr>
          <w:rFonts w:ascii="Times New Roman" w:hAnsi="Times New Roman" w:cs="Times New Roman" w:eastAsia="宋体"/>
          <w:sz w:val="24"/>
        </w:rPr>
        <w:t>心理特权感（</w:t>
      </w:r>
      <w:r>
        <w:rPr>
          <w:rFonts w:eastAsia="宋体" w:cs="Times New Roman" w:ascii="Times New Roman" w:hAnsi="Times New Roman"/>
          <w:sz w:val="24"/>
        </w:rPr>
        <w:t>psychological entitlement</w:t>
      </w:r>
      <w:r>
        <w:rPr>
          <w:rFonts w:ascii="Times New Roman" w:hAnsi="Times New Roman" w:cs="Times New Roman" w:eastAsia="宋体"/>
          <w:sz w:val="24"/>
        </w:rPr>
        <w:t>）：心理特权感较高。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心理特权感：个体认为自己享有特权，应该受到优待的倾向。</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测量工具为心理特权感量表，是单维结构，没有分维度。</w:t>
      </w:r>
    </w:p>
    <w:p>
      <w:pPr>
        <w:pStyle w:val="ListParagraph"/>
        <w:numPr>
          <w:ilvl w:val="1"/>
          <w:numId w:val="1"/>
        </w:numPr>
        <w:spacing w:lineRule="auto" w:line="360"/>
        <w:rPr>
          <w:rFonts w:ascii="Times New Roman" w:hAnsi="Times New Roman" w:eastAsia="宋体" w:cs="Times New Roman"/>
          <w:sz w:val="24"/>
        </w:rPr>
      </w:pPr>
      <w:r>
        <w:rPr>
          <w:rFonts w:ascii="Times New Roman" w:hAnsi="Times New Roman" w:cs="Times New Roman" w:eastAsia="宋体"/>
          <w:sz w:val="24"/>
        </w:rPr>
        <w:t>物质主义价值观（</w:t>
      </w:r>
      <w:r>
        <w:rPr>
          <w:rFonts w:eastAsia="宋体" w:cs="Times New Roman" w:ascii="Times New Roman" w:hAnsi="Times New Roman"/>
          <w:sz w:val="24"/>
        </w:rPr>
        <w:t>Material Value</w:t>
      </w:r>
      <w:r>
        <w:rPr>
          <w:rFonts w:ascii="Times New Roman" w:hAnsi="Times New Roman" w:cs="Times New Roman" w:eastAsia="宋体"/>
          <w:sz w:val="24"/>
        </w:rPr>
        <w:t>）：物质主义价值观水平较高。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物质主义价值观：物质至上，以物质财富作为衡量价值的标准。</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包含三个维度：以财物定义成功、以获取财物为中心、通过获取财物追求幸福。</w:t>
      </w:r>
    </w:p>
    <w:p>
      <w:pPr>
        <w:pStyle w:val="ListParagraph"/>
        <w:numPr>
          <w:ilvl w:val="1"/>
          <w:numId w:val="1"/>
        </w:numPr>
        <w:spacing w:lineRule="auto" w:line="360"/>
        <w:rPr>
          <w:rFonts w:ascii="Times New Roman" w:hAnsi="Times New Roman" w:eastAsia="宋体" w:cs="Times New Roman"/>
          <w:sz w:val="24"/>
        </w:rPr>
      </w:pPr>
      <w:r>
        <w:rPr>
          <w:rFonts w:ascii="Times New Roman" w:hAnsi="Times New Roman" w:cs="Times New Roman" w:eastAsia="宋体"/>
          <w:sz w:val="24"/>
        </w:rPr>
        <w:t>道德推脱（</w:t>
      </w:r>
      <w:r>
        <w:rPr>
          <w:rFonts w:eastAsia="宋体" w:cs="Times New Roman" w:ascii="Times New Roman" w:hAnsi="Times New Roman"/>
          <w:sz w:val="24"/>
        </w:rPr>
        <w:t>moral disengagement</w:t>
      </w:r>
      <w:r>
        <w:rPr>
          <w:rFonts w:ascii="Times New Roman" w:hAnsi="Times New Roman" w:cs="Times New Roman" w:eastAsia="宋体"/>
          <w:sz w:val="24"/>
        </w:rPr>
        <w:t>）：道德推脱水平较高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道德推脱：是指个体产生的一些特定的认知倾向，这些认知倾向包括重新定义自己的行为使其伤害性显得更小，最大程度地减少自己在行为后果中的责任和降低对受伤目标痛苦的认同。</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包含八种推脱机制：责任转移、责任分散、扭曲结果、非人性化、责备归因、道德辩护、委婉标签、有利比较。【道德辩护、有利比较是通过对不道德行为的重新解释从而提高行为的可接受性；责任转移、责任分散、扭曲结果常用于遮掩不道德行为的影响，归咎于上级或集体，或者不承认产生了严重的后果；责备归因和非人性化主要是通过降低对受害者的认同而使自己免去责任】</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r>
    </w:p>
    <w:p>
      <w:pPr>
        <w:pStyle w:val="Normal"/>
        <w:spacing w:lineRule="auto" w:line="360"/>
        <w:rPr/>
      </w:pPr>
      <w:r>
        <w:rPr>
          <w:rFonts w:eastAsia="宋体" w:cs="Times New Roman" w:ascii="Times New Roman" w:hAnsi="Times New Roman"/>
          <w:sz w:val="24"/>
          <w:highlight w:val="yellow"/>
        </w:rPr>
        <w:t xml:space="preserve">2 </w:t>
      </w:r>
      <w:r>
        <w:rPr>
          <w:rFonts w:ascii="Times New Roman" w:hAnsi="Times New Roman" w:cs="Times New Roman" w:eastAsia="宋体"/>
          <w:sz w:val="24"/>
          <w:highlight w:val="yellow"/>
        </w:rPr>
        <w:t>盗窃犯【程碧茜】</w:t>
      </w:r>
      <w:r>
        <w:rPr>
          <w:rFonts w:eastAsia="宋体" w:cs="Times New Roman" w:ascii="Times New Roman" w:hAnsi="Times New Roman"/>
          <w:sz w:val="24"/>
          <w:highlight w:val="yellow"/>
        </w:rPr>
        <w:t>5</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2.1 </w:t>
      </w:r>
      <w:r>
        <w:rPr>
          <w:rFonts w:ascii="Times New Roman" w:hAnsi="Times New Roman" w:cs="Times New Roman" w:eastAsia="宋体"/>
          <w:sz w:val="24"/>
        </w:rPr>
        <w:t>人格障碍：分裂型、表演型、边缘型、抑郁型、偏执型、分裂样、回避型、强迫型、被动攻击型、反社会型、</w:t>
      </w:r>
      <w:r>
        <w:rPr>
          <w:rFonts w:eastAsia="宋体" w:cs="Times New Roman" w:ascii="Times New Roman" w:hAnsi="Times New Roman"/>
          <w:sz w:val="24"/>
        </w:rPr>
        <w:t>P</w:t>
      </w:r>
      <w:r>
        <w:rPr>
          <w:rFonts w:ascii="Times New Roman" w:hAnsi="Times New Roman" w:cs="Times New Roman" w:eastAsia="宋体"/>
          <w:sz w:val="24"/>
        </w:rPr>
        <w:t>总分盗窃犯水平显著更高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人格障碍表现为成年时期固定的适应不良行为模式，如过分的敌意、过分拘泥于细节、人际关系中反复地产生纠葛等，令周围的人感到困扰且无法改变它。</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测量工具为人格障碍诊断量表，包含十二个维度，偏执型、边缘性、精神分裂样型、精神分裂症型、自恋型、回避型、强迫型、被动攻击型、依赖型、反社会型、表演型、抑郁型。</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2.2 </w:t>
      </w:r>
      <w:r>
        <w:rPr>
          <w:rFonts w:ascii="Times New Roman" w:hAnsi="Times New Roman" w:cs="Times New Roman" w:eastAsia="宋体"/>
          <w:sz w:val="24"/>
        </w:rPr>
        <w:t>家庭教养方式：父亲惩罚严厉、父亲偏爱被试、父亲拒绝与否认、母亲拒绝否认、母亲惩罚严厉、母亲偏爱被试盗窃犯水平显著更高；父亲情感温暖与理解关心、母亲情感温暖与理解关心盗窃犯水平显著更低。</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家庭教养方式是父母的教养观念、教养行为及其对子女情感的一种组合方式，它不随情景的改变而变化，反映了亲子交往的实质。</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父母教养方式评价问卷，包含十一个维度：父亲情感温暖与理解关心，父亲惩罚严厉，父亲过分干涉，父亲偏爱被试，父亲拒绝与否认，父亲过度保护，母亲情感温暖与理解关心，母亲过度干涉、过度保护，母亲拒绝否认，母亲惩罚严厉，母亲偏爱被试。</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2.3 </w:t>
      </w:r>
      <w:r>
        <w:rPr>
          <w:rFonts w:ascii="Times New Roman" w:hAnsi="Times New Roman" w:cs="Times New Roman" w:eastAsia="宋体"/>
          <w:sz w:val="24"/>
        </w:rPr>
        <w:t>自我控制能力：冲动冒险、情绪性、简单化倾向盗窃犯水平显著更高。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自我控制是个人进行自我调节的过程，自我控制能力高的个体在自我调节过程中比冲动的个体更能管理好自己的情绪和行为</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测量工具为自我控制量表，包含三个维度：冲动冒险性、简单化倾向以及自我情绪化</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2.4 </w:t>
      </w:r>
      <w:r>
        <w:rPr>
          <w:rFonts w:ascii="Times New Roman" w:hAnsi="Times New Roman" w:cs="Times New Roman" w:eastAsia="宋体"/>
          <w:sz w:val="24"/>
        </w:rPr>
        <w:t>社会支持：家庭支持、朋友支持、其他支持盗窃犯水平显著更低。</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社会支持是来自于他人的一般性或特定的支持性行为，这种行为可以提高个体的社会适应性，使个体缓冲不利环境的伤害。</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测量工具为领悟社会支持问卷，包含三个维度：家庭支持、朋友支持、其他支持。</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2.5 </w:t>
      </w:r>
      <w:r>
        <w:rPr>
          <w:rFonts w:ascii="Times New Roman" w:hAnsi="Times New Roman" w:cs="Times New Roman" w:eastAsia="宋体"/>
          <w:sz w:val="24"/>
        </w:rPr>
        <w:t>应对方式：自责、幻想、退避盗窃犯水平显著更高；解决问题、求助盗窃犯水平显著更低。</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应对方式：个体在抗衡应激情境或事件时，所运用的行为、认知、直觉的具体方式。</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测量工具为应对方式问卷，包含六个维度：解决问题，自责，求助，幻想，退避和合理化。</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r>
    </w:p>
    <w:p>
      <w:pPr>
        <w:pStyle w:val="Normal"/>
        <w:spacing w:lineRule="auto" w:line="360"/>
        <w:rPr/>
      </w:pPr>
      <w:r>
        <w:rPr>
          <w:rFonts w:eastAsia="宋体" w:cs="Times New Roman" w:ascii="Times New Roman" w:hAnsi="Times New Roman"/>
          <w:sz w:val="24"/>
          <w:highlight w:val="yellow"/>
        </w:rPr>
        <w:t xml:space="preserve">3 </w:t>
      </w:r>
      <w:r>
        <w:rPr>
          <w:rFonts w:ascii="Times New Roman" w:hAnsi="Times New Roman" w:cs="Times New Roman" w:eastAsia="宋体"/>
          <w:sz w:val="24"/>
          <w:highlight w:val="yellow"/>
        </w:rPr>
        <w:t>诈骗犯【刘宇平】</w:t>
      </w:r>
      <w:r>
        <w:rPr>
          <w:rFonts w:eastAsia="宋体" w:cs="Times New Roman" w:ascii="Times New Roman" w:hAnsi="Times New Roman"/>
          <w:sz w:val="24"/>
          <w:highlight w:val="yellow"/>
        </w:rPr>
        <w:t>6</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3.1 </w:t>
      </w:r>
      <w:r>
        <w:rPr>
          <w:rFonts w:ascii="Times New Roman" w:hAnsi="Times New Roman" w:cs="Times New Roman" w:eastAsia="宋体"/>
          <w:sz w:val="24"/>
        </w:rPr>
        <w:t>对诈骗的非理性认知</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不认为自己是诈骗；对诈骗行为缺乏内疚感。</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3.2 </w:t>
      </w:r>
      <w:r>
        <w:rPr>
          <w:rFonts w:ascii="Times New Roman" w:hAnsi="Times New Roman" w:cs="Times New Roman" w:eastAsia="宋体"/>
          <w:sz w:val="24"/>
        </w:rPr>
        <w:t>消极创造力较高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指非常规的，有创造性的行为，但是这种创造力是负面、黑暗的。</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使用工具：刘笑自编的恶意创造力问卷，无分维度</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3.3 </w:t>
      </w:r>
      <w:r>
        <w:rPr>
          <w:rFonts w:ascii="Times New Roman" w:hAnsi="Times New Roman" w:cs="Times New Roman" w:eastAsia="宋体"/>
          <w:sz w:val="24"/>
        </w:rPr>
        <w:t>自恋（</w:t>
      </w:r>
      <w:r>
        <w:rPr>
          <w:rFonts w:eastAsia="宋体" w:cs="Times New Roman" w:ascii="Times New Roman" w:hAnsi="Times New Roman"/>
          <w:sz w:val="24"/>
        </w:rPr>
        <w:t>narcissism</w:t>
      </w:r>
      <w:r>
        <w:rPr>
          <w:rFonts w:ascii="Times New Roman" w:hAnsi="Times New Roman" w:cs="Times New Roman" w:eastAsia="宋体"/>
          <w:sz w:val="24"/>
        </w:rPr>
        <w:t>）水平较高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自恋最初被临床心理学家定义为一种以普遍夸大行为模式</w:t>
      </w:r>
      <w:r>
        <w:rPr>
          <w:rFonts w:eastAsia="宋体" w:cs="Times New Roman" w:ascii="Times New Roman" w:hAnsi="Times New Roman"/>
          <w:sz w:val="24"/>
        </w:rPr>
        <w:t>(</w:t>
      </w:r>
      <w:r>
        <w:rPr>
          <w:rFonts w:ascii="Times New Roman" w:hAnsi="Times New Roman" w:cs="Times New Roman" w:eastAsia="宋体"/>
          <w:sz w:val="24"/>
        </w:rPr>
        <w:t>存在于幻想或实际行为中</w:t>
      </w:r>
      <w:r>
        <w:rPr>
          <w:rFonts w:eastAsia="宋体" w:cs="Times New Roman" w:ascii="Times New Roman" w:hAnsi="Times New Roman"/>
          <w:sz w:val="24"/>
        </w:rPr>
        <w:t>)</w:t>
      </w:r>
      <w:r>
        <w:rPr>
          <w:rFonts w:ascii="Times New Roman" w:hAnsi="Times New Roman" w:cs="Times New Roman" w:eastAsia="宋体"/>
          <w:sz w:val="24"/>
        </w:rPr>
        <w:t>、需要羡慕、缺乏同情心为核心特征的人格障碍</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使用工具：黑暗三人格中的自恋维度，无分维度</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3.4 </w:t>
      </w:r>
      <w:r>
        <w:rPr>
          <w:rFonts w:ascii="Times New Roman" w:hAnsi="Times New Roman" w:cs="Times New Roman" w:eastAsia="宋体"/>
          <w:sz w:val="24"/>
        </w:rPr>
        <w:t>马基雅维利主义人格高</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可理解为个体为达目的不择手段的一种倾向</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使用工具：黑暗三人格中的马基雅维利主义维度，无分维度</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3.5 </w:t>
      </w:r>
      <w:r>
        <w:rPr>
          <w:rFonts w:ascii="Times New Roman" w:hAnsi="Times New Roman" w:cs="Times New Roman" w:eastAsia="宋体"/>
          <w:sz w:val="24"/>
        </w:rPr>
        <w:t>风险偏好</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指个体在进行决策时对于风险选项的一种偏好，即使这种选择是非理性的</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使用工具：杯子实验。共分为</w:t>
      </w:r>
      <w:r>
        <w:rPr>
          <w:rFonts w:eastAsia="宋体" w:cs="Times New Roman" w:ascii="Times New Roman" w:hAnsi="Times New Roman"/>
          <w:sz w:val="24"/>
        </w:rPr>
        <w:t>6</w:t>
      </w:r>
      <w:r>
        <w:rPr>
          <w:rFonts w:ascii="Times New Roman" w:hAnsi="Times New Roman" w:cs="Times New Roman" w:eastAsia="宋体"/>
          <w:sz w:val="24"/>
        </w:rPr>
        <w:t>个指标，为</w:t>
      </w:r>
      <w:r>
        <w:rPr>
          <w:rFonts w:eastAsia="宋体" w:cs="Times New Roman" w:ascii="Times New Roman" w:hAnsi="Times New Roman"/>
          <w:sz w:val="24"/>
        </w:rPr>
        <w:t>2*3</w:t>
      </w:r>
      <w:r>
        <w:rPr>
          <w:rFonts w:ascii="Times New Roman" w:hAnsi="Times New Roman" w:cs="Times New Roman" w:eastAsia="宋体"/>
          <w:sz w:val="24"/>
        </w:rPr>
        <w:t>的被试内设计。分为收益情境和损失情境，每个情境又分为风险有利（高风险选项收益期望高或损失期望低），风险中性（风险选项期望与低风险选项一致）和风险不利（高风险选项收益期望低或损失期望高</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3.6 </w:t>
      </w:r>
      <w:r>
        <w:rPr>
          <w:rFonts w:ascii="Times New Roman" w:hAnsi="Times New Roman" w:cs="Times New Roman" w:eastAsia="宋体"/>
          <w:sz w:val="24"/>
        </w:rPr>
        <w:t>心理理论（</w:t>
      </w:r>
      <w:r>
        <w:rPr>
          <w:rFonts w:eastAsia="宋体" w:cs="Times New Roman" w:ascii="Times New Roman" w:hAnsi="Times New Roman"/>
          <w:sz w:val="24"/>
        </w:rPr>
        <w:t>theory of mind</w:t>
      </w:r>
      <w:r>
        <w:rPr>
          <w:rFonts w:ascii="Times New Roman" w:hAnsi="Times New Roman" w:cs="Times New Roman" w:eastAsia="宋体"/>
          <w:sz w:val="24"/>
        </w:rPr>
        <w:t>）较差</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心理理论指的是将特定的独立的心理状态、内容和过程如欲望、概念、意图和情感，推理到他人身上的能力。</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使用工具：“看眼读心”实验和迫选记忆任务分别测量情感心理理论和认知心理理论。</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3.7 </w:t>
      </w:r>
      <w:r>
        <w:rPr>
          <w:rFonts w:ascii="Times New Roman" w:hAnsi="Times New Roman" w:cs="Times New Roman" w:eastAsia="宋体"/>
          <w:sz w:val="24"/>
        </w:rPr>
        <w:t>高自我欺骗（</w:t>
      </w:r>
      <w:r>
        <w:rPr>
          <w:rFonts w:eastAsia="宋体" w:cs="Times New Roman" w:ascii="Times New Roman" w:hAnsi="Times New Roman"/>
          <w:sz w:val="24"/>
        </w:rPr>
        <w:t>self-deception</w:t>
      </w:r>
      <w:r>
        <w:rPr>
          <w:rFonts w:ascii="Times New Roman" w:hAnsi="Times New Roman" w:cs="Times New Roman" w:eastAsia="宋体"/>
          <w:sz w:val="24"/>
        </w:rPr>
        <w:t>）</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自欺性拔高分量表则测量人们无意识的欺骗自我、夸大自我的倾向性。</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使用工具：期待性回答平衡问卷（</w:t>
      </w:r>
      <w:r>
        <w:rPr>
          <w:rFonts w:eastAsia="宋体" w:cs="Times New Roman" w:ascii="Times New Roman" w:hAnsi="Times New Roman"/>
          <w:sz w:val="24"/>
        </w:rPr>
        <w:t>Balanced Inventory of Desirable Responding</w:t>
      </w:r>
      <w:r>
        <w:rPr>
          <w:rFonts w:ascii="Times New Roman" w:hAnsi="Times New Roman" w:cs="Times New Roman" w:eastAsia="宋体"/>
          <w:sz w:val="24"/>
        </w:rPr>
        <w:t>，</w:t>
      </w:r>
      <w:r>
        <w:rPr>
          <w:rFonts w:eastAsia="宋体" w:cs="Times New Roman" w:ascii="Times New Roman" w:hAnsi="Times New Roman"/>
          <w:sz w:val="24"/>
        </w:rPr>
        <w:t>BIDR</w:t>
      </w:r>
      <w:r>
        <w:rPr>
          <w:rFonts w:ascii="Times New Roman" w:hAnsi="Times New Roman" w:cs="Times New Roman" w:eastAsia="宋体"/>
          <w:sz w:val="24"/>
        </w:rPr>
        <w:t>）中的自欺性拔高维度。</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t xml:space="preserve">3.8 </w:t>
      </w:r>
      <w:r>
        <w:rPr>
          <w:rFonts w:ascii="Times New Roman" w:hAnsi="Times New Roman" w:cs="Times New Roman" w:eastAsia="宋体"/>
          <w:sz w:val="24"/>
        </w:rPr>
        <w:t>更多的印象管理（</w:t>
      </w:r>
      <w:r>
        <w:rPr>
          <w:rFonts w:eastAsia="宋体" w:cs="Times New Roman" w:ascii="Times New Roman" w:hAnsi="Times New Roman"/>
          <w:sz w:val="24"/>
        </w:rPr>
        <w:t>impression management</w:t>
      </w:r>
      <w:r>
        <w:rPr>
          <w:rFonts w:ascii="Times New Roman" w:hAnsi="Times New Roman" w:cs="Times New Roman" w:eastAsia="宋体"/>
          <w:sz w:val="24"/>
        </w:rPr>
        <w:t>）</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印象管理分量表测量人们有意识地伪装自我、迎合他人的倾向。</w:t>
      </w:r>
    </w:p>
    <w:p>
      <w:pPr>
        <w:pStyle w:val="Normal"/>
        <w:spacing w:lineRule="auto" w:line="360"/>
        <w:rPr>
          <w:rFonts w:ascii="Times New Roman" w:hAnsi="Times New Roman" w:eastAsia="宋体" w:cs="Times New Roman"/>
          <w:sz w:val="24"/>
        </w:rPr>
      </w:pPr>
      <w:r>
        <w:rPr>
          <w:rFonts w:ascii="Times New Roman" w:hAnsi="Times New Roman" w:cs="Times New Roman" w:eastAsia="宋体"/>
          <w:sz w:val="24"/>
        </w:rPr>
        <w:t>使用工具：期待性回答平衡问卷（</w:t>
      </w:r>
      <w:r>
        <w:rPr>
          <w:rFonts w:eastAsia="宋体" w:cs="Times New Roman" w:ascii="Times New Roman" w:hAnsi="Times New Roman"/>
          <w:sz w:val="24"/>
        </w:rPr>
        <w:t>Balanced Inventory of Desirable Responding</w:t>
      </w:r>
      <w:r>
        <w:rPr>
          <w:rFonts w:ascii="Times New Roman" w:hAnsi="Times New Roman" w:cs="Times New Roman" w:eastAsia="宋体"/>
          <w:sz w:val="24"/>
        </w:rPr>
        <w:t>，</w:t>
      </w:r>
      <w:r>
        <w:rPr>
          <w:rFonts w:eastAsia="宋体" w:cs="Times New Roman" w:ascii="Times New Roman" w:hAnsi="Times New Roman"/>
          <w:sz w:val="24"/>
        </w:rPr>
        <w:t>BIDR</w:t>
      </w:r>
      <w:r>
        <w:rPr>
          <w:rFonts w:ascii="Times New Roman" w:hAnsi="Times New Roman" w:cs="Times New Roman" w:eastAsia="宋体"/>
          <w:sz w:val="24"/>
        </w:rPr>
        <w:t>）中的印象管理维度。</w:t>
      </w:r>
    </w:p>
    <w:p>
      <w:pPr>
        <w:pStyle w:val="Normal"/>
        <w:spacing w:lineRule="auto" w:line="360"/>
        <w:rPr>
          <w:rFonts w:ascii="Times New Roman" w:hAnsi="Times New Roman" w:eastAsia="宋体" w:cs="Times New Roman"/>
          <w:sz w:val="24"/>
        </w:rPr>
      </w:pPr>
      <w:r>
        <w:rPr>
          <w:rFonts w:eastAsia="宋体" w:cs="Times New Roman" w:ascii="Times New Roman" w:hAnsi="Times New Roman"/>
          <w:sz w:val="24"/>
        </w:rPr>
      </w:r>
    </w:p>
    <w:p>
      <w:pPr>
        <w:pStyle w:val="Normal"/>
        <w:spacing w:lineRule="auto" w:line="360"/>
        <w:rPr/>
      </w:pPr>
      <w:r>
        <w:rPr/>
      </w:r>
    </w:p>
    <w:sectPr>
      <w:type w:val="nextPage"/>
      <w:pgSz w:w="11906" w:h="16838"/>
      <w:pgMar w:left="1440" w:right="144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等线" w:cs=""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both"/>
    </w:pPr>
    <w:rPr>
      <w:rFonts w:ascii="DengXian" w:hAnsi="DengXian" w:eastAsia="等线"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sid w:val="00396e1e"/>
    <w:rPr>
      <w:vertAlign w:val="superscrip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99"/>
    <w:qFormat/>
    <w:rsid w:val="00ff0846"/>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4</Pages>
  <Words>2206</Words>
  <Characters>2438</Characters>
  <CharactersWithSpaces>2468</CharactersWithSpaces>
  <Paragraphs>57</Paragraphs>
  <Compan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2020-08-26T07:18:00Z</dcterms:created>
  <dc:creator>Microsoft Office User</dc:creator>
  <dc:description/>
  <dc:language>zh-CN</dc:language>
  <cp:lastModifiedBy/>
  <dcterms:modified xsi:type="dcterms:W3CDTF">2020-12-10T10:06:15Z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2052-11.1.0.9912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