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Agent企业级落地案例：痛点共性、解决优势与跨</w:t>
      </w:r>
      <w:r>
        <w:rPr>
          <w:rFonts w:eastAsia="等线" w:ascii="Arial" w:cs="Arial" w:hAnsi="Arial"/>
          <w:b w:val="true"/>
          <w:sz w:val="52"/>
        </w:rPr>
        <w:t>行业应用思路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一、各案例核心痛点提炼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sz w:val="22"/>
        </w:rPr>
        <w:t>9</w:t>
      </w:r>
      <w:r>
        <w:rPr>
          <w:rFonts w:eastAsia="等线" w:ascii="Arial" w:cs="Arial" w:hAnsi="Arial"/>
          <w:sz w:val="22"/>
        </w:rPr>
        <w:t>个垂直行业案例</w:t>
      </w:r>
      <w:r>
        <w:rPr>
          <w:rFonts w:eastAsia="等线" w:ascii="Arial" w:cs="Arial" w:hAnsi="Arial"/>
          <w:sz w:val="22"/>
        </w:rPr>
        <w:t>（新增桥梁施工行业）</w:t>
      </w:r>
      <w:r>
        <w:rPr>
          <w:rFonts w:eastAsia="等线" w:ascii="Arial" w:cs="Arial" w:hAnsi="Arial"/>
          <w:sz w:val="22"/>
        </w:rPr>
        <w:t>，先明确每个场景下企业的核心业务痛点，为后续共性分析奠定基础：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水处理设备集成厂商（智能售前报价）</w:t>
      </w:r>
      <w:r>
        <w:rPr>
          <w:rFonts w:eastAsia="等线" w:ascii="Arial" w:cs="Arial" w:hAnsi="Arial"/>
          <w:sz w:val="22"/>
        </w:rPr>
        <w:t>：① 需求非标化，历史报价单量大（数千份），人工检索相似案例效率低；② 人工修改报价易出错，缺乏统一的报价规则约束；③ 报价过程无可视化推理支撑，结果可信度难验证。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银行催收中心（AI质检）</w:t>
      </w:r>
      <w:r>
        <w:rPr>
          <w:rFonts w:eastAsia="等线" w:ascii="Arial" w:cs="Arial" w:hAnsi="Arial"/>
          <w:sz w:val="22"/>
        </w:rPr>
        <w:t>：① 监管合规要求高，传统人工抽检覆盖率不足5%，隐性违规风险难把控；② 催收员手工填报十几项字段小结，效率低且易遗漏信息；③ 违规判定缺乏统一标准，申诉复核结果难复用。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电解铜贸易企业（行情监测）</w:t>
      </w:r>
      <w:r>
        <w:rPr>
          <w:rFonts w:eastAsia="等线" w:ascii="Arial" w:cs="Arial" w:hAnsi="Arial"/>
          <w:sz w:val="22"/>
        </w:rPr>
        <w:t>：① 数据源分散（LME、上期所等数十个），每日信息过载（数百条新闻），交易员筛选关键信息耗时久（2小时/天）；② 易遗漏影响价格的核心信号，缺乏专业产业链知识支撑的系统研判；③ 信息筛选与研判依赖个人经验，结果一致性差。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电子制造企业（供应链风险监测）</w:t>
      </w:r>
      <w:r>
        <w:rPr>
          <w:rFonts w:eastAsia="等线" w:ascii="Arial" w:cs="Arial" w:hAnsi="Arial"/>
          <w:sz w:val="22"/>
        </w:rPr>
        <w:t>：① 上游供应商数量多（数百家），风险隐蔽性强，传统人工定期检查难以及时发现；② 风险判断依赖财务、采购人员个人经验，缺乏多元数据（内外部）融合分析；③ 风险发生后归因不清晰，缺乏标准化的应对行动方案。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多渠道电商企业（财务分析）</w:t>
      </w:r>
      <w:r>
        <w:rPr>
          <w:rFonts w:eastAsia="等线" w:ascii="Arial" w:cs="Arial" w:hAnsi="Arial"/>
          <w:sz w:val="22"/>
        </w:rPr>
        <w:t>：① 销售渠道分散（天猫、抖音等），财务数据分布在十几个系统，手工导出合并耗时费力；② 传统BI仅展示数据，无法主动发现异常、进行关联推理与预警；③ 真实利润计算需跨系统穿透分析，人工操作繁琐且易出错。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宁波银行（金融AI大脑）</w:t>
      </w:r>
      <w:r>
        <w:rPr>
          <w:rFonts w:eastAsia="等线" w:ascii="Arial" w:cs="Arial" w:hAnsi="Arial"/>
          <w:sz w:val="22"/>
        </w:rPr>
        <w:t>：① 金融机构内部用户特征数据、产品规则、市场研究等关键信息分散在不同系统，形成“知识孤岛”，知识检索不准；② 专业咨询、行情分析等业务服务效率低下，复杂问答准确率低；③ 理财经理服务客户规模有限，中长尾客户难以触达，营收增长受限。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兴发集团（工业具身智能生产）</w:t>
      </w:r>
      <w:r>
        <w:rPr>
          <w:rFonts w:eastAsia="等线" w:ascii="Arial" w:cs="Arial" w:hAnsi="Arial"/>
          <w:sz w:val="22"/>
        </w:rPr>
        <w:t>：① 流程工业生产参数多（数千个实时数据），人工监控难以实现毫秒级响应，潜在风险易遗漏；② 传统AI仅能提供分析建议，无法直接介入生产执行，“虚拟思考”与“物理执行”割裂；③ 生产调控依赖工程师经验，参数优化精度不足，产品质量稳定性有待提升。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物流公司（数据治理智能体）</w:t>
      </w:r>
      <w:r>
        <w:rPr>
          <w:rFonts w:eastAsia="等线" w:ascii="Arial" w:cs="Arial" w:hAnsi="Arial"/>
          <w:sz w:val="22"/>
        </w:rPr>
        <w:t>：① 数据分析、指标计算、报表制作全靠人工操作，耗时费力，人工成本高；② 数据资产结构复杂，各环节数据割裂，难以支撑快速决策；③ 业务人员需掌握专业技术才能查询分析数据，存在较高技术门槛。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中铁大桥局（桥梁建造运维“桥头堡·智能体”）</w:t>
      </w:r>
      <w:r>
        <w:rPr>
          <w:rFonts w:eastAsia="等线" w:ascii="Arial" w:cs="Arial" w:hAnsi="Arial"/>
          <w:sz w:val="22"/>
        </w:rPr>
        <w:t>：① 桥梁施工运维相关文档多为非结构化，人工录入效率低、数据质量差，难以形成有效数据资产；② 行业研究现状调研、专业知识查询依赖人工检索，耗时久且易遗漏关键进展；③ 桥梁数据库结构复杂，非专业人员需掌握专业操作才能查询分析，数据使用门槛高；④ 施工运维监测报告需人工撰写，效率低且标准不统一。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二、痛点共性归纳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</w:t>
      </w:r>
      <w:r>
        <w:rPr>
          <w:rFonts w:eastAsia="等线" w:ascii="Arial" w:cs="Arial" w:hAnsi="Arial"/>
          <w:sz w:val="22"/>
        </w:rPr>
        <w:t>个案例覆盖To B领域的售前、风控、交易支持、供应链、财务</w:t>
      </w:r>
      <w:r>
        <w:rPr>
          <w:rFonts w:eastAsia="等线" w:ascii="Arial" w:cs="Arial" w:hAnsi="Arial"/>
          <w:sz w:val="22"/>
        </w:rPr>
        <w:t>、金融服务、工业生产、物流数据治理、桥梁施工运维</w:t>
      </w:r>
      <w:r>
        <w:rPr>
          <w:rFonts w:eastAsia="等线" w:ascii="Arial" w:cs="Arial" w:hAnsi="Arial"/>
          <w:sz w:val="22"/>
        </w:rPr>
        <w:t>等核心环节，核心痛点可归纳为4类共性问题，本质是“人工处理模式难以匹配复杂业务的高效、精准需求”：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数据/信息过载+分散，人工筛选效率极低</w:t>
      </w:r>
      <w:r>
        <w:rPr>
          <w:rFonts w:eastAsia="等线" w:ascii="Arial" w:cs="Arial" w:hAnsi="Arial"/>
          <w:sz w:val="22"/>
        </w:rPr>
        <w:t>：所有案例均存在“多数据源、大量非结构化/半结构化信息”（报价单、催收语音、行业新闻、供应商数据、多系统财务数据、金融知识文档、工业生产参数、物流业务数据、桥梁施工运维非结构化文档），人工处理需耗费大量时间（如交易员2小时/天盯数据、财务手工导数据、物流人员全流程人工制作报表、桥梁行业研究人工检索），且易遗漏关键信息（如工业生产参数波动、金融知识检索偏差、桥梁行业研究关键进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依赖个人经验，结果一致性差、风险不可控</w:t>
      </w:r>
      <w:r>
        <w:rPr>
          <w:rFonts w:eastAsia="等线" w:ascii="Arial" w:cs="Arial" w:hAnsi="Arial"/>
          <w:sz w:val="22"/>
        </w:rPr>
        <w:t>：传统模式下，报价规则、违规判定、行情研判、风险识别、工业生产调控等均依赖员工个人经验，存在“不同人处理结果差异大”“经验难以传承”“隐性风险难发现”等问题（如银行抽检覆盖率低、供应链风险隐蔽、工业生产参数调控精度不足），尤其在监管严格、生产连续运行或市场波动大的场景，风险可控性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业务流程碎片化，缺乏闭环优化机制</w:t>
      </w:r>
      <w:r>
        <w:rPr>
          <w:rFonts w:eastAsia="等线" w:ascii="Arial" w:cs="Arial" w:hAnsi="Arial"/>
          <w:sz w:val="22"/>
        </w:rPr>
        <w:t>：各环节数据割裂（如电商财务数据分散在多个系统）、流程脱节（如供应链风险发现后无标准化应对），且缺乏“结果反馈-经验沉淀-流程优化”的闭环，导致问题重复出现，业务效率难以持续提升。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结构化输出能力弱，决策支撑不足</w:t>
      </w:r>
      <w:r>
        <w:rPr>
          <w:rFonts w:eastAsia="等线" w:ascii="Arial" w:cs="Arial" w:hAnsi="Arial"/>
          <w:sz w:val="22"/>
        </w:rPr>
        <w:t>：传统模式难以将非结构化信息（语音、新闻）转化为标准化结构化结果（如催收小结、行情信号），且无法基于结构化数据进行深度推理（如风险归因、利润穿透分析），仅能提供数据而非决策建议，对业务决策的支撑作用有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三、AI Agent解决痛点的核心优势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Agent区别于传统自动化工具（如RPA）、BI系统的核心优势的在于“具备自主推理、学习与闭环优化能力”，精准匹配上述共性痛点的解决需求，具体可概括为4点：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高效信息整合与筛选，解放人工重复劳动</w:t>
      </w:r>
      <w:r>
        <w:rPr>
          <w:rFonts w:eastAsia="等线" w:ascii="Arial" w:cs="Arial" w:hAnsi="Arial"/>
          <w:sz w:val="22"/>
        </w:rPr>
        <w:t>：AI Agent可通过预设规则+语义理解，自动整合多渠道分散数据（如行情监测Agent对接数十个数据源、财务分析Agent整合7个异构系统、金融AI大脑整合全行业务知识数据、物流数据治理Agent整合全链路物流数据、桥梁“桥头堡·智能体”整合施工运维多模态文档），通过相关性评分、实体识别等技术过滤无效信息，将“人工数小时的筛选工作”压缩至分钟级（如金融复杂问答响应速度达百毫秒级、桥梁行业研究报告快速生成），同时避免关键信息遗漏（如工业生产参数异常、物流数据错误、桥梁行业研究关键进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标准化推理与决策，降低经验依赖</w:t>
      </w:r>
      <w:r>
        <w:rPr>
          <w:rFonts w:eastAsia="等线" w:ascii="Arial" w:cs="Arial" w:hAnsi="Arial"/>
          <w:sz w:val="22"/>
        </w:rPr>
        <w:t>：AI Agent基于领域知识库（如报价规则库、合规知识库、产业链知识库、金融知识工程平台、工业生产工艺库、桥梁专业知识库）和成熟规则，实现标准化推理（如报价Agent的成本加成规则、质检Agent的三路并行检测、工业具身智能的生产参数优化规则、桥梁智能体的文档抽取与报告生成规则），确保不同业务场景下结果一致性；同时，通过案例检索、语义理解等能力，发现人工难以识别的隐性风险（如催收情绪突变、供应链隐性违约信号、工业生产毫秒级参数波动），提升风险可控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全流程闭环优化，实现持续迭代</w:t>
      </w:r>
      <w:r>
        <w:rPr>
          <w:rFonts w:eastAsia="等线" w:ascii="Arial" w:cs="Arial" w:hAnsi="Arial"/>
          <w:sz w:val="22"/>
        </w:rPr>
        <w:t>：AI Agent构建“数据采集-推理决策-结果输出-反馈优化”的完整闭环（如质检Agent的申诉复核结果反馈至知识库、行情监测Agent的用户反馈优化检索规则），将业务经验沉淀为可复用的知识库/案例库，避免问题重复出现，推动业务效率持续提升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结构化输出+深度推理，强化决策支撑</w:t>
      </w:r>
      <w:r>
        <w:rPr>
          <w:rFonts w:eastAsia="等线" w:ascii="Arial" w:cs="Arial" w:hAnsi="Arial"/>
          <w:sz w:val="22"/>
        </w:rPr>
        <w:t>：AI Agent可将非结构化信息转化为标准化结构化结果（如语音转文字→催收结构化小结、新闻→行情多空信号），同时具备跨系统关联推理、归因分析能力（如供应链风险的因果链构建、财务异常的跨系统穿透分析），不仅提供数据，更输出明确的决策建议（如风险评级、补货建议），直接支撑业务决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四、AI Agent解决痛点的核心逻辑与规律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梳理5个案例的AI Agent落地逻辑，可总结出一套通用规律，核心是“以业务场景为核心，通过‘数据层-推理层-闭环层’的三层架构，实现‘人工经验结构化-业务流程自动化-决策能力智能化’的递进”，具体逻辑拆解如下：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核心逻辑框架（三层架构）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数据层：统一整合内外部多元数据，奠定基础</w:t>
      </w:r>
      <w:r>
        <w:rPr>
          <w:rFonts w:eastAsia="等线" w:ascii="Arial" w:cs="Arial" w:hAnsi="Arial"/>
          <w:sz w:val="22"/>
        </w:rPr>
        <w:t>：核心是“打破数据割裂”，通过ETL工具自动抓取、清洗内外部数据（内部：ERP、财务、客户档案、工业生产参数、物流业务数据、桥梁施工运维文档与监测数据；外部：舆情、行业数据、监管规则、市场研究数据、桥梁行业研究文献），形成标准化数据池，为后续推理提供数据支撑。所有案例均遵循此逻辑（如供应链Agent融合工商舆情+内部ERP数据、财务Agent整合多渠道销售数据、金融AI大脑整合全行业务数据、工业具身智能整合生产全链路参数数据、桥梁“桥头堡·智能体”整合多模态文档与行业文献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推理层：基于知识库+规则/案例引擎，实现自主决策</w:t>
      </w:r>
      <w:r>
        <w:rPr>
          <w:rFonts w:eastAsia="等线" w:ascii="Arial" w:cs="Arial" w:hAnsi="Arial"/>
          <w:sz w:val="22"/>
        </w:rPr>
        <w:t>：核心是“将人工经验转化为可复用的推理能力”，分为两步：① 构建领域知识库（如报价规则、合规条款、产业链模型），沉淀核心经验；② 搭建推理引擎（规则引擎+案例推理引擎），基于知识库对数据进行分析（如行情Agent的多空信号推理、质检Agent的违规评分），同时具备“需求补全”“冲突处理”等自主调整能力（如报价Agent判断需求不明确时反向补充参数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闭环层：基于用户反馈迭代优化，持续提升能力</w:t>
      </w:r>
      <w:r>
        <w:rPr>
          <w:rFonts w:eastAsia="等线" w:ascii="Arial" w:cs="Arial" w:hAnsi="Arial"/>
          <w:sz w:val="22"/>
        </w:rPr>
        <w:t>：核心是“让Agent具备学习能力”，将用户反馈（如申诉复核结果、人工调整建议）回传至知识库与推理引擎，通过持续学习优化规则、更新案例库（如行情Agent积累研报范式、供应链Agent优化风险判定标准），实现“越用越精准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通用规律提炼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场景选择规律：优先落地“高重复、高规则、高风险”的To B业务环节</w:t>
      </w:r>
      <w:r>
        <w:rPr>
          <w:rFonts w:eastAsia="等线" w:ascii="Arial" w:cs="Arial" w:hAnsi="Arial"/>
          <w:sz w:val="22"/>
        </w:rPr>
        <w:t>：9个案例均聚焦To B领域中“人工重复劳动多（如报价、数据筛选、报表制作、知识检索、桥梁文档录入与报告撰写）、业务规则明确（如合规质检、报价规则、工业生产工艺、金融服务规范、桥梁施工运维标准）、风险成本高（如违规罚款、供应链中断、工业生产事故、数据错误导致决策偏差、桥梁施工安全事故）”的环节，这类场景的人工痛点突出，且知识库易构建，AI Agent落地难度低、ROI高（如物流数据治理Agent节约2000万元人力成本、金融AI大脑带动收入增长约20%、桥梁智能体日最高服务量超1200次）。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落地路径规律：从“部分自动化”到“全流程智能化”，循序渐进</w:t>
      </w:r>
      <w:r>
        <w:rPr>
          <w:rFonts w:eastAsia="等线" w:ascii="Arial" w:cs="Arial" w:hAnsi="Arial"/>
          <w:sz w:val="22"/>
        </w:rPr>
        <w:t>：所有案例均以POC为起点，先实现“局部环节自动化”（如报价Agent先做智能检索、质检Agent先做语音转文字），再逐步提炼规则、构建知识库，实现“端到端全流程智能化”，避免一步到位的落地风险。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价值实现规律：核心是“构建业务信任”，而非替代人工</w:t>
      </w:r>
      <w:r>
        <w:rPr>
          <w:rFonts w:eastAsia="等线" w:ascii="Arial" w:cs="Arial" w:hAnsi="Arial"/>
          <w:sz w:val="22"/>
        </w:rPr>
        <w:t>：AI Agent并非完全替代人工，而是通过“推理过程可视化”（如报价Agent的过程展示）、“人工干预入口”（如催收小结支持人工修改）、“低置信度标记复核”（如行情晨报低置信度标记人工检查）等设计，提升用户对结果的信任度；同时，将人工从重复劳动中解放，聚焦“高价值决策”（如人工复核低置信度结果、优化规则），实现“人机协同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五、跨行业痛点挖掘与解决思路（可直接复用）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基于上述共性痛点、核心逻辑，可提炼出一套“跨行业痛点挖掘方法”和“AI Agent落地解决思路”，帮助快速在其他行业找到适配场景并落地：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跨行业痛点挖掘方法（3个关键维度）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从以下3个维度切入，可快速识别各行业中适合AI Agent落地的业务痛点：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维度1：是否存在“高耗时的重复劳动”</w:t>
      </w:r>
      <w:r>
        <w:rPr>
          <w:rFonts w:eastAsia="等线" w:ascii="Arial" w:cs="Arial" w:hAnsi="Arial"/>
          <w:sz w:val="22"/>
        </w:rPr>
        <w:t>：观察业务环节是否需要人工长期处理“多数据源、大量信息”（如客服质检中的语音审核、物流行业的运单信息录入、医疗行业的病历整理），且这类劳动的核心是“筛选、整合、标准化”，可通过AI Agent的信息处理能力解放人工。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维度2：是否依赖“个人经验且结果一致性差”</w:t>
      </w:r>
      <w:r>
        <w:rPr>
          <w:rFonts w:eastAsia="等线" w:ascii="Arial" w:cs="Arial" w:hAnsi="Arial"/>
          <w:sz w:val="22"/>
        </w:rPr>
        <w:t>：判断业务决策是否高度依赖员工个人经验（如法务行业的合同审核、教育行业的论文查重标准、建筑行业的造价估算），且不同人处理结果差异大、易出错，这类场景可通过构建知识库+标准化推理，提升结果一致性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维度3：是否存在“高风险且可控性差”的环节</w:t>
      </w:r>
      <w:r>
        <w:rPr>
          <w:rFonts w:eastAsia="等线" w:ascii="Arial" w:cs="Arial" w:hAnsi="Arial"/>
          <w:sz w:val="22"/>
        </w:rPr>
        <w:t>：关注行业中的监管合规环节（如金融行业的反洗钱审核、医药行业的药品合规检查）、风险预警环节（如能源行业的设备故障预警、零售行业的库存积压预警），这类场景人工管控难度大、风险成本高，AI Agent可实现全量覆盖与提前预警。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跨行业通用解决思路（4步落地法）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无论哪个行业，只要识别出上述痛点，均可按以下4步落地AI Agent解决方案：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第一步：场景聚焦与痛点细化</w:t>
      </w:r>
      <w:r>
        <w:rPr>
          <w:rFonts w:eastAsia="等线" w:ascii="Arial" w:cs="Arial" w:hAnsi="Arial"/>
          <w:sz w:val="22"/>
        </w:rPr>
        <w:t>：不追求“大而全”，优先选择1个核心痛点场景（如法务行业聚焦“合同审核”），细化痛点表现（如审核效率低、隐性风险漏判、标准不统一），明确核心需求（如全量审核、风险预警、标准化输出）。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第二步：知识库与数据层构建</w:t>
      </w:r>
      <w:r>
        <w:rPr>
          <w:rFonts w:eastAsia="等线" w:ascii="Arial" w:cs="Arial" w:hAnsi="Arial"/>
          <w:sz w:val="22"/>
        </w:rPr>
        <w:t>：① 沉淀领域知识：将人工经验转化为标准化知识库（如合同审核的违规条款库、造价估算的行业定额库）；② 整合数据资源：梳理内外部数据源（如合同审核需对接历史合同库、监管规则库），通过ETL工具实现数据自动采集与清洗。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第三步：推理引擎搭建与局部验证</w:t>
      </w:r>
      <w:r>
        <w:rPr>
          <w:rFonts w:eastAsia="等线" w:ascii="Arial" w:cs="Arial" w:hAnsi="Arial"/>
          <w:sz w:val="22"/>
        </w:rPr>
        <w:t>：搭建“规则引擎+案例引擎”的基础推理框架，先实现局部环节自动化（如合同审核先识别关键条款、造价估算先整合基础数据），通过POC验证效果（如审核效率提升比例、风险识别准确率），收集用户反馈。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第四步：全流程闭环与持续迭代</w:t>
      </w:r>
      <w:r>
        <w:rPr>
          <w:rFonts w:eastAsia="等线" w:ascii="Arial" w:cs="Arial" w:hAnsi="Arial"/>
          <w:sz w:val="22"/>
        </w:rPr>
        <w:t>：基于POC反馈优化知识库与推理引擎，实现全流程智能化（如合同审核从“条款识别”到“风险评分+修改建议”）；同时搭建反馈闭环（如人工复核结果回传优化规则），持续提升Agent能力，逐步拓展至其他关联场景（如法务Agent从合同审核拓展至诉讼风险评估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跨行业应用示例（快速参考）</w:t>
      </w:r>
      <w:bookmarkEnd w:id="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物流行业：运单审核Agent</w:t>
      </w:r>
      <w:r>
        <w:rPr>
          <w:rFonts w:eastAsia="等线" w:ascii="Arial" w:cs="Arial" w:hAnsi="Arial"/>
          <w:sz w:val="22"/>
        </w:rPr>
        <w:t>：痛点（人工审核运单信息耗时久、易遗漏违规条款、不同网点标准不一）→ 解决思路（构建运单合规知识库，整合内外部数据（运单信息、监管规则），实现运单自动审核+风险预警，人工复核低置信度结果，反馈优化规则）。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医疗行业：病历整理与诊断辅助Agent</w:t>
      </w:r>
      <w:r>
        <w:rPr>
          <w:rFonts w:eastAsia="等线" w:ascii="Arial" w:cs="Arial" w:hAnsi="Arial"/>
          <w:sz w:val="22"/>
        </w:rPr>
        <w:t>：痛点（医生手工整理病历耗时、病历结构化程度低、基层医生诊断依赖经验）→ 解决思路（构建病历模板库+疾病知识库，自动将非结构化病历转化为结构化数据，基于病例库提供诊断建议，反馈优化知识库）。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教育行业：论文查重与评审Agent</w:t>
      </w:r>
      <w:r>
        <w:rPr>
          <w:rFonts w:eastAsia="等线" w:ascii="Arial" w:cs="Arial" w:hAnsi="Arial"/>
          <w:sz w:val="22"/>
        </w:rPr>
        <w:t>：痛点（人工评审论文效率低、查重标准不统一、隐性抄袭难识别）→ 解决思路（构建学术规范知识库+文献库，自动查重+语义分析识别隐性抄袭，生成标准化评审报告，人工调整后反馈优化规则）。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金融行业：理财服务AI Agent</w:t>
      </w:r>
      <w:r>
        <w:rPr>
          <w:rFonts w:eastAsia="等线" w:ascii="Arial" w:cs="Arial" w:hAnsi="Arial"/>
          <w:sz w:val="22"/>
        </w:rPr>
        <w:t>：痛点（理财经理服务客户规模有限、中长尾客户触达不足、专业知识检索效率低）→ 解决思路（构建金融知识工程平台，整合客户数据、产品规则、市场研究数据，通过数字分身实现客户精准对接，自然语言交互解答专业问题，基于用户反馈优化知识匹配规则）。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工业制造行业：生产调控具身智能Agent</w:t>
      </w:r>
      <w:r>
        <w:rPr>
          <w:rFonts w:eastAsia="等线" w:ascii="Arial" w:cs="Arial" w:hAnsi="Arial"/>
          <w:sz w:val="22"/>
        </w:rPr>
        <w:t>：痛点（人工监控生产参数响应慢、传统AI无法落地执行、参数调控依赖经验）→ 解决思路（构建工业生产工艺知识库，整合实时生产参数、设备状态数据，通过“智能决策引擎+通用控制系统”实现“感知-决策-执行”闭环，自然语言交互降低操作门槛，基于生产效果优化调控规则）。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桥梁施工行业：建造运维智能体</w:t>
      </w:r>
      <w:r>
        <w:rPr>
          <w:rFonts w:eastAsia="等线" w:ascii="Arial" w:cs="Arial" w:hAnsi="Arial"/>
          <w:sz w:val="22"/>
        </w:rPr>
        <w:t>：痛点（非结构化文档录入效率低、专业知识检索耗时久、数据查询门槛高、监测报告撰写效率低）→ 解决思路（构建桥梁专业知识库，整合施工运维多模态文档、行业研究文献、监测数据，开发文档智能抽取、自然语言查询、报告自动生成模块，通过RAG技术强化知识联动，人工复核优化结果并反馈至知识库，持续提升精准度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企业级AI Agent的核心价值在于“将人工经验结构化、业务流程自动化、决策能力智能化”，其落地的关键前提是找到“高重复、高规则、高风险”的To B业务痛点，通过“数据层-推理层-闭环层”的三层架构实现人机协同。</w:t>
      </w:r>
      <w:r>
        <w:rPr>
          <w:rFonts w:eastAsia="等线" w:ascii="Arial" w:cs="Arial" w:hAnsi="Arial"/>
          <w:sz w:val="22"/>
        </w:rPr>
        <w:t>从补充的金融、工业制造、物流、桥梁施工领域案例可见，这一核心逻辑在更多垂直行业均适用。</w:t>
      </w:r>
      <w:r>
        <w:rPr>
          <w:rFonts w:eastAsia="等线" w:ascii="Arial" w:cs="Arial" w:hAnsi="Arial"/>
          <w:sz w:val="22"/>
        </w:rPr>
        <w:t>跨行业应用时，可通过“3个维度挖掘痛点+4步落地法”快速适配场景，核心是循序渐进构建业务信任，而非追求一步到位的替代人工。未来，随着知识库与推理能力的提升，AI Agent将在更多垂直行业的核心环节实现规模化落地</w:t>
      </w:r>
      <w:r>
        <w:rPr>
          <w:rFonts w:eastAsia="等线" w:ascii="Arial" w:cs="Arial" w:hAnsi="Arial"/>
          <w:sz w:val="22"/>
        </w:rPr>
        <w:t>，尤其在工业自主化生产、金融全链路智能服务、桥梁等基础设施智能建造运维领域展现出巨大潜力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97913">
    <w:lvl>
      <w:start w:val="1"/>
      <w:numFmt w:val="decimal"/>
      <w:suff w:val="tab"/>
      <w:lvlText w:val="%1."/>
      <w:rPr>
        <w:color w:val="3370ff"/>
      </w:rPr>
    </w:lvl>
  </w:abstractNum>
  <w:abstractNum w:abstractNumId="5897914">
    <w:lvl>
      <w:start w:val="2"/>
      <w:numFmt w:val="decimal"/>
      <w:suff w:val="tab"/>
      <w:lvlText w:val="%1."/>
      <w:rPr>
        <w:color w:val="3370ff"/>
      </w:rPr>
    </w:lvl>
  </w:abstractNum>
  <w:abstractNum w:abstractNumId="5897915">
    <w:lvl>
      <w:start w:val="3"/>
      <w:numFmt w:val="decimal"/>
      <w:suff w:val="tab"/>
      <w:lvlText w:val="%1."/>
      <w:rPr>
        <w:color w:val="3370ff"/>
      </w:rPr>
    </w:lvl>
  </w:abstractNum>
  <w:abstractNum w:abstractNumId="5897916">
    <w:lvl>
      <w:start w:val="4"/>
      <w:numFmt w:val="decimal"/>
      <w:suff w:val="tab"/>
      <w:lvlText w:val="%1."/>
      <w:rPr>
        <w:color w:val="3370ff"/>
      </w:rPr>
    </w:lvl>
  </w:abstractNum>
  <w:abstractNum w:abstractNumId="5897917">
    <w:lvl>
      <w:start w:val="5"/>
      <w:numFmt w:val="decimal"/>
      <w:suff w:val="tab"/>
      <w:lvlText w:val="%1."/>
      <w:rPr>
        <w:color w:val="3370ff"/>
      </w:rPr>
    </w:lvl>
  </w:abstractNum>
  <w:abstractNum w:abstractNumId="5897918">
    <w:lvl>
      <w:start w:val="6"/>
      <w:numFmt w:val="decimal"/>
      <w:suff w:val="tab"/>
      <w:lvlText w:val="%1."/>
      <w:rPr>
        <w:color w:val="3370ff"/>
      </w:rPr>
    </w:lvl>
  </w:abstractNum>
  <w:abstractNum w:abstractNumId="5897919">
    <w:lvl>
      <w:start w:val="7"/>
      <w:numFmt w:val="decimal"/>
      <w:suff w:val="tab"/>
      <w:lvlText w:val="%1."/>
      <w:rPr>
        <w:color w:val="3370ff"/>
      </w:rPr>
    </w:lvl>
  </w:abstractNum>
  <w:abstractNum w:abstractNumId="5897920">
    <w:lvl>
      <w:start w:val="8"/>
      <w:numFmt w:val="decimal"/>
      <w:suff w:val="tab"/>
      <w:lvlText w:val="%1."/>
      <w:rPr>
        <w:color w:val="3370ff"/>
      </w:rPr>
    </w:lvl>
  </w:abstractNum>
  <w:abstractNum w:abstractNumId="5897921">
    <w:lvl>
      <w:start w:val="9"/>
      <w:numFmt w:val="decimal"/>
      <w:suff w:val="tab"/>
      <w:lvlText w:val="%1."/>
      <w:rPr>
        <w:color w:val="3370ff"/>
      </w:rPr>
    </w:lvl>
  </w:abstractNum>
  <w:abstractNum w:abstractNumId="5897922">
    <w:lvl>
      <w:start w:val="10"/>
      <w:numFmt w:val="decimal"/>
      <w:suff w:val="tab"/>
      <w:lvlText w:val="%1."/>
      <w:rPr>
        <w:color w:val="3370ff"/>
      </w:rPr>
    </w:lvl>
  </w:abstractNum>
  <w:abstractNum w:abstractNumId="5897923">
    <w:lvl>
      <w:start w:val="11"/>
      <w:numFmt w:val="decimal"/>
      <w:suff w:val="tab"/>
      <w:lvlText w:val="%1."/>
      <w:rPr>
        <w:color w:val="3370ff"/>
      </w:rPr>
    </w:lvl>
  </w:abstractNum>
  <w:abstractNum w:abstractNumId="5897924">
    <w:lvl>
      <w:start w:val="12"/>
      <w:numFmt w:val="decimal"/>
      <w:suff w:val="tab"/>
      <w:lvlText w:val="%1."/>
      <w:rPr>
        <w:color w:val="3370ff"/>
      </w:rPr>
    </w:lvl>
  </w:abstractNum>
  <w:abstractNum w:abstractNumId="5897925">
    <w:lvl>
      <w:start w:val="13"/>
      <w:numFmt w:val="decimal"/>
      <w:suff w:val="tab"/>
      <w:lvlText w:val="%1."/>
      <w:rPr>
        <w:color w:val="3370ff"/>
      </w:rPr>
    </w:lvl>
  </w:abstractNum>
  <w:abstractNum w:abstractNumId="5897926">
    <w:lvl>
      <w:numFmt w:val="bullet"/>
      <w:suff w:val="tab"/>
      <w:lvlText w:val="•"/>
      <w:rPr>
        <w:color w:val="3370ff"/>
      </w:rPr>
    </w:lvl>
  </w:abstractNum>
  <w:abstractNum w:abstractNumId="5897927">
    <w:lvl>
      <w:numFmt w:val="bullet"/>
      <w:suff w:val="tab"/>
      <w:lvlText w:val="•"/>
      <w:rPr>
        <w:color w:val="3370ff"/>
      </w:rPr>
    </w:lvl>
  </w:abstractNum>
  <w:abstractNum w:abstractNumId="5897928">
    <w:lvl>
      <w:start w:val="14"/>
      <w:numFmt w:val="decimal"/>
      <w:suff w:val="tab"/>
      <w:lvlText w:val="%1."/>
      <w:rPr>
        <w:color w:val="3370ff"/>
      </w:rPr>
    </w:lvl>
  </w:abstractNum>
  <w:abstractNum w:abstractNumId="5897929">
    <w:lvl>
      <w:start w:val="15"/>
      <w:numFmt w:val="decimal"/>
      <w:suff w:val="tab"/>
      <w:lvlText w:val="%1."/>
      <w:rPr>
        <w:color w:val="3370ff"/>
      </w:rPr>
    </w:lvl>
  </w:abstractNum>
  <w:abstractNum w:abstractNumId="5897930">
    <w:lvl>
      <w:start w:val="16"/>
      <w:numFmt w:val="decimal"/>
      <w:suff w:val="tab"/>
      <w:lvlText w:val="%1."/>
      <w:rPr>
        <w:color w:val="3370ff"/>
      </w:rPr>
    </w:lvl>
  </w:abstractNum>
  <w:abstractNum w:abstractNumId="5897931">
    <w:lvl>
      <w:start w:val="17"/>
      <w:numFmt w:val="decimal"/>
      <w:suff w:val="tab"/>
      <w:lvlText w:val="%1."/>
      <w:rPr>
        <w:color w:val="3370ff"/>
      </w:rPr>
    </w:lvl>
  </w:abstractNum>
  <w:abstractNum w:abstractNumId="5897932">
    <w:lvl>
      <w:start w:val="18"/>
      <w:numFmt w:val="decimal"/>
      <w:suff w:val="tab"/>
      <w:lvlText w:val="%1."/>
      <w:rPr>
        <w:color w:val="3370ff"/>
      </w:rPr>
    </w:lvl>
  </w:abstractNum>
  <w:abstractNum w:abstractNumId="5897933">
    <w:lvl>
      <w:start w:val="19"/>
      <w:numFmt w:val="decimal"/>
      <w:suff w:val="tab"/>
      <w:lvlText w:val="%1."/>
      <w:rPr>
        <w:color w:val="3370ff"/>
      </w:rPr>
    </w:lvl>
  </w:abstractNum>
  <w:abstractNum w:abstractNumId="5897934">
    <w:lvl>
      <w:start w:val="20"/>
      <w:numFmt w:val="decimal"/>
      <w:suff w:val="tab"/>
      <w:lvlText w:val="%1."/>
      <w:rPr>
        <w:color w:val="3370ff"/>
      </w:rPr>
    </w:lvl>
  </w:abstractNum>
  <w:abstractNum w:abstractNumId="5897935">
    <w:lvl>
      <w:start w:val="21"/>
      <w:numFmt w:val="decimal"/>
      <w:suff w:val="tab"/>
      <w:lvlText w:val="%1."/>
      <w:rPr>
        <w:color w:val="3370ff"/>
      </w:rPr>
    </w:lvl>
  </w:abstractNum>
  <w:abstractNum w:abstractNumId="5897936">
    <w:lvl>
      <w:start w:val="22"/>
      <w:numFmt w:val="decimal"/>
      <w:suff w:val="tab"/>
      <w:lvlText w:val="%1."/>
      <w:rPr>
        <w:color w:val="3370ff"/>
      </w:rPr>
    </w:lvl>
  </w:abstractNum>
  <w:abstractNum w:abstractNumId="5897937">
    <w:lvl>
      <w:numFmt w:val="bullet"/>
      <w:suff w:val="tab"/>
      <w:lvlText w:val="•"/>
      <w:rPr>
        <w:color w:val="3370ff"/>
      </w:rPr>
    </w:lvl>
  </w:abstractNum>
  <w:abstractNum w:abstractNumId="5897938">
    <w:lvl>
      <w:numFmt w:val="bullet"/>
      <w:suff w:val="tab"/>
      <w:lvlText w:val="•"/>
      <w:rPr>
        <w:color w:val="3370ff"/>
      </w:rPr>
    </w:lvl>
  </w:abstractNum>
  <w:abstractNum w:abstractNumId="5897939">
    <w:lvl>
      <w:numFmt w:val="bullet"/>
      <w:suff w:val="tab"/>
      <w:lvlText w:val="•"/>
      <w:rPr>
        <w:color w:val="3370ff"/>
      </w:rPr>
    </w:lvl>
  </w:abstractNum>
  <w:abstractNum w:abstractNumId="5897940">
    <w:lvl>
      <w:numFmt w:val="bullet"/>
      <w:suff w:val="tab"/>
      <w:lvlText w:val="•"/>
      <w:rPr>
        <w:color w:val="3370ff"/>
      </w:rPr>
    </w:lvl>
  </w:abstractNum>
  <w:abstractNum w:abstractNumId="5897941">
    <w:lvl>
      <w:numFmt w:val="bullet"/>
      <w:suff w:val="tab"/>
      <w:lvlText w:val="•"/>
      <w:rPr>
        <w:color w:val="3370ff"/>
      </w:rPr>
    </w:lvl>
  </w:abstractNum>
  <w:abstractNum w:abstractNumId="5897942">
    <w:lvl>
      <w:numFmt w:val="bullet"/>
      <w:suff w:val="tab"/>
      <w:lvlText w:val="•"/>
      <w:rPr>
        <w:color w:val="3370ff"/>
      </w:rPr>
    </w:lvl>
  </w:abstractNum>
  <w:num w:numId="1">
    <w:abstractNumId w:val="5897913"/>
  </w:num>
  <w:num w:numId="2">
    <w:abstractNumId w:val="5897914"/>
  </w:num>
  <w:num w:numId="3">
    <w:abstractNumId w:val="5897915"/>
  </w:num>
  <w:num w:numId="4">
    <w:abstractNumId w:val="5897916"/>
  </w:num>
  <w:num w:numId="5">
    <w:abstractNumId w:val="5897917"/>
  </w:num>
  <w:num w:numId="6">
    <w:abstractNumId w:val="5897918"/>
  </w:num>
  <w:num w:numId="7">
    <w:abstractNumId w:val="5897919"/>
  </w:num>
  <w:num w:numId="8">
    <w:abstractNumId w:val="5897920"/>
  </w:num>
  <w:num w:numId="9">
    <w:abstractNumId w:val="5897921"/>
  </w:num>
  <w:num w:numId="10">
    <w:abstractNumId w:val="5897922"/>
  </w:num>
  <w:num w:numId="11">
    <w:abstractNumId w:val="5897923"/>
  </w:num>
  <w:num w:numId="12">
    <w:abstractNumId w:val="5897924"/>
  </w:num>
  <w:num w:numId="13">
    <w:abstractNumId w:val="5897925"/>
  </w:num>
  <w:num w:numId="14">
    <w:abstractNumId w:val="5897926"/>
  </w:num>
  <w:num w:numId="15">
    <w:abstractNumId w:val="5897927"/>
  </w:num>
  <w:num w:numId="16">
    <w:abstractNumId w:val="5897928"/>
  </w:num>
  <w:num w:numId="17">
    <w:abstractNumId w:val="5897929"/>
  </w:num>
  <w:num w:numId="18">
    <w:abstractNumId w:val="5897930"/>
  </w:num>
  <w:num w:numId="19">
    <w:abstractNumId w:val="5897931"/>
  </w:num>
  <w:num w:numId="20">
    <w:abstractNumId w:val="5897932"/>
  </w:num>
  <w:num w:numId="21">
    <w:abstractNumId w:val="5897933"/>
  </w:num>
  <w:num w:numId="22">
    <w:abstractNumId w:val="5897934"/>
  </w:num>
  <w:num w:numId="23">
    <w:abstractNumId w:val="5897935"/>
  </w:num>
  <w:num w:numId="24">
    <w:abstractNumId w:val="5897936"/>
  </w:num>
  <w:num w:numId="25">
    <w:abstractNumId w:val="5897937"/>
  </w:num>
  <w:num w:numId="26">
    <w:abstractNumId w:val="5897938"/>
  </w:num>
  <w:num w:numId="27">
    <w:abstractNumId w:val="5897939"/>
  </w:num>
  <w:num w:numId="28">
    <w:abstractNumId w:val="5897940"/>
  </w:num>
  <w:num w:numId="29">
    <w:abstractNumId w:val="5897941"/>
  </w:num>
  <w:num w:numId="30">
    <w:abstractNumId w:val="58979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2026-01-22T01:21:02Z</dcterms:created>
  <dc:creator>Apache POI</dc:creator>
</cp:coreProperties>
</file>