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ighteous" w:cs="Righteous" w:eastAsia="Righteous" w:hAnsi="Righteous"/>
        </w:rPr>
      </w:pPr>
      <w:bookmarkStart w:colFirst="0" w:colLast="0" w:name="_hhg3soj7w6ai" w:id="0"/>
      <w:bookmarkEnd w:id="0"/>
      <w:r w:rsidDel="00000000" w:rsidR="00000000" w:rsidRPr="00000000">
        <w:rPr>
          <w:rFonts w:ascii="Righteous" w:cs="Righteous" w:eastAsia="Righteous" w:hAnsi="Righteous"/>
          <w:rtl w:val="0"/>
        </w:rPr>
        <w:t xml:space="preserve">Users and Tasks</w:t>
      </w:r>
    </w:p>
    <w:p w:rsidR="00000000" w:rsidDel="00000000" w:rsidP="00000000" w:rsidRDefault="00000000" w:rsidRPr="00000000" w14:paraId="00000002">
      <w:pPr>
        <w:rPr>
          <w:rFonts w:ascii="Righteous" w:cs="Righteous" w:eastAsia="Righteous" w:hAnsi="Righteous"/>
        </w:rPr>
      </w:pPr>
      <w:r w:rsidDel="00000000" w:rsidR="00000000" w:rsidRPr="00000000">
        <w:rPr>
          <w:rtl w:val="0"/>
        </w:rPr>
        <w:t xml:space="preserve">Have a read of the </w:t>
      </w:r>
      <w:hyperlink r:id="rId6">
        <w:r w:rsidDel="00000000" w:rsidR="00000000" w:rsidRPr="00000000">
          <w:rPr>
            <w:color w:val="1155cc"/>
            <w:u w:val="single"/>
            <w:rtl w:val="0"/>
          </w:rPr>
          <w:t xml:space="preserve">Human Computer Interaction 4.2. Users and tasks</w:t>
        </w:r>
      </w:hyperlink>
      <w:r w:rsidDel="00000000" w:rsidR="00000000" w:rsidRPr="00000000">
        <w:rPr>
          <w:rtl w:val="0"/>
        </w:rPr>
        <w:t xml:space="preserve"> in the Computer Science Field guide and complete the tasks on this worksheet.</w:t>
      </w:r>
      <w:r w:rsidDel="00000000" w:rsidR="00000000" w:rsidRPr="00000000">
        <w:rPr>
          <w:rtl w:val="0"/>
        </w:rPr>
      </w:r>
    </w:p>
    <w:p w:rsidR="00000000" w:rsidDel="00000000" w:rsidP="00000000" w:rsidRDefault="00000000" w:rsidRPr="00000000" w14:paraId="00000003">
      <w:pPr>
        <w:pStyle w:val="Heading1"/>
        <w:rPr>
          <w:rFonts w:ascii="Righteous" w:cs="Righteous" w:eastAsia="Righteous" w:hAnsi="Righteous"/>
        </w:rPr>
      </w:pPr>
      <w:bookmarkStart w:colFirst="0" w:colLast="0" w:name="_ga1z54hq7pdp" w:id="1"/>
      <w:bookmarkEnd w:id="1"/>
      <w:r w:rsidDel="00000000" w:rsidR="00000000" w:rsidRPr="00000000">
        <w:rPr>
          <w:rFonts w:ascii="Righteous" w:cs="Righteous" w:eastAsia="Righteous" w:hAnsi="Righteous"/>
          <w:rtl w:val="0"/>
        </w:rPr>
        <w:t xml:space="preserve">Task 1: Types of Users</w:t>
      </w:r>
    </w:p>
    <w:p w:rsidR="00000000" w:rsidDel="00000000" w:rsidP="00000000" w:rsidRDefault="00000000" w:rsidRPr="00000000" w14:paraId="00000004">
      <w:pPr>
        <w:rPr/>
      </w:pPr>
      <w:r w:rsidDel="00000000" w:rsidR="00000000" w:rsidRPr="00000000">
        <w:rPr>
          <w:rtl w:val="0"/>
        </w:rPr>
        <w:t xml:space="preserve">As a class, reflect on the types of things you would need to think about for the following user groups. During your discussion, be sure to incorporate the principles of manaakitanga showing respect, hospitality, and care for others.</w:t>
      </w:r>
    </w:p>
    <w:p w:rsidR="00000000" w:rsidDel="00000000" w:rsidP="00000000" w:rsidRDefault="00000000" w:rsidRPr="00000000" w14:paraId="00000005">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Casual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rFonts w:ascii="Righteous" w:cs="Righteous" w:eastAsia="Righteous" w:hAnsi="Righteous"/>
        </w:rPr>
      </w:pPr>
      <w:bookmarkStart w:colFirst="0" w:colLast="0" w:name="_rb3xrmfeafup" w:id="2"/>
      <w:bookmarkEnd w:id="2"/>
      <w:r w:rsidDel="00000000" w:rsidR="00000000" w:rsidRPr="00000000">
        <w:rPr>
          <w:rFonts w:ascii="Righteous" w:cs="Righteous" w:eastAsia="Righteous" w:hAnsi="Righteous"/>
          <w:rtl w:val="0"/>
        </w:rPr>
        <w:t xml:space="preserve">Task 2: Same Task Different Methods</w:t>
      </w:r>
    </w:p>
    <w:p w:rsidR="00000000" w:rsidDel="00000000" w:rsidP="00000000" w:rsidRDefault="00000000" w:rsidRPr="00000000" w14:paraId="00000012">
      <w:pPr>
        <w:rPr/>
      </w:pPr>
      <w:r w:rsidDel="00000000" w:rsidR="00000000" w:rsidRPr="00000000">
        <w:rPr>
          <w:rtl w:val="0"/>
        </w:rPr>
        <w:t xml:space="preserve">Try sending an email from both a web browser, mobile phone and one other place. Take note of all the steps required from when you start using the device until the email is sent. You could also use screenshots instead.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 of other places could be: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Smartwatch</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Outlook/Firebird or other email client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Different web browser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Tablet</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Smart TVs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Gaming consoles (e.g., Xbox, PlayStation)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Smart speakers (via voice commands, e.g., Amazon Echo, Google Home)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Voice commands on phone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ighteous">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center"/>
      <w:rPr/>
    </w:pPr>
    <w:r w:rsidDel="00000000" w:rsidR="00000000" w:rsidRPr="00000000">
      <w:rPr/>
      <w:drawing>
        <wp:inline distB="114300" distT="114300" distL="114300" distR="114300">
          <wp:extent cx="877725" cy="3075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77725" cy="3075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16"/>
        <w:szCs w:val="16"/>
      </w:rPr>
    </w:pPr>
    <w:r w:rsidDel="00000000" w:rsidR="00000000" w:rsidRPr="00000000">
      <w:rPr>
        <w:sz w:val="16"/>
        <w:szCs w:val="16"/>
        <w:rtl w:val="0"/>
      </w:rPr>
      <w:t xml:space="preserve">Attribution-NonCommercial-ShareAlike 4.0 International (</w:t>
    </w:r>
    <w:hyperlink r:id="rId2">
      <w:r w:rsidDel="00000000" w:rsidR="00000000" w:rsidRPr="00000000">
        <w:rPr>
          <w:color w:val="1155cc"/>
          <w:sz w:val="16"/>
          <w:szCs w:val="16"/>
          <w:u w:val="single"/>
          <w:rtl w:val="0"/>
        </w:rPr>
        <w:t xml:space="preserve">CC BY-NC-SA 4.0</w:t>
      </w:r>
    </w:hyperlink>
    <w:r w:rsidDel="00000000" w:rsidR="00000000" w:rsidRPr="00000000">
      <w:rPr>
        <w:sz w:val="16"/>
        <w:szCs w:val="16"/>
        <w:rtl w:val="0"/>
      </w:rPr>
      <w:t xml:space="preserve">)</w:t>
    </w:r>
  </w:p>
  <w:p w:rsidR="00000000" w:rsidDel="00000000" w:rsidP="00000000" w:rsidRDefault="00000000" w:rsidRPr="00000000" w14:paraId="00000029">
    <w:pPr>
      <w:jc w:val="center"/>
      <w:rPr/>
    </w:pPr>
    <w:hyperlink r:id="rId3">
      <w:r w:rsidDel="00000000" w:rsidR="00000000" w:rsidRPr="00000000">
        <w:rPr>
          <w:color w:val="1155cc"/>
          <w:sz w:val="16"/>
          <w:szCs w:val="16"/>
          <w:u w:val="single"/>
          <w:rtl w:val="0"/>
        </w:rPr>
        <w:t xml:space="preserve">www.techquity.co.nz</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spacing w:line="276" w:lineRule="auto"/>
      <w:rPr/>
    </w:pPr>
    <w:r w:rsidDel="00000000" w:rsidR="00000000" w:rsidRPr="00000000">
      <w:rPr/>
      <w:drawing>
        <wp:inline distB="114300" distT="114300" distL="114300" distR="114300">
          <wp:extent cx="1188720" cy="18010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8720" cy="1801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fieldguide.org.nz/en/chapters/human-computer-interaction/users-and-task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nc-sa/4.0/" TargetMode="External"/><Relationship Id="rId3" Type="http://schemas.openxmlformats.org/officeDocument/2006/relationships/hyperlink" Target="http://www.techquity.co.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