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Righteous" w:cs="Righteous" w:eastAsia="Righteous" w:hAnsi="Righteous"/>
        </w:rPr>
      </w:pPr>
      <w:bookmarkStart w:colFirst="0" w:colLast="0" w:name="_gjdgxs" w:id="0"/>
      <w:bookmarkEnd w:id="0"/>
      <w:r w:rsidDel="00000000" w:rsidR="00000000" w:rsidRPr="00000000">
        <w:rPr>
          <w:rFonts w:ascii="Righteous" w:cs="Righteous" w:eastAsia="Righteous" w:hAnsi="Righteous"/>
          <w:rtl w:val="0"/>
        </w:rPr>
        <w:t xml:space="preserve">Nielsen Heuristics and Human Computer Interaction Key Words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note for each of the relevant keywords or heuristics as you look through the video, slides, or CS Field Guide.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3480"/>
        <w:gridCol w:w="3405"/>
        <w:gridCol w:w="3525"/>
        <w:tblGridChange w:id="0">
          <w:tblGrid>
            <w:gridCol w:w="2550"/>
            <w:gridCol w:w="3480"/>
            <w:gridCol w:w="3405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Keyword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Relevant Notes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Heuristic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Relevant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Capture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Visibility of system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Spatial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Match between system and the real world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Internal Consistency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User control and freedom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External Consistency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Consistency and standards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Error prevention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Recognition rather than recall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Short Term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Flexibility and efficiency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and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Aesthetic and minimalist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Commensurate effort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Help users recognize, diagnose, and recover from errors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Fitt’s 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Help and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Kanohi ki te kanohi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Whanaungatanga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Wairuatanga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 Comments:</w:t>
      </w:r>
    </w:p>
    <w:sectPr>
      <w:headerReference r:id="rId6" w:type="default"/>
      <w:footerReference r:id="rId7" w:type="default"/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ighteous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spacing w:line="276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877725" cy="307524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7725" cy="3075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spacing w:line="276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Attribution-NonCommercial-ShareAlike 4.0 International (</w:t>
    </w:r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CC BY-NC-SA 4.0</w:t>
      </w:r>
    </w:hyperlink>
    <w:r w:rsidDel="00000000" w:rsidR="00000000" w:rsidRPr="00000000">
      <w:rPr>
        <w:sz w:val="16"/>
        <w:szCs w:val="16"/>
        <w:rtl w:val="0"/>
      </w:rPr>
      <w:t xml:space="preserve">)</w:t>
    </w:r>
  </w:p>
  <w:p w:rsidR="00000000" w:rsidDel="00000000" w:rsidP="00000000" w:rsidRDefault="00000000" w:rsidRPr="00000000" w14:paraId="00000043">
    <w:pPr>
      <w:spacing w:line="276" w:lineRule="auto"/>
      <w:jc w:val="center"/>
      <w:rPr/>
    </w:pPr>
    <w:hyperlink r:id="rId3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www.techquity.co.nz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rPr/>
    </w:pPr>
    <w:r w:rsidDel="00000000" w:rsidR="00000000" w:rsidRPr="00000000">
      <w:rPr/>
      <w:drawing>
        <wp:inline distB="114300" distT="114300" distL="114300" distR="114300">
          <wp:extent cx="1188720" cy="180109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8720" cy="18010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ighteous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reativecommons.org/licenses/by-nc-sa/4.0/" TargetMode="External"/><Relationship Id="rId3" Type="http://schemas.openxmlformats.org/officeDocument/2006/relationships/hyperlink" Target="http://www.techquity.co.nz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