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以下是严格按照汽车工程标准术语修正后的名词解释，已完全摒弃原文档中的表述误差，采用行业规范定义：</w:t>
      </w:r>
    </w:p>
    <w:p>
      <w:pPr>
        <w:pStyle w:val="Heading2"/>
      </w:pPr>
      <w:bookmarkStart w:name="1-下止点" w:id="1"/>
      <w:r>
        <w:t xml:space="preserve">1. 下止点</w:t>
      </w:r>
      <w:bookmarkEnd w:id="1"/>
    </w:p>
    <w:p>
      <w:r>
        <w:t xml:space="preserve">活塞顶部距曲轴中心的最近位置。</w:t>
      </w:r>
    </w:p>
    <w:p>
      <w:pPr>
        <w:pStyle w:val="Heading2"/>
      </w:pPr>
      <w:bookmarkStart w:name="2-转向梯形" w:id="1"/>
      <w:r>
        <w:t xml:space="preserve">2. 转向梯形</w:t>
      </w:r>
      <w:bookmarkEnd w:id="1"/>
    </w:p>
    <w:p>
      <w:r>
        <w:t xml:space="preserve">由左右转向节臂、转向横拉杆和前轴组成的梯形机构，用于实现转向时车轮纯滚动。</w:t>
      </w:r>
    </w:p>
    <w:p>
      <w:pPr>
        <w:pStyle w:val="Heading2"/>
      </w:pPr>
      <w:bookmarkStart w:name="3-进气提前角" w:id="1"/>
      <w:r>
        <w:t xml:space="preserve">3. 进气提前角</w:t>
      </w:r>
      <w:bookmarkEnd w:id="1"/>
    </w:p>
    <w:p>
      <w:r>
        <w:t xml:space="preserve">活塞到达上止点前，进气门开启的曲轴转角。</w:t>
      </w:r>
    </w:p>
    <w:p>
      <w:pPr>
        <w:pStyle w:val="Heading2"/>
      </w:pPr>
      <w:bookmarkStart w:name="4-水冷系" w:id="1"/>
      <w:r>
        <w:t xml:space="preserve">4. 水冷系</w:t>
      </w:r>
      <w:bookmarkEnd w:id="1"/>
    </w:p>
    <w:p>
      <w:r>
        <w:t xml:space="preserve">通过冷却水在发动机内强制循环散热的装置系统。</w:t>
      </w:r>
    </w:p>
    <w:p>
      <w:pPr>
        <w:pStyle w:val="Heading2"/>
      </w:pPr>
      <w:bookmarkStart w:name="5-发动机启动系" w:id="1"/>
      <w:r>
        <w:t xml:space="preserve">5. 发动机启动系</w:t>
      </w:r>
      <w:bookmarkEnd w:id="1"/>
    </w:p>
    <w:p>
      <w:r>
        <w:t xml:space="preserve">由起动机等部件组成，用于曲轴初始旋转以启动发动机的装置。</w:t>
      </w:r>
    </w:p>
    <w:p>
      <w:pPr>
        <w:pStyle w:val="Heading2"/>
      </w:pPr>
      <w:bookmarkStart w:name="6-车轮前束" w:id="1"/>
      <w:r>
        <w:t xml:space="preserve">6. 车轮前束</w:t>
      </w:r>
      <w:bookmarkEnd w:id="1"/>
    </w:p>
    <w:p>
      <w:r>
        <w:t xml:space="preserve">两前轮前端距离小于后端距离的安装状态，用于抵消车轮外倾带来的侧滑。</w:t>
      </w:r>
    </w:p>
    <w:p>
      <w:pPr>
        <w:pStyle w:val="Heading2"/>
      </w:pPr>
      <w:bookmarkStart w:name="7-有效转矩（发动机输出转矩）" w:id="1"/>
      <w:r>
        <w:t xml:space="preserve">7. 有效转矩（发动机输出转矩）</w:t>
      </w:r>
      <w:bookmarkEnd w:id="1"/>
    </w:p>
    <w:p>
      <w:r>
        <w:t xml:space="preserve">发动机通过飞轮对外输出的转矩，单位为N·m。</w:t>
      </w:r>
    </w:p>
    <w:p>
      <w:pPr>
        <w:pStyle w:val="Heading2"/>
      </w:pPr>
      <w:bookmarkStart w:name="8-活塞" w:id="1"/>
      <w:r>
        <w:t xml:space="preserve">8. 活塞</w:t>
      </w:r>
      <w:bookmarkEnd w:id="1"/>
    </w:p>
    <w:p>
      <w:r>
        <w:t xml:space="preserve">与气缸配合，承受燃气压力并将动力传递至曲轴的关键部件。</w:t>
      </w:r>
    </w:p>
    <w:p>
      <w:pPr>
        <w:pStyle w:val="Heading2"/>
      </w:pPr>
      <w:bookmarkStart w:name="9-润滑系" w:id="1"/>
      <w:r>
        <w:t xml:space="preserve">9. 润滑系</w:t>
      </w:r>
      <w:bookmarkEnd w:id="1"/>
    </w:p>
    <w:p>
      <w:r>
        <w:t xml:space="preserve">向发动机各运动摩擦表面输送清洁润滑油的压力循环系统。</w:t>
      </w:r>
    </w:p>
    <w:p>
      <w:pPr>
        <w:pStyle w:val="Heading2"/>
      </w:pPr>
      <w:bookmarkStart w:name="10-汽车悬架" w:id="1"/>
      <w:r>
        <w:t xml:space="preserve">10. 汽车悬架</w:t>
      </w:r>
      <w:bookmarkEnd w:id="1"/>
    </w:p>
    <w:p>
      <w:r>
        <w:t xml:space="preserve">连接车轮与车身，传递路面作用力并缓冲振动的弹性装置。</w:t>
      </w:r>
    </w:p>
    <w:p>
      <w:pPr>
        <w:pStyle w:val="Heading2"/>
      </w:pPr>
      <w:bookmarkStart w:name="11-活塞行程" w:id="1"/>
      <w:r>
        <w:t xml:space="preserve">11. 活塞行程</w:t>
      </w:r>
      <w:bookmarkEnd w:id="1"/>
    </w:p>
    <w:p>
      <w:r>
        <w:t xml:space="preserve">活塞上下止点之间的直线距离，单位为mm。</w:t>
      </w:r>
    </w:p>
    <w:p>
      <w:pPr>
        <w:pStyle w:val="Heading2"/>
      </w:pPr>
      <w:bookmarkStart w:name="12-过量空气系数（λ）" w:id="1"/>
      <w:r>
        <w:t xml:space="preserve">12. 过量空气系数（λ）</w:t>
      </w:r>
      <w:bookmarkEnd w:id="1"/>
    </w:p>
    <w:p>
      <w:r>
        <w:t xml:space="preserve">燃烧1kg燃料时实际供给空气质量与理论完全燃烧所需空气质量的比值。</w:t>
      </w:r>
    </w:p>
    <w:p>
      <w:pPr>
        <w:pStyle w:val="Heading2"/>
      </w:pPr>
      <w:bookmarkStart w:name="13-转向中心" w:id="1"/>
      <w:r>
        <w:t xml:space="preserve">13. 转向中心</w:t>
      </w:r>
      <w:bookmarkEnd w:id="1"/>
    </w:p>
    <w:p>
      <w:r>
        <w:t xml:space="preserve">汽车转向时，所有车轮轴线的交点，保证各轮纯滚动。</w:t>
      </w:r>
    </w:p>
    <w:p>
      <w:pPr>
        <w:pStyle w:val="Heading2"/>
      </w:pPr>
      <w:bookmarkStart w:name="14-喷油泵分泵" w:id="1"/>
      <w:r>
        <w:t xml:space="preserve">14. 喷油泵分泵</w:t>
      </w:r>
      <w:bookmarkEnd w:id="1"/>
    </w:p>
    <w:p>
      <w:r>
        <w:t xml:space="preserve">喷油泵中对应单个气缸的柱塞泵单元，负责定时定量供油。</w:t>
      </w:r>
    </w:p>
    <w:p>
      <w:pPr>
        <w:pStyle w:val="Heading2"/>
      </w:pPr>
      <w:bookmarkStart w:name="15-转向系" w:id="1"/>
      <w:r>
        <w:t xml:space="preserve">15. 转向系</w:t>
      </w:r>
      <w:bookmarkEnd w:id="1"/>
    </w:p>
    <w:p>
      <w:r>
        <w:t xml:space="preserve">由转向器和传动机构组成，用于改变或恢复汽车行驶方向的系统。</w:t>
      </w:r>
    </w:p>
    <w:p>
      <w:pPr>
        <w:pStyle w:val="Heading2"/>
      </w:pPr>
      <w:bookmarkStart w:name="16-独立悬架" w:id="1"/>
      <w:r>
        <w:t xml:space="preserve">16. 独立悬架</w:t>
      </w:r>
      <w:bookmarkEnd w:id="1"/>
    </w:p>
    <w:p>
      <w:r>
        <w:t xml:space="preserve">左右车轮分别通过断开式车轴与车身弹性连接，单侧跳动不影响另一侧的悬架结构。</w:t>
      </w:r>
    </w:p>
    <w:p>
      <w:pPr>
        <w:pStyle w:val="Heading2"/>
      </w:pPr>
      <w:bookmarkStart w:name="17-汽车" w:id="1"/>
      <w:r>
        <w:t xml:space="preserve">17. 汽车</w:t>
      </w:r>
      <w:bookmarkEnd w:id="1"/>
    </w:p>
    <w:p>
      <w:r>
        <w:t xml:space="preserve">由动力装置驱动，具有4个及以上车轮的非轨道承载车辆。</w:t>
      </w:r>
    </w:p>
    <w:p>
      <w:pPr>
        <w:pStyle w:val="Heading2"/>
      </w:pPr>
      <w:bookmarkStart w:name="18-曲柄半径" w:id="1"/>
      <w:r>
        <w:t xml:space="preserve">18. 曲柄半径</w:t>
      </w:r>
      <w:bookmarkEnd w:id="1"/>
    </w:p>
    <w:p>
      <w:r>
        <w:t xml:space="preserve">曲轴主轴颈中心到连杆轴颈中心的距离，等于活塞行程的1/2。</w:t>
      </w:r>
    </w:p>
    <w:p>
      <w:pPr>
        <w:pStyle w:val="Heading2"/>
      </w:pPr>
      <w:bookmarkStart w:name="19-曲柄连杆机构" w:id="1"/>
      <w:r>
        <w:t xml:space="preserve">19. 曲柄连杆机构</w:t>
      </w:r>
      <w:bookmarkEnd w:id="1"/>
    </w:p>
    <w:p>
      <w:r>
        <w:t xml:space="preserve">将活塞往复运动转化为曲轴旋转运动的能量转换机构。</w:t>
      </w:r>
    </w:p>
    <w:p>
      <w:pPr>
        <w:pStyle w:val="Heading2"/>
      </w:pPr>
      <w:bookmarkStart w:name="20-气门间隙" w:id="1"/>
      <w:r>
        <w:t xml:space="preserve">20. 气门间隙</w:t>
      </w:r>
      <w:bookmarkEnd w:id="1"/>
    </w:p>
    <w:p>
      <w:r>
        <w:t xml:space="preserve">为保证气门密封，装配时在气门杆与摇臂间预留的热膨胀间隙。</w:t>
      </w:r>
    </w:p>
    <w:p>
      <w:pPr>
        <w:pStyle w:val="Heading2"/>
      </w:pPr>
      <w:bookmarkStart w:name="21-汽油喷射" w:id="1"/>
      <w:r>
        <w:t xml:space="preserve">21. 汽油喷射</w:t>
      </w:r>
      <w:bookmarkEnd w:id="1"/>
    </w:p>
    <w:p>
      <w:r>
        <w:t xml:space="preserve">通过喷油器将高压汽油喷入气缸或进气管，与空气混合形成可燃混合气的过程。</w:t>
      </w:r>
    </w:p>
    <w:p>
      <w:pPr>
        <w:pStyle w:val="Heading2"/>
      </w:pPr>
      <w:bookmarkStart w:name="22-附着力（fφ）" w:id="1"/>
      <w:r>
        <w:t xml:space="preserve">22. 附着力（Fφ）</w:t>
      </w:r>
      <w:bookmarkEnd w:id="1"/>
    </w:p>
    <w:p>
      <w:r>
        <w:t xml:space="preserve">由路面与轮胎附着作用决定的，阻碍车轮打滑的最大驱动力。</w:t>
      </w:r>
    </w:p>
    <w:p>
      <w:pPr>
        <w:pStyle w:val="Heading2"/>
      </w:pPr>
      <w:bookmarkStart w:name="23-气缸体" w:id="1"/>
      <w:r>
        <w:t xml:space="preserve">23. 气缸体</w:t>
      </w:r>
      <w:bookmarkEnd w:id="1"/>
    </w:p>
    <w:p>
      <w:r>
        <w:t xml:space="preserve">发动机的基础骨架，集成气缸、水道、油道等结构的箱体部件。</w:t>
      </w:r>
    </w:p>
    <w:p>
      <w:pPr>
        <w:pStyle w:val="Heading2"/>
      </w:pPr>
      <w:bookmarkStart w:name="24-配气机构" w:id="1"/>
      <w:r>
        <w:t xml:space="preserve">24. 配气机构</w:t>
      </w:r>
      <w:bookmarkEnd w:id="1"/>
    </w:p>
    <w:p>
      <w:r>
        <w:t xml:space="preserve">根据发动机工作循环，定时开启/关闭进排气门的凸轮传动机构。</w:t>
      </w:r>
    </w:p>
    <w:p>
      <w:pPr>
        <w:pStyle w:val="Heading2"/>
      </w:pPr>
      <w:bookmarkStart w:name="25-燃料供给系" w:id="1"/>
      <w:r>
        <w:t xml:space="preserve">25. 燃料供给系</w:t>
      </w:r>
      <w:bookmarkEnd w:id="1"/>
    </w:p>
    <w:p>
      <w:r>
        <w:t xml:space="preserve">向发动机提供可燃混合气（汽油车）或纯空气（柴油车），并排出废气的系统。</w:t>
      </w:r>
    </w:p>
    <w:p>
      <w:pPr>
        <w:pStyle w:val="Heading2"/>
      </w:pPr>
      <w:bookmarkStart w:name="26-燃烧室容积（vc）" w:id="1"/>
      <w:r>
        <w:t xml:space="preserve">26. 燃烧室容积（Vc）</w:t>
      </w:r>
      <w:bookmarkEnd w:id="1"/>
    </w:p>
    <w:p>
      <w:r>
        <w:t xml:space="preserve">活塞在上止点时，活塞顶与气缸盖之间的空间容积。</w:t>
      </w:r>
    </w:p>
    <w:p>
      <w:pPr>
        <w:pStyle w:val="Heading2"/>
      </w:pPr>
      <w:bookmarkStart w:name="27-气门重叠" w:id="1"/>
      <w:r>
        <w:t xml:space="preserve">27. 气门重叠</w:t>
      </w:r>
      <w:bookmarkEnd w:id="1"/>
    </w:p>
    <w:p>
      <w:r>
        <w:t xml:space="preserve">进气门在上止点前开启、排气门在上止点后关闭，进排气门同时开启的现象。</w:t>
      </w:r>
    </w:p>
    <w:p>
      <w:pPr>
        <w:pStyle w:val="Heading2"/>
      </w:pPr>
      <w:bookmarkStart w:name="28-点火提前角" w:id="1"/>
      <w:r>
        <w:t xml:space="preserve">28. 点火提前角</w:t>
      </w:r>
      <w:bookmarkEnd w:id="1"/>
    </w:p>
    <w:p>
      <w:r>
        <w:t xml:space="preserve">火花塞跳火时刻至活塞到达上止点期间的曲轴转角。</w:t>
      </w:r>
    </w:p>
    <w:p>
      <w:pPr>
        <w:pStyle w:val="Heading2"/>
      </w:pPr>
      <w:bookmarkStart w:name="29-半轴" w:id="1"/>
      <w:r>
        <w:t xml:space="preserve">29. 半轴</w:t>
      </w:r>
      <w:bookmarkEnd w:id="1"/>
    </w:p>
    <w:p>
      <w:r>
        <w:t xml:space="preserve">连接差速器与驱动轮，传递转矩的实心轴，内花键与半轴齿轮啮合，外凸缘连接轮毂。</w:t>
      </w:r>
    </w:p>
    <w:p>
      <w:pPr>
        <w:pStyle w:val="Heading2"/>
      </w:pPr>
      <w:bookmarkStart w:name="30-发动机排量（vl）" w:id="1"/>
      <w:r>
        <w:t xml:space="preserve">30. 发动机排量（VL）</w:t>
      </w:r>
      <w:bookmarkEnd w:id="1"/>
    </w:p>
    <w:p>
      <w:r>
        <w:t xml:space="preserve">多缸发动机各气缸工作容积之和，单位为L或mL。</w:t>
      </w:r>
    </w:p>
    <w:p>
      <w:pPr>
        <w:pStyle w:val="Heading2"/>
      </w:pPr>
      <w:bookmarkStart w:name="31-配气相位" w:id="1"/>
      <w:r>
        <w:t xml:space="preserve">31. 配气相位</w:t>
      </w:r>
      <w:bookmarkEnd w:id="1"/>
    </w:p>
    <w:p>
      <w:r>
        <w:t xml:space="preserve">用曲轴转角表示的进排气门实际开闭时刻和持续时间，又称配气定时。</w:t>
      </w:r>
    </w:p>
    <w:p>
      <w:pPr>
        <w:pStyle w:val="Heading2"/>
      </w:pPr>
      <w:bookmarkStart w:name="32-充气效率（ηv）" w:id="1"/>
      <w:r>
        <w:t xml:space="preserve">32. 充气效率（ηv）</w:t>
      </w:r>
      <w:bookmarkEnd w:id="1"/>
    </w:p>
    <w:p>
      <w:r>
        <w:t xml:space="preserve">进气行程中实际进入气缸的新鲜气体质量与理论最大进气质量的比值。</w:t>
      </w:r>
    </w:p>
    <w:p>
      <w:pPr>
        <w:pStyle w:val="Heading2"/>
      </w:pPr>
      <w:bookmarkStart w:name="33-主减速器" w:id="1"/>
      <w:r>
        <w:t xml:space="preserve">33. 主减速器</w:t>
      </w:r>
      <w:bookmarkEnd w:id="1"/>
    </w:p>
    <w:p>
      <w:r>
        <w:t xml:space="preserve">降低转速、增大转矩，并改变转矩传递方向的齿轮传动装置。</w:t>
      </w:r>
    </w:p>
    <w:p>
      <w:pPr>
        <w:pStyle w:val="Heading2"/>
      </w:pPr>
      <w:bookmarkStart w:name="34-转向驱动桥" w:id="1"/>
      <w:r>
        <w:t xml:space="preserve">34. 转向驱动桥</w:t>
      </w:r>
      <w:bookmarkEnd w:id="1"/>
    </w:p>
    <w:p>
      <w:r>
        <w:t xml:space="preserve">兼具转向和驱动功能的车桥，如前桥（四驱车）。</w:t>
      </w:r>
    </w:p>
    <w:p>
      <w:pPr>
        <w:pStyle w:val="Heading2"/>
      </w:pPr>
      <w:bookmarkStart w:name="35-主销后倾" w:id="1"/>
      <w:r>
        <w:t xml:space="preserve">35. 主销后倾</w:t>
      </w:r>
      <w:bookmarkEnd w:id="1"/>
    </w:p>
    <w:p>
      <w:r>
        <w:t xml:space="preserve">主销轴线在纵向平面内上端后倾，形成后倾角，提供转向回正力矩。</w:t>
      </w:r>
    </w:p>
    <w:p>
      <w:pPr>
        <w:pStyle w:val="Heading2"/>
      </w:pPr>
      <w:bookmarkStart w:name="36-上止点" w:id="1"/>
      <w:r>
        <w:t xml:space="preserve">36. 上止点</w:t>
      </w:r>
      <w:bookmarkEnd w:id="1"/>
    </w:p>
    <w:p>
      <w:r>
        <w:t xml:space="preserve">活塞顶部距曲轴中心的最远位置，即活塞上行最高点。</w:t>
      </w:r>
    </w:p>
    <w:p>
      <w:pPr>
        <w:pStyle w:val="Heading2"/>
      </w:pPr>
      <w:bookmarkStart w:name="37-压缩比（ε）" w:id="1"/>
      <w:r>
        <w:t xml:space="preserve">37. 压缩比（ε）</w:t>
      </w:r>
      <w:bookmarkEnd w:id="1"/>
    </w:p>
    <w:p>
      <w:r>
        <w:t xml:space="preserve">气缸总容积与燃烧室容积的比值，反映气体压缩程度。</w:t>
      </w:r>
    </w:p>
    <w:p>
      <w:pPr>
        <w:pStyle w:val="Heading2"/>
      </w:pPr>
      <w:bookmarkStart w:name="38-喷油提前角" w:id="1"/>
      <w:r>
        <w:t xml:space="preserve">38. 喷油提前角</w:t>
      </w:r>
      <w:bookmarkEnd w:id="1"/>
    </w:p>
    <w:p>
      <w:r>
        <w:t xml:space="preserve">喷油器开始喷油至活塞到达上止点期间的曲轴转角。</w:t>
      </w:r>
    </w:p>
    <w:p>
      <w:pPr>
        <w:pStyle w:val="Heading2"/>
      </w:pPr>
      <w:bookmarkStart w:name="39-转向系角传动比" w:id="1"/>
      <w:r>
        <w:t xml:space="preserve">39. 转向系角传动比</w:t>
      </w:r>
      <w:bookmarkEnd w:id="1"/>
    </w:p>
    <w:p>
      <w:r>
        <w:t xml:space="preserve">转向盘转角增量与同侧转向轮转角增量的比值，等于转向器角传动比与传动机构角传动比的乘积。</w:t>
      </w:r>
    </w:p>
    <w:p>
      <w:pPr>
        <w:pStyle w:val="Heading2"/>
      </w:pPr>
      <w:bookmarkStart w:name="40-空燃比（a/f）" w:id="1"/>
      <w:r>
        <w:t xml:space="preserve">40. 空燃比（A/F）</w:t>
      </w:r>
      <w:bookmarkEnd w:id="1"/>
    </w:p>
    <w:p>
      <w:r>
        <w:t xml:space="preserve">进入发动机的空气质量与燃油质量的比值，理论空燃比约为14.7:1（汽油）。</w:t>
      </w:r>
    </w:p>
    <w:p>
      <w:pPr>
        <w:pStyle w:val="Heading2"/>
      </w:pPr>
      <w:bookmarkStart w:name="41-燃油消耗率（b）" w:id="1"/>
      <w:r>
        <w:t xml:space="preserve">41. 燃油消耗率（b）</w:t>
      </w:r>
      <w:bookmarkEnd w:id="1"/>
    </w:p>
    <w:p>
      <w:r>
        <w:t xml:space="preserve">发动机每输出1kW·h有效功所消耗的燃油质量，单位为g/(kW·h)。</w:t>
      </w:r>
    </w:p>
    <w:p>
      <w:pPr>
        <w:pStyle w:val="Heading2"/>
      </w:pPr>
      <w:bookmarkStart w:name="42-发动机速度特性" w:id="1"/>
      <w:r>
        <w:t xml:space="preserve">42. 发动机速度特性</w:t>
      </w:r>
      <w:bookmarkEnd w:id="1"/>
    </w:p>
    <w:p>
      <w:r>
        <w:t xml:space="preserve">发动机功率、转矩、燃油消耗率随曲轴转速变化的规律，分为外特性（节气门全开）和部分负荷特性。</w:t>
      </w:r>
    </w:p>
    <w:p>
      <w:pPr>
        <w:pStyle w:val="Heading2"/>
      </w:pPr>
      <w:bookmarkStart w:name="43-液力变矩器传动比（i）" w:id="1"/>
      <w:r>
        <w:t xml:space="preserve">43. 液力变矩器传动比（i）</w:t>
      </w:r>
      <w:bookmarkEnd w:id="1"/>
    </w:p>
    <w:p>
      <w:r>
        <w:t xml:space="preserve">涡轮转速与泵轮转速的比值，i=nt/np。</w:t>
      </w:r>
    </w:p>
    <w:p>
      <w:pPr>
        <w:pStyle w:val="Heading2"/>
      </w:pPr>
      <w:bookmarkStart w:name="44-主销内倾" w:id="1"/>
      <w:r>
        <w:t xml:space="preserve">44. 主销内倾</w:t>
      </w:r>
      <w:bookmarkEnd w:id="1"/>
    </w:p>
    <w:p>
      <w:r>
        <w:t xml:space="preserve">主销轴线在横向平面内上端内倾，形成内倾角，使转向轻便并自动回正。</w:t>
      </w:r>
    </w:p>
    <w:p>
      <w:pPr>
        <w:pStyle w:val="Heading2"/>
      </w:pPr>
      <w:bookmarkStart w:name="45-驻车制动系" w:id="1"/>
      <w:r>
        <w:t xml:space="preserve">45. 驻车制动系</w:t>
      </w:r>
      <w:bookmarkEnd w:id="1"/>
    </w:p>
    <w:p>
      <w:r>
        <w:t xml:space="preserve">用于使停驶汽车保持不动的制动系统，通常作用于后轮或传动轴。</w:t>
      </w:r>
    </w:p>
    <w:p>
      <w:pPr>
        <w:pStyle w:val="Heading2"/>
      </w:pPr>
      <w:bookmarkStart w:name="46-车轮外倾角" w:id="1"/>
      <w:r>
        <w:t xml:space="preserve">46. 车轮外倾角</w:t>
      </w:r>
      <w:bookmarkEnd w:id="1"/>
    </w:p>
    <w:p>
      <w:r>
        <w:t xml:space="preserve">车轮中心平面与铅垂线在横向平面内的夹角，上部外倾为正外倾角。</w:t>
      </w:r>
    </w:p>
    <w:p>
      <w:pPr>
        <w:pStyle w:val="Heading2"/>
      </w:pPr>
      <w:bookmarkStart w:name="47-断开式驱动桥" w:id="1"/>
      <w:r>
        <w:t xml:space="preserve">47. 断开式驱动桥</w:t>
      </w:r>
      <w:bookmarkEnd w:id="1"/>
    </w:p>
    <w:p>
      <w:r>
        <w:t xml:space="preserve">驱动桥壳分段铰接，两侧车轮通过独立悬架与车架连接，可单独跳动的结构。</w:t>
      </w:r>
    </w:p>
    <w:p>
      <w:pPr>
        <w:pStyle w:val="Heading2"/>
      </w:pPr>
      <w:bookmarkStart w:name="48-横臂式独立悬架" w:id="1"/>
      <w:r>
        <w:t xml:space="preserve">48. 横臂式独立悬架</w:t>
      </w:r>
      <w:bookmarkEnd w:id="1"/>
    </w:p>
    <w:p>
      <w:r>
        <w:t xml:space="preserve">车轮在横向平面内摆动的独立悬架，分为单横臂和双横臂式。</w:t>
      </w:r>
    </w:p>
    <w:p>
      <w:pPr>
        <w:pStyle w:val="Heading2"/>
      </w:pPr>
      <w:bookmarkStart w:name="49-转向盘自由行程" w:id="1"/>
      <w:r>
        <w:t xml:space="preserve">49. 转向盘自由行程</w:t>
      </w:r>
      <w:bookmarkEnd w:id="1"/>
    </w:p>
    <w:p>
      <w:r>
        <w:t xml:space="preserve">转向盘空转阶段（未带动转向轮偏转）的角行程，用于缓和路面冲击。</w:t>
      </w:r>
    </w:p>
    <w:p>
      <w:pPr>
        <w:pStyle w:val="Heading2"/>
      </w:pPr>
      <w:bookmarkStart w:name="50-供油特性" w:id="1"/>
      <w:r>
        <w:t xml:space="preserve">50. 供油特性</w:t>
      </w:r>
      <w:bookmarkEnd w:id="1"/>
    </w:p>
    <w:p>
      <w:r>
        <w:t xml:space="preserve">喷油泵每循环供油量随凸轮轴转角的变化规律，理想状态为“前期少、中期多、后期少”。</w:t>
      </w:r>
    </w:p>
    <w:p>
      <w:pPr>
        <w:pStyle w:val="Heading2"/>
      </w:pPr>
      <w:bookmarkStart w:name="51-飞溅润滑" w:id="1"/>
      <w:r>
        <w:t xml:space="preserve">51. 飞溅润滑</w:t>
      </w:r>
      <w:bookmarkEnd w:id="1"/>
    </w:p>
    <w:p>
      <w:r>
        <w:t xml:space="preserve">利用运动零件飞溅的油滴或油雾润滑摩擦表面的非压力润滑方式。</w:t>
      </w:r>
    </w:p>
    <w:p>
      <w:pPr>
        <w:pStyle w:val="Heading2"/>
      </w:pPr>
      <w:bookmarkStart w:name="52-可燃混合气" w:id="1"/>
      <w:r>
        <w:t xml:space="preserve">52. 可燃混合气</w:t>
      </w:r>
      <w:bookmarkEnd w:id="1"/>
    </w:p>
    <w:p>
      <w:r>
        <w:t xml:space="preserve">空气与燃油按一定比例混合形成的具有燃烧能力的气体混合物。</w:t>
      </w:r>
    </w:p>
    <w:p>
      <w:pPr>
        <w:pStyle w:val="Heading2"/>
      </w:pPr>
      <w:bookmarkStart w:name="53-万向节" w:id="1"/>
      <w:r>
        <w:t xml:space="preserve">53. 万向节</w:t>
      </w:r>
      <w:bookmarkEnd w:id="1"/>
    </w:p>
    <w:p>
      <w:r>
        <w:t xml:space="preserve">实现变角度动力传递的部件，用于轴线相交或相对位置变化的传动场景。</w:t>
      </w:r>
    </w:p>
    <w:p>
      <w:pPr>
        <w:pStyle w:val="Heading2"/>
      </w:pPr>
      <w:bookmarkStart w:name="54-差速器" w:id="1"/>
      <w:r>
        <w:t xml:space="preserve">54. 差速器</w:t>
      </w:r>
      <w:bookmarkEnd w:id="1"/>
    </w:p>
    <w:p>
      <w:r>
        <w:t xml:space="preserve">使左右驱动轮能以不同转速旋转的装置，保证车轮纯滚动。</w:t>
      </w:r>
    </w:p>
    <w:p>
      <w:pPr>
        <w:pStyle w:val="Heading2"/>
      </w:pPr>
      <w:bookmarkStart w:name="55-怠速工况" w:id="1"/>
      <w:r>
        <w:t xml:space="preserve">55. 怠速工况</w:t>
      </w:r>
      <w:bookmarkEnd w:id="1"/>
    </w:p>
    <w:p>
      <w:r>
        <w:t xml:space="preserve">发动机无负载运转状态：离合器接合，变速箱空挡，油门踏板完全松开。</w:t>
      </w:r>
    </w:p>
    <w:p>
      <w:pPr>
        <w:pStyle w:val="Heading2"/>
      </w:pPr>
      <w:bookmarkStart w:name="56-无级变速器（cvt）" w:id="1"/>
      <w:r>
        <w:t xml:space="preserve">56. 无级变速器（CVT）</w:t>
      </w:r>
      <w:bookmarkEnd w:id="1"/>
    </w:p>
    <w:p>
      <w:r>
        <w:t xml:space="preserve">通过传动带和可变直径带轮实现传动比连续变化的变速器，简称CVT。</w:t>
      </w:r>
    </w:p>
    <w:p>
      <w:pPr>
        <w:pStyle w:val="Heading2"/>
      </w:pPr>
      <w:bookmarkStart w:name="57-中央制动器" w:id="1"/>
      <w:r>
        <w:t xml:space="preserve">57. 中央制动器</w:t>
      </w:r>
      <w:bookmarkEnd w:id="1"/>
    </w:p>
    <w:p>
      <w:r>
        <w:t xml:space="preserve">安装在变速器或分动器之后传动轴上的驻车制动器，又称中央驻车制动。</w:t>
      </w:r>
    </w:p>
    <w:p>
      <w:pPr>
        <w:pStyle w:val="Heading2"/>
      </w:pPr>
      <w:bookmarkStart w:name="58-可逆式转向器" w:id="1"/>
      <w:r>
        <w:t xml:space="preserve">58. 可逆式转向器</w:t>
      </w:r>
      <w:bookmarkEnd w:id="1"/>
    </w:p>
    <w:p>
      <w:r>
        <w:t xml:space="preserve">既能将转向力矩由转向盘传至转向轮，又能将路面冲击反传至转向盘的转向器。</w:t>
      </w:r>
    </w:p>
    <w:p>
      <w:pPr>
        <w:pStyle w:val="Heading2"/>
      </w:pPr>
      <w:bookmarkStart w:name="59-离合器踏板自由行程" w:id="1"/>
      <w:r>
        <w:t xml:space="preserve">59. 离合器踏板自由行程</w:t>
      </w:r>
      <w:bookmarkEnd w:id="1"/>
    </w:p>
    <w:p>
      <w:r>
        <w:t xml:space="preserve">消除分离轴承与分离杠杆间隙所需的踏板行程，避免离合器打滑。</w:t>
      </w:r>
    </w:p>
    <w:p>
      <w:pPr>
        <w:pStyle w:val="Heading2"/>
      </w:pPr>
      <w:bookmarkStart w:name="60-冷却水小循环" w:id="1"/>
      <w:r>
        <w:t xml:space="preserve">60. 冷却水小循环</w:t>
      </w:r>
      <w:bookmarkEnd w:id="1"/>
    </w:p>
    <w:p>
      <w:r>
        <w:t xml:space="preserve">当水温低于76℃时，冷却水经节温器旁通阀直接流回水泵的循环路径。</w:t>
      </w:r>
    </w:p>
    <w:p>
      <w:pPr>
        <w:pStyle w:val="Heading2"/>
      </w:pPr>
      <w:bookmarkStart w:name="61-统一式燃烧室" w:id="1"/>
      <w:r>
        <w:t xml:space="preserve">61. 统一式燃烧室</w:t>
      </w:r>
      <w:bookmarkEnd w:id="1"/>
    </w:p>
    <w:p>
      <w:r>
        <w:t xml:space="preserve">由气缸盖底面、活塞顶凹坑和气缸壁组成的单一空间燃烧室，常见于汽油机。</w:t>
      </w:r>
    </w:p>
    <w:p>
      <w:pPr>
        <w:pStyle w:val="Heading2"/>
      </w:pPr>
      <w:bookmarkStart w:name="62-动力转向系" w:id="1"/>
      <w:r>
        <w:t xml:space="preserve">62. 动力转向系</w:t>
      </w:r>
      <w:bookmarkEnd w:id="1"/>
    </w:p>
    <w:p>
      <w:r>
        <w:t xml:space="preserve">在机械转向系基础上增加液压或电动助力装置的转向系统。</w:t>
      </w:r>
    </w:p>
    <w:p>
      <w:pPr>
        <w:pStyle w:val="Heading2"/>
      </w:pPr>
      <w:bookmarkStart w:name="63-汽车总质量" w:id="1"/>
      <w:r>
        <w:t xml:space="preserve">63. 汽车总质量</w:t>
      </w:r>
      <w:bookmarkEnd w:id="1"/>
    </w:p>
    <w:p>
      <w:r>
        <w:t xml:space="preserve">汽车满载（乘员、货物、燃油等）时的总重量，单位为kg。</w:t>
      </w:r>
    </w:p>
    <w:p>
      <w:pPr>
        <w:pStyle w:val="Heading2"/>
      </w:pPr>
      <w:bookmarkStart w:name="64-冲程" w:id="1"/>
      <w:r>
        <w:t xml:space="preserve">64. 冲程</w:t>
      </w:r>
      <w:bookmarkEnd w:id="1"/>
    </w:p>
    <w:p>
      <w:r>
        <w:t xml:space="preserve">活塞在气缸中从上止点到下止点或下止点到上止点的一次往复运动。</w:t>
      </w:r>
    </w:p>
    <w:p>
      <w:pPr>
        <w:pStyle w:val="Heading2"/>
      </w:pPr>
      <w:bookmarkStart w:name="65-燃料热值" w:id="1"/>
      <w:r>
        <w:t xml:space="preserve">65. 燃料热值</w:t>
      </w:r>
      <w:bookmarkEnd w:id="1"/>
    </w:p>
    <w:p>
      <w:r>
        <w:t xml:space="preserve">1kg燃料完全燃烧释放的热量，单位为kJ/kg，分高热值和低热值。</w:t>
      </w:r>
    </w:p>
    <w:p>
      <w:pPr>
        <w:pStyle w:val="Heading2"/>
      </w:pPr>
      <w:bookmarkStart w:name="66-备燃期（滞燃期）" w:id="1"/>
      <w:r>
        <w:t xml:space="preserve">66. 备燃期（滞燃期）</w:t>
      </w:r>
      <w:bookmarkEnd w:id="1"/>
    </w:p>
    <w:p>
      <w:r>
        <w:t xml:space="preserve">柴油喷入燃烧室到开始燃烧的间隔时间，用曲轴转角表示。</w:t>
      </w:r>
    </w:p>
    <w:p>
      <w:pPr>
        <w:pStyle w:val="Heading2"/>
      </w:pPr>
      <w:bookmarkStart w:name="67-加速阻力（fj）" w:id="1"/>
      <w:r>
        <w:t xml:space="preserve">67. 加速阻力（Fj）</w:t>
      </w:r>
      <w:bookmarkEnd w:id="1"/>
    </w:p>
    <w:p>
      <w:r>
        <w:t xml:space="preserve">汽车加速时，由质量惯性产生的阻碍运动的力，Fj=δ·m·a（δ为旋转质量换算系数）。</w:t>
      </w:r>
    </w:p>
    <w:p>
      <w:pPr>
        <w:pStyle w:val="Heading2"/>
      </w:pPr>
      <w:bookmarkStart w:name="68-充气系数（同“充气效率”）" w:id="1"/>
      <w:r>
        <w:t xml:space="preserve">68. 充气系数（同“充气效率”）</w:t>
      </w:r>
      <w:bookmarkEnd w:id="1"/>
    </w:p>
    <w:p>
      <w:r>
        <w:t xml:space="preserve">实际进气质量与理论进气质量的比值，反映气缸进气充分程度。</w:t>
      </w:r>
    </w:p>
    <w:p>
      <w:pPr>
        <w:pStyle w:val="Heading2"/>
      </w:pPr>
      <w:bookmarkStart w:name="69-发动机外特性" w:id="1"/>
      <w:r>
        <w:t xml:space="preserve">69. 发动机外特性</w:t>
      </w:r>
      <w:bookmarkEnd w:id="1"/>
    </w:p>
    <w:p>
      <w:r>
        <w:t xml:space="preserve">节气门全开时，发动机功率、转矩、燃油消耗率随转速变化的特性曲线，又称总功率特性。</w:t>
      </w:r>
    </w:p>
    <w:p>
      <w:pPr>
        <w:pStyle w:val="Heading2"/>
      </w:pPr>
      <w:bookmarkStart w:name="70-膜片弹簧" w:id="1"/>
      <w:r>
        <w:t xml:space="preserve">70. 膜片弹簧</w:t>
      </w:r>
      <w:bookmarkEnd w:id="1"/>
    </w:p>
    <w:p>
      <w:r>
        <w:t xml:space="preserve">由薄钢板制成的碟形弹簧，中心径向槽形成弹性杠杆，兼具压紧和分离离合器的功能。</w:t>
      </w:r>
    </w:p>
    <w:p>
      <w:pPr>
        <w:pStyle w:val="Heading2"/>
      </w:pPr>
      <w:bookmarkStart w:name="修正要点说明：" w:id="1"/>
      <w:r>
        <w:t xml:space="preserve">修正要点说明：</w:t>
      </w:r>
      <w:bookmarkEnd w:id="1"/>
    </w:p>
    <w:p>
      <w:pPr>
        <w:pStyle w:val="ListParagraph"/>
        <w:pStyle w:val="ListParagraph"/>
        <w:numPr>
          <w:ilvl w:val="0"/>
          <w:numId w:val="1"/>
        </w:numPr>
        <w:numPr>
          <w:ilvl w:val="0"/>
          <w:numId w:val="2"/>
        </w:numPr>
      </w:pPr>
      <w:r>
        <w:rPr>
          <w:b/>
          <w:bCs/>
        </w:rPr>
        <w:t xml:space="preserve">术语标准化</w:t>
      </w:r>
      <w:r>
        <w:t xml:space="preserve">：</w:t>
      </w:r>
    </w:p>
    <w:p>
      <w:pPr>
        <w:pStyle w:val="ListParagraph"/>
        <w:pStyle w:val="ListParagraph"/>
        <w:numPr>
          <w:ilvl w:val="1"/>
          <w:numId w:val="1"/>
        </w:numPr>
        <w:numPr>
          <w:ilvl w:val="1"/>
          <w:numId w:val="3"/>
        </w:numPr>
      </w:pPr>
      <w:r>
        <w:t xml:space="preserve">统一“空燃比”“配气相位”等术语，纠正“空然比”“配器相位”等拼写错误；</w:t>
      </w:r>
    </w:p>
    <w:p>
      <w:pPr>
        <w:pStyle w:val="ListParagraph"/>
        <w:pStyle w:val="ListParagraph"/>
        <w:numPr>
          <w:ilvl w:val="1"/>
          <w:numId w:val="1"/>
        </w:numPr>
        <w:numPr>
          <w:ilvl w:val="1"/>
          <w:numId w:val="3"/>
        </w:numPr>
      </w:pPr>
      <w:r>
        <w:t xml:space="preserve">“转向前臂”修正为“转向节臂”，“分泵”明确为“喷油泵分泵”（柱塞泵单元）。</w:t>
      </w:r>
    </w:p>
    <w:p>
      <w:pPr>
        <w:pStyle w:val="ListParagraph"/>
        <w:pStyle w:val="ListParagraph"/>
        <w:numPr>
          <w:ilvl w:val="0"/>
          <w:numId w:val="1"/>
        </w:numPr>
        <w:numPr>
          <w:ilvl w:val="0"/>
          <w:numId w:val="2"/>
        </w:numPr>
      </w:pPr>
      <w:r>
        <w:rPr>
          <w:b/>
          <w:bCs/>
        </w:rPr>
        <w:t xml:space="preserve">定义精确化</w:t>
      </w:r>
      <w:r>
        <w:t xml:space="preserve">：</w:t>
      </w:r>
    </w:p>
    <w:p>
      <w:pPr>
        <w:pStyle w:val="ListParagraph"/>
        <w:pStyle w:val="ListParagraph"/>
        <w:numPr>
          <w:ilvl w:val="1"/>
          <w:numId w:val="1"/>
        </w:numPr>
        <w:numPr>
          <w:ilvl w:val="1"/>
          <w:numId w:val="3"/>
        </w:numPr>
      </w:pPr>
      <w:r>
        <w:t xml:space="preserve">补充“过量空气系数”“燃油消耗率”等的单位和物理意义；</w:t>
      </w:r>
    </w:p>
    <w:p>
      <w:pPr>
        <w:pStyle w:val="ListParagraph"/>
        <w:pStyle w:val="ListParagraph"/>
        <w:numPr>
          <w:ilvl w:val="1"/>
          <w:numId w:val="1"/>
        </w:numPr>
        <w:numPr>
          <w:ilvl w:val="1"/>
          <w:numId w:val="3"/>
        </w:numPr>
      </w:pPr>
      <w:r>
        <w:t xml:space="preserve">明确“车轮前束”“主销后倾”等的几何关系，避免歧义。</w:t>
      </w:r>
    </w:p>
    <w:p>
      <w:pPr>
        <w:pStyle w:val="ListParagraph"/>
        <w:pStyle w:val="ListParagraph"/>
        <w:numPr>
          <w:ilvl w:val="0"/>
          <w:numId w:val="1"/>
        </w:numPr>
        <w:numPr>
          <w:ilvl w:val="0"/>
          <w:numId w:val="2"/>
        </w:numPr>
      </w:pPr>
      <w:r>
        <w:rPr>
          <w:b/>
          <w:bCs/>
        </w:rPr>
        <w:t xml:space="preserve">结构完整性</w:t>
      </w:r>
      <w:r>
        <w:t xml:space="preserve">：</w:t>
      </w:r>
    </w:p>
    <w:p>
      <w:pPr>
        <w:pStyle w:val="ListParagraph"/>
        <w:pStyle w:val="ListParagraph"/>
        <w:numPr>
          <w:ilvl w:val="1"/>
          <w:numId w:val="1"/>
        </w:numPr>
        <w:numPr>
          <w:ilvl w:val="1"/>
          <w:numId w:val="3"/>
        </w:numPr>
      </w:pPr>
      <w:r>
        <w:t xml:space="preserve">修正“转向梯形机构”的组成部件（增加转向节臂）；</w:t>
      </w:r>
    </w:p>
    <w:p>
      <w:pPr>
        <w:pStyle w:val="ListParagraph"/>
        <w:pStyle w:val="ListParagraph"/>
        <w:numPr>
          <w:ilvl w:val="1"/>
          <w:numId w:val="1"/>
        </w:numPr>
        <w:numPr>
          <w:ilvl w:val="1"/>
          <w:numId w:val="3"/>
        </w:numPr>
      </w:pPr>
      <w:r>
        <w:t xml:space="preserve">补充“加速阻力”的计算公式要素（旋转质量换算系数δ）。</w:t>
      </w:r>
    </w:p>
    <w:p>
      <w:pPr>
        <w:pStyle w:val="ListParagraph"/>
        <w:pStyle w:val="ListParagraph"/>
        <w:numPr>
          <w:ilvl w:val="0"/>
          <w:numId w:val="1"/>
        </w:numPr>
        <w:numPr>
          <w:ilvl w:val="0"/>
          <w:numId w:val="2"/>
        </w:numPr>
      </w:pPr>
      <w:r>
        <w:rPr>
          <w:b/>
          <w:bCs/>
        </w:rPr>
        <w:t xml:space="preserve">行业规范统一</w:t>
      </w:r>
      <w:r>
        <w:t xml:space="preserve">：</w:t>
      </w:r>
    </w:p>
    <w:p>
      <w:pPr>
        <w:pStyle w:val="ListParagraph"/>
        <w:pStyle w:val="ListParagraph"/>
        <w:numPr>
          <w:ilvl w:val="1"/>
          <w:numId w:val="1"/>
        </w:numPr>
        <w:numPr>
          <w:ilvl w:val="1"/>
          <w:numId w:val="3"/>
        </w:numPr>
      </w:pPr>
      <w:r>
        <w:t xml:space="preserve">采用“有效转矩”替代“有效转矩”的重复表述；</w:t>
      </w:r>
    </w:p>
    <w:p>
      <w:pPr>
        <w:pStyle w:val="ListParagraph"/>
        <w:pStyle w:val="ListParagraph"/>
        <w:numPr>
          <w:ilvl w:val="1"/>
          <w:numId w:val="1"/>
        </w:numPr>
        <w:numPr>
          <w:ilvl w:val="1"/>
          <w:numId w:val="3"/>
        </w:numPr>
      </w:pPr>
      <w:r>
        <w:t xml:space="preserve">按GB/T 3730.1-2001汽车术语标准调整定义逻辑，如“汽车”的动力装置描述。</w:t>
      </w:r>
    </w:p>
    <w:p>
      <w:r>
        <w:t xml:space="preserve">如需进一步按特定教材或标准调整表述，可提供具体参考依据以优化定义。</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pPr>
    </w:lvl>
    <w:lvl w:ilvl="1" w15:tentative="1">
      <w:start w:val="1"/>
      <w:numFmt w:val="decimal"/>
      <w:lvlText w:val="%1.%2."/>
      <w:lvlJc w:val="start"/>
      <w:pPr>
        <w:ind w:left="936"/>
      </w:pPr>
    </w:lvl>
    <w:lvl w:ilvl="2" w15:tentative="1">
      <w:start w:val="1"/>
      <w:numFmt w:val="decimal"/>
      <w:lvlText w:val="%1.%2.%3."/>
      <w:lvlJc w:val="start"/>
      <w:pPr>
        <w:ind w:left="1296"/>
      </w:pPr>
    </w:lvl>
    <w:lvl w:ilvl="3" w15:tentative="1">
      <w:start w:val="1"/>
      <w:numFmt w:val="decimal"/>
      <w:lvlText w:val="%1.%2.%3.%4."/>
      <w:lvlJc w:val="start"/>
      <w:pPr>
        <w:ind w:left="1655"/>
      </w:pPr>
    </w:lvl>
    <w:lvl w:ilvl="4" w15:tentative="1">
      <w:start w:val="1"/>
      <w:numFmt w:val="upperLetter"/>
      <w:lvlText w:val="%5."/>
      <w:lvlJc w:val="start"/>
      <w:pPr>
        <w:ind w:left="2015"/>
      </w:pPr>
    </w:lvl>
    <w:lvl w:ilvl="5" w15:tentative="1">
      <w:start w:val="1"/>
      <w:numFmt w:val="lowerLetter"/>
      <w:lvlText w:val="%6."/>
      <w:lvlJc w:val="start"/>
      <w:pPr>
        <w:ind w:left="2376"/>
      </w:pPr>
    </w:lvl>
    <w:lvl w:ilvl="6" w15:tentative="1">
      <w:start w:val="1"/>
      <w:numFmt w:val="lowerRoman"/>
      <w:lvlText w:val="%7."/>
      <w:lvlJc w:val="start"/>
      <w:pPr>
        <w:ind w:left="2736"/>
      </w:pPr>
    </w:lvl>
    <w:lvl w:ilvl="7" w15:tentative="1">
      <w:start w:val="1"/>
      <w:numFmt w:val="upperRoman"/>
      <w:lvlText w:val="%8."/>
      <w:lvlJc w:val="start"/>
      <w:pPr>
        <w:ind w:left="3096"/>
      </w:pPr>
    </w:lvl>
  </w:abstractNum>
  <w:abstractNum w:abstractNumId="3" w15:restartNumberingAfterBreak="0">
    <w:multiLevelType w:val="hybridMultilevel"/>
    <w:lvl w:ilvl="0" w15:tentative="1">
      <w:start w:val="1"/>
      <w:numFmt w:val="bullet"/>
      <w:lvlText w:val="●"/>
      <w:lvlJc w:val="start"/>
      <w:pPr>
        <w:ind w:left="576"/>
      </w:pPr>
    </w:lvl>
    <w:lvl w:ilvl="1" w15:tentative="1">
      <w:start w:val="1"/>
      <w:numFmt w:val="bullet"/>
      <w:lvlText w:val="○"/>
      <w:lvlJc w:val="start"/>
      <w:pPr>
        <w:ind w:left="936"/>
      </w:pPr>
    </w:lvl>
    <w:lvl w:ilvl="2" w15:tentative="1">
      <w:start w:val="1"/>
      <w:numFmt w:val="bullet"/>
      <w:lvlText w:val="■"/>
      <w:lvlJc w:val="start"/>
      <w:pPr>
        <w:ind w:left="1296"/>
      </w:pPr>
    </w:lvl>
    <w:lvl w:ilvl="3" w15:tentative="1">
      <w:start w:val="1"/>
      <w:numFmt w:val="bullet"/>
      <w:lvlText w:val="◆"/>
      <w:lvlJc w:val="start"/>
      <w:pPr>
        <w:ind w:left="1655"/>
      </w:pPr>
    </w:lvl>
    <w:lvl w:ilvl="4" w15:tentative="1">
      <w:start w:val="1"/>
      <w:numFmt w:val="bullet"/>
      <w:lvlText w:val="▶"/>
      <w:lvlJc w:val="start"/>
      <w:pPr>
        <w:ind w:left="2015"/>
      </w:pPr>
    </w:lvl>
    <w:lvl w:ilvl="5" w15:tentative="1">
      <w:start w:val="1"/>
      <w:numFmt w:val="bullet"/>
      <w:lvlText w:val="◉"/>
      <w:lvlJc w:val="start"/>
      <w:pPr>
        <w:ind w:left="2376"/>
      </w:pPr>
    </w:lvl>
    <w:lvl w:ilvl="6" w15:tentative="1">
      <w:start w:val="1"/>
      <w:numFmt w:val="bullet"/>
      <w:lvlText w:val="⬤"/>
      <w:lvlJc w:val="start"/>
      <w:pPr>
        <w:ind w:left="2736"/>
      </w:pPr>
    </w:lvl>
    <w:lvl w:ilvl="7" w15:tentative="1">
      <w:start w:val="1"/>
      <w:numFmt w:val="bullet"/>
      <w:lvlText w:val="♦"/>
      <w:lvlJc w:val="start"/>
      <w:pPr>
        <w:ind w:left="309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240" w:after="240"/>
    </w:pPr>
    <w:rPr>
      <w:b/>
      <w:bCs/>
      <w:sz w:val="64"/>
      <w:szCs w:val="64"/>
    </w:rPr>
  </w:style>
  <w:style w:type="paragraph" w:styleId="Heading1">
    <w:name w:val="Heading 1"/>
    <w:basedOn w:val="Normal"/>
    <w:next w:val="Normal"/>
    <w:qFormat/>
    <w:pPr>
      <w:spacing w:before="160.8" w:after="160.8"/>
    </w:pPr>
    <w:rPr>
      <w:b/>
      <w:bCs/>
      <w:sz w:val="42"/>
      <w:szCs w:val="42"/>
    </w:rPr>
  </w:style>
  <w:style w:type="paragraph" w:styleId="Heading2">
    <w:name w:val="Heading 2"/>
    <w:basedOn w:val="Normal"/>
    <w:next w:val="Normal"/>
    <w:qFormat/>
    <w:pPr>
      <w:spacing w:before="199.2" w:after="199.2"/>
    </w:pPr>
    <w:rPr>
      <w:b/>
      <w:bCs/>
      <w:sz w:val="31"/>
      <w:szCs w:val="31"/>
    </w:rPr>
  </w:style>
  <w:style w:type="paragraph" w:styleId="Heading3">
    <w:name w:val="Heading 3"/>
    <w:basedOn w:val="Normal"/>
    <w:next w:val="Normal"/>
    <w:qFormat/>
    <w:pPr>
      <w:spacing w:before="240" w:after="240"/>
    </w:pPr>
    <w:rPr>
      <w:b/>
      <w:bCs/>
      <w:sz w:val="24"/>
      <w:szCs w:val="24"/>
    </w:rPr>
  </w:style>
  <w:style w:type="paragraph" w:styleId="Heading4">
    <w:name w:val="Heading 4"/>
    <w:basedOn w:val="Normal"/>
    <w:next w:val="Normal"/>
    <w:qFormat/>
    <w:pPr>
      <w:spacing w:before="319.20000000000005" w:after="319.20000000000005"/>
    </w:pPr>
    <w:rPr>
      <w:b/>
      <w:bCs/>
      <w:sz w:val="21"/>
      <w:szCs w:val="21"/>
    </w:rPr>
  </w:style>
  <w:style w:type="paragraph" w:styleId="Heading5">
    <w:name w:val="Heading 5"/>
    <w:basedOn w:val="Normal"/>
    <w:next w:val="Normal"/>
    <w:qFormat/>
    <w:pPr>
      <w:spacing w:before="400.79999999999995" w:after="400.79999999999995"/>
    </w:pPr>
    <w:rPr>
      <w:b/>
      <w:bCs/>
      <w:sz w:val="17"/>
      <w:szCs w:val="17"/>
    </w:rPr>
  </w:style>
  <w:style w:type="paragraph" w:styleId="Heading6">
    <w:name w:val="Heading 6"/>
    <w:basedOn w:val="Normal"/>
    <w:next w:val="Normal"/>
    <w:qFormat/>
    <w:pPr>
      <w:spacing w:before="199.2" w:after="199.2"/>
    </w:pPr>
    <w:rPr>
      <w:b/>
      <w:bCs/>
      <w:sz w:val="31"/>
      <w:szCs w:val="31"/>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2025-06-19T08:41:28.542Z</dcterms:created>
  <dcterms:modified xsi:type="dcterms:W3CDTF">2025-06-19T08:41:28.542Z</dcterms:modified>
</cp:coreProperties>
</file>

<file path=docProps/custom.xml><?xml version="1.0" encoding="utf-8"?>
<Properties xmlns="http://schemas.openxmlformats.org/officeDocument/2006/custom-properties" xmlns:vt="http://schemas.openxmlformats.org/officeDocument/2006/docPropsVTypes"/>
</file>