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F45D9" w14:textId="77777777" w:rsidR="005E0B62" w:rsidRDefault="005E0B62">
      <w:pPr>
        <w:widowControl/>
        <w:jc w:val="left"/>
        <w:rPr>
          <w:rFonts w:ascii="宋体" w:eastAsia="宋体" w:hAnsi="宋体"/>
          <w:sz w:val="32"/>
          <w:szCs w:val="32"/>
        </w:rPr>
      </w:pPr>
    </w:p>
    <w:p w14:paraId="332A4CA3" w14:textId="77777777" w:rsidR="005E0B62" w:rsidRDefault="005E0B62">
      <w:pPr>
        <w:widowControl/>
        <w:jc w:val="left"/>
        <w:rPr>
          <w:rFonts w:ascii="宋体" w:eastAsia="宋体" w:hAnsi="宋体"/>
          <w:sz w:val="32"/>
          <w:szCs w:val="32"/>
        </w:rPr>
      </w:pPr>
    </w:p>
    <w:p w14:paraId="1864798E" w14:textId="77777777" w:rsidR="005E0B62" w:rsidRDefault="005E0B62">
      <w:pPr>
        <w:widowControl/>
        <w:jc w:val="left"/>
        <w:rPr>
          <w:rFonts w:ascii="宋体" w:eastAsia="宋体" w:hAnsi="宋体"/>
          <w:sz w:val="32"/>
          <w:szCs w:val="32"/>
        </w:rPr>
      </w:pPr>
    </w:p>
    <w:p w14:paraId="213CB54F" w14:textId="77777777" w:rsidR="005E0B62" w:rsidRDefault="005E0B62">
      <w:pPr>
        <w:widowControl/>
        <w:jc w:val="left"/>
        <w:rPr>
          <w:rFonts w:ascii="宋体" w:eastAsia="宋体" w:hAnsi="宋体"/>
          <w:sz w:val="32"/>
          <w:szCs w:val="32"/>
        </w:rPr>
      </w:pPr>
    </w:p>
    <w:p w14:paraId="0E8AFA97" w14:textId="77777777" w:rsidR="005E0B62" w:rsidRDefault="005E0B62">
      <w:pPr>
        <w:widowControl/>
        <w:jc w:val="left"/>
        <w:rPr>
          <w:rFonts w:ascii="宋体" w:eastAsia="宋体" w:hAnsi="宋体"/>
          <w:sz w:val="32"/>
          <w:szCs w:val="32"/>
        </w:rPr>
      </w:pPr>
    </w:p>
    <w:p w14:paraId="412E5B84" w14:textId="77777777" w:rsidR="005E0B62" w:rsidRDefault="005E0B62">
      <w:pPr>
        <w:widowControl/>
        <w:jc w:val="left"/>
        <w:rPr>
          <w:rFonts w:ascii="宋体" w:eastAsia="宋体" w:hAnsi="宋体"/>
          <w:sz w:val="32"/>
          <w:szCs w:val="32"/>
        </w:rPr>
      </w:pPr>
    </w:p>
    <w:p w14:paraId="1A3DE4E3" w14:textId="77777777" w:rsidR="005E0B62" w:rsidRDefault="005E0B62">
      <w:pPr>
        <w:widowControl/>
        <w:jc w:val="left"/>
        <w:rPr>
          <w:rFonts w:ascii="宋体" w:eastAsia="宋体" w:hAnsi="宋体"/>
          <w:sz w:val="32"/>
          <w:szCs w:val="32"/>
        </w:rPr>
      </w:pPr>
    </w:p>
    <w:p w14:paraId="51A9F4F2" w14:textId="77777777" w:rsidR="005E0B62" w:rsidRDefault="005E0B62">
      <w:pPr>
        <w:widowControl/>
        <w:jc w:val="left"/>
        <w:rPr>
          <w:rFonts w:ascii="宋体" w:eastAsia="宋体" w:hAnsi="宋体"/>
          <w:sz w:val="32"/>
          <w:szCs w:val="32"/>
        </w:rPr>
      </w:pPr>
    </w:p>
    <w:p w14:paraId="6080FD7F" w14:textId="5382880B" w:rsidR="00BA6522" w:rsidRDefault="00BA6522">
      <w:pPr>
        <w:widowControl/>
        <w:jc w:val="left"/>
        <w:rPr>
          <w:rFonts w:ascii="宋体" w:eastAsia="宋体" w:hAnsi="宋体"/>
          <w:sz w:val="32"/>
          <w:szCs w:val="32"/>
        </w:rPr>
      </w:pPr>
      <w:r w:rsidRPr="00BA6522">
        <w:rPr>
          <w:rFonts w:ascii="宋体" w:eastAsia="宋体" w:hAnsi="宋体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169C4357" wp14:editId="03D00CE4">
            <wp:simplePos x="0" y="0"/>
            <wp:positionH relativeFrom="page">
              <wp:posOffset>2021840</wp:posOffset>
            </wp:positionH>
            <wp:positionV relativeFrom="page">
              <wp:posOffset>1288705</wp:posOffset>
            </wp:positionV>
            <wp:extent cx="3564255" cy="775335"/>
            <wp:effectExtent l="0" t="0" r="0" b="5715"/>
            <wp:wrapNone/>
            <wp:docPr id="177006717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775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0B62" w:rsidRPr="00BA6522">
        <w:rPr>
          <w:rFonts w:ascii="宋体" w:eastAsia="宋体" w:hAnsi="宋体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59EF48B" wp14:editId="2B3FE76D">
                <wp:simplePos x="0" y="0"/>
                <wp:positionH relativeFrom="margin">
                  <wp:align>left</wp:align>
                </wp:positionH>
                <wp:positionV relativeFrom="paragraph">
                  <wp:posOffset>407035</wp:posOffset>
                </wp:positionV>
                <wp:extent cx="5259070" cy="5281295"/>
                <wp:effectExtent l="0" t="0" r="0" b="0"/>
                <wp:wrapSquare wrapText="bothSides"/>
                <wp:docPr id="217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28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7"/>
                              <w:tblW w:w="724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829"/>
                              <w:gridCol w:w="5415"/>
                            </w:tblGrid>
                            <w:tr w:rsidR="00BA6522" w14:paraId="1A34E328" w14:textId="77777777" w:rsidTr="004D363D">
                              <w:trPr>
                                <w:trHeight w:val="703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DF15DE1" w14:textId="77777777" w:rsidR="00BA6522" w:rsidRPr="00D565C0" w:rsidRDefault="00BA6522" w:rsidP="005D4363">
                                  <w:pPr>
                                    <w:jc w:val="right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论文题目：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32C1FDF6" w14:textId="77777777" w:rsidR="00BA6522" w:rsidRDefault="00BA6522" w:rsidP="00BA6522">
                                  <w:pPr>
                                    <w:adjustRightInd w:val="0"/>
                                    <w:snapToGrid w:val="0"/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BA6522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“</w:t>
                                  </w:r>
                                  <w:r w:rsidRPr="00BA6522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双碳”战略下汽车动力系统演变</w:t>
                                  </w:r>
                                </w:p>
                                <w:p w14:paraId="6FAB504F" w14:textId="6F3A830A" w:rsidR="00BA6522" w:rsidRPr="00BA6522" w:rsidRDefault="00BA6522" w:rsidP="00BA6522">
                                  <w:pPr>
                                    <w:adjustRightInd w:val="0"/>
                                    <w:snapToGrid w:val="0"/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BA6522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与发动机技术发展路径</w:t>
                                  </w:r>
                                </w:p>
                              </w:tc>
                            </w:tr>
                            <w:tr w:rsidR="00BA6522" w14:paraId="1B5DF5DE" w14:textId="77777777" w:rsidTr="004D363D">
                              <w:trPr>
                                <w:trHeight w:val="674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9FB4421" w14:textId="77777777" w:rsidR="00BA6522" w:rsidRPr="00D565C0" w:rsidRDefault="00BA6522" w:rsidP="005D4363">
                                  <w:pPr>
                                    <w:jc w:val="right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任课教师：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37719495" w14:textId="509EC99D" w:rsidR="00BA6522" w:rsidRPr="00D565C0" w:rsidRDefault="00BA6522" w:rsidP="005D4363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杜飞龙、</w:t>
                                  </w:r>
                                  <w:r w:rsidR="00D3720A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彭宇明</w:t>
                                  </w:r>
                                  <w:r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、唐阳、张艳斌</w:t>
                                  </w:r>
                                </w:p>
                              </w:tc>
                            </w:tr>
                            <w:tr w:rsidR="00BA6522" w14:paraId="7EF5000F" w14:textId="77777777" w:rsidTr="004D363D">
                              <w:trPr>
                                <w:trHeight w:val="703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EAE020A" w14:textId="77777777" w:rsidR="00BA6522" w:rsidRPr="00D565C0" w:rsidRDefault="00BA6522" w:rsidP="005D4363">
                                  <w:pPr>
                                    <w:jc w:val="right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学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  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院：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749122E7" w14:textId="77777777" w:rsidR="00BA6522" w:rsidRPr="00D565C0" w:rsidRDefault="00BA6522" w:rsidP="005D4363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机械工程学院</w:t>
                                  </w:r>
                                </w:p>
                              </w:tc>
                            </w:tr>
                            <w:tr w:rsidR="00BA6522" w14:paraId="743DCB75" w14:textId="77777777" w:rsidTr="004D363D">
                              <w:trPr>
                                <w:trHeight w:val="674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810414D" w14:textId="77777777" w:rsidR="00BA6522" w:rsidRPr="00D565C0" w:rsidRDefault="00BA6522" w:rsidP="005D4363">
                                  <w:pPr>
                                    <w:jc w:val="right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姓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  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名：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42A5F892" w14:textId="77777777" w:rsidR="00BA6522" w:rsidRPr="00D565C0" w:rsidRDefault="00BA6522" w:rsidP="005D4363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任铎</w:t>
                                  </w:r>
                                </w:p>
                              </w:tc>
                            </w:tr>
                            <w:tr w:rsidR="00BA6522" w14:paraId="7D14FDCA" w14:textId="77777777" w:rsidTr="004D363D">
                              <w:trPr>
                                <w:trHeight w:val="703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1B34038" w14:textId="77777777" w:rsidR="00BA6522" w:rsidRPr="00D565C0" w:rsidRDefault="00BA6522" w:rsidP="005D4363">
                                  <w:pPr>
                                    <w:jc w:val="right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学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  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号：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54B3496F" w14:textId="77777777" w:rsidR="00BA6522" w:rsidRPr="00D565C0" w:rsidRDefault="00BA6522" w:rsidP="005D4363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021111750</w:t>
                                  </w:r>
                                </w:p>
                              </w:tc>
                            </w:tr>
                            <w:tr w:rsidR="00BA6522" w14:paraId="4823F4BB" w14:textId="77777777" w:rsidTr="004D363D">
                              <w:trPr>
                                <w:trHeight w:val="674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295936C1" w14:textId="77777777" w:rsidR="00BA6522" w:rsidRPr="00D565C0" w:rsidRDefault="00BA6522" w:rsidP="005D4363">
                                  <w:pPr>
                                    <w:jc w:val="right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学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  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期：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5E965411" w14:textId="77777777" w:rsidR="00BA6522" w:rsidRPr="00D565C0" w:rsidRDefault="00BA6522" w:rsidP="005D4363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024-2025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学年度第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学期</w:t>
                                  </w:r>
                                </w:p>
                              </w:tc>
                            </w:tr>
                          </w:tbl>
                          <w:p w14:paraId="26707AA2" w14:textId="77777777" w:rsidR="00BA6522" w:rsidRDefault="00BA6522" w:rsidP="00BA6522">
                            <w:pPr>
                              <w:spacing w:line="560" w:lineRule="atLeast"/>
                              <w:ind w:leftChars="100" w:left="210" w:firstLineChars="600" w:firstLine="1260"/>
                              <w:rPr>
                                <w:rFonts w:ascii="宋体"/>
                                <w:b/>
                                <w:bCs/>
                              </w:rPr>
                            </w:pPr>
                          </w:p>
                          <w:p w14:paraId="441D6461" w14:textId="77777777" w:rsidR="00BA6522" w:rsidRDefault="00BA6522" w:rsidP="00BA6522">
                            <w:pPr>
                              <w:spacing w:line="560" w:lineRule="atLeast"/>
                              <w:rPr>
                                <w:rFonts w:ascii="宋体"/>
                                <w:b/>
                                <w:bCs/>
                              </w:rPr>
                            </w:pPr>
                          </w:p>
                          <w:p w14:paraId="36A0BAAD" w14:textId="77777777" w:rsidR="00BA6522" w:rsidRDefault="00BA6522" w:rsidP="00BA6522">
                            <w:pPr>
                              <w:spacing w:line="560" w:lineRule="atLeast"/>
                              <w:ind w:left="237" w:hangingChars="74" w:hanging="237"/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</w:rPr>
                            </w:pPr>
                            <w:r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</w:rPr>
                              <w:t>2</w:t>
                            </w:r>
                            <w:r>
                              <w:rPr>
                                <w:rFonts w:ascii="宋体"/>
                                <w:b/>
                                <w:bCs/>
                                <w:sz w:val="32"/>
                              </w:rPr>
                              <w:t>025</w:t>
                            </w:r>
                            <w:r w:rsidRPr="00F06BEF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ascii="宋体"/>
                                <w:b/>
                                <w:bCs/>
                                <w:sz w:val="32"/>
                              </w:rPr>
                              <w:t>4</w:t>
                            </w:r>
                            <w:r w:rsidRPr="00F06BEF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ascii="宋体"/>
                                <w:b/>
                                <w:bCs/>
                                <w:sz w:val="32"/>
                              </w:rPr>
                              <w:t>20</w:t>
                            </w:r>
                            <w:r w:rsidRPr="00F06BEF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</w:rPr>
                              <w:t>日</w:t>
                            </w:r>
                          </w:p>
                          <w:p w14:paraId="4F2645BB" w14:textId="77777777" w:rsidR="00BA6522" w:rsidRDefault="00BA6522" w:rsidP="00BA652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9EF48B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margin-left:0;margin-top:32.05pt;width:414.1pt;height:415.8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" filled="f" stroked="f">
                <v:textbox>
                  <w:txbxContent>
                    <w:tbl>
                      <w:tblPr>
                        <w:tblStyle w:val="a7"/>
                        <w:tblW w:w="7244" w:type="dxa"/>
                        <w:tblLook w:val="04A0" w:firstRow="1" w:lastRow="0" w:firstColumn="1" w:lastColumn="0" w:noHBand="0" w:noVBand="1"/>
                      </w:tblPr>
                      <w:tblGrid>
                        <w:gridCol w:w="1829"/>
                        <w:gridCol w:w="5415"/>
                      </w:tblGrid>
                      <w:tr w:rsidR="00BA6522" w14:paraId="1A34E328" w14:textId="77777777" w:rsidTr="004D363D">
                        <w:trPr>
                          <w:trHeight w:val="703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DF15DE1" w14:textId="77777777" w:rsidR="00BA6522" w:rsidRPr="00D565C0" w:rsidRDefault="00BA6522" w:rsidP="005D4363">
                            <w:pPr>
                              <w:jc w:val="right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论文题目：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32C1FDF6" w14:textId="77777777" w:rsidR="00BA6522" w:rsidRDefault="00BA6522" w:rsidP="00BA6522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A6522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“</w:t>
                            </w:r>
                            <w:r w:rsidRPr="00BA6522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>双碳”战略下汽车动力系统演变</w:t>
                            </w:r>
                          </w:p>
                          <w:p w14:paraId="6FAB504F" w14:textId="6F3A830A" w:rsidR="00BA6522" w:rsidRPr="00BA6522" w:rsidRDefault="00BA6522" w:rsidP="00BA6522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A6522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>与发动机技术发展路径</w:t>
                            </w:r>
                          </w:p>
                        </w:tc>
                      </w:tr>
                      <w:tr w:rsidR="00BA6522" w14:paraId="1B5DF5DE" w14:textId="77777777" w:rsidTr="004D363D">
                        <w:trPr>
                          <w:trHeight w:val="674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9FB4421" w14:textId="77777777" w:rsidR="00BA6522" w:rsidRPr="00D565C0" w:rsidRDefault="00BA6522" w:rsidP="005D4363">
                            <w:pPr>
                              <w:jc w:val="right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任课教师：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37719495" w14:textId="509EC99D" w:rsidR="00BA6522" w:rsidRPr="00D565C0" w:rsidRDefault="00BA6522" w:rsidP="005D4363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杜飞龙、</w:t>
                            </w:r>
                            <w:r w:rsidR="00D3720A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彭宇明</w:t>
                            </w:r>
                            <w:r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、唐阳、张艳斌</w:t>
                            </w:r>
                          </w:p>
                        </w:tc>
                      </w:tr>
                      <w:tr w:rsidR="00BA6522" w14:paraId="7EF5000F" w14:textId="77777777" w:rsidTr="004D363D">
                        <w:trPr>
                          <w:trHeight w:val="703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EAE020A" w14:textId="77777777" w:rsidR="00BA6522" w:rsidRPr="00D565C0" w:rsidRDefault="00BA6522" w:rsidP="005D4363">
                            <w:pPr>
                              <w:jc w:val="right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学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院：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749122E7" w14:textId="77777777" w:rsidR="00BA6522" w:rsidRPr="00D565C0" w:rsidRDefault="00BA6522" w:rsidP="005D4363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机械工程学院</w:t>
                            </w:r>
                          </w:p>
                        </w:tc>
                      </w:tr>
                      <w:tr w:rsidR="00BA6522" w14:paraId="743DCB75" w14:textId="77777777" w:rsidTr="004D363D">
                        <w:trPr>
                          <w:trHeight w:val="674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810414D" w14:textId="77777777" w:rsidR="00BA6522" w:rsidRPr="00D565C0" w:rsidRDefault="00BA6522" w:rsidP="005D4363">
                            <w:pPr>
                              <w:jc w:val="right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姓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名：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42A5F892" w14:textId="77777777" w:rsidR="00BA6522" w:rsidRPr="00D565C0" w:rsidRDefault="00BA6522" w:rsidP="005D4363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任铎</w:t>
                            </w:r>
                          </w:p>
                        </w:tc>
                      </w:tr>
                      <w:tr w:rsidR="00BA6522" w14:paraId="7D14FDCA" w14:textId="77777777" w:rsidTr="004D363D">
                        <w:trPr>
                          <w:trHeight w:val="703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1B34038" w14:textId="77777777" w:rsidR="00BA6522" w:rsidRPr="00D565C0" w:rsidRDefault="00BA6522" w:rsidP="005D4363">
                            <w:pPr>
                              <w:jc w:val="right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学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号：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54B3496F" w14:textId="77777777" w:rsidR="00BA6522" w:rsidRPr="00D565C0" w:rsidRDefault="00BA6522" w:rsidP="005D4363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>021111750</w:t>
                            </w:r>
                          </w:p>
                        </w:tc>
                      </w:tr>
                      <w:tr w:rsidR="00BA6522" w14:paraId="4823F4BB" w14:textId="77777777" w:rsidTr="004D363D">
                        <w:trPr>
                          <w:trHeight w:val="674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295936C1" w14:textId="77777777" w:rsidR="00BA6522" w:rsidRPr="00D565C0" w:rsidRDefault="00BA6522" w:rsidP="005D4363">
                            <w:pPr>
                              <w:jc w:val="right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学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期：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5E965411" w14:textId="77777777" w:rsidR="00BA6522" w:rsidRPr="00D565C0" w:rsidRDefault="00BA6522" w:rsidP="005D4363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>024-2025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学年度第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学期</w:t>
                            </w:r>
                          </w:p>
                        </w:tc>
                      </w:tr>
                    </w:tbl>
                    <w:p w14:paraId="26707AA2" w14:textId="77777777" w:rsidR="00BA6522" w:rsidRDefault="00BA6522" w:rsidP="00BA6522">
                      <w:pPr>
                        <w:spacing w:line="560" w:lineRule="atLeast"/>
                        <w:ind w:leftChars="100" w:left="210" w:firstLineChars="600" w:firstLine="1260"/>
                        <w:rPr>
                          <w:rFonts w:ascii="宋体"/>
                          <w:b/>
                          <w:bCs/>
                        </w:rPr>
                      </w:pPr>
                    </w:p>
                    <w:p w14:paraId="441D6461" w14:textId="77777777" w:rsidR="00BA6522" w:rsidRDefault="00BA6522" w:rsidP="00BA6522">
                      <w:pPr>
                        <w:spacing w:line="560" w:lineRule="atLeast"/>
                        <w:rPr>
                          <w:rFonts w:ascii="宋体"/>
                          <w:b/>
                          <w:bCs/>
                        </w:rPr>
                      </w:pPr>
                    </w:p>
                    <w:p w14:paraId="36A0BAAD" w14:textId="77777777" w:rsidR="00BA6522" w:rsidRDefault="00BA6522" w:rsidP="00BA6522">
                      <w:pPr>
                        <w:spacing w:line="560" w:lineRule="atLeast"/>
                        <w:ind w:left="237" w:hangingChars="74" w:hanging="237"/>
                        <w:jc w:val="center"/>
                        <w:rPr>
                          <w:rFonts w:ascii="宋体"/>
                          <w:b/>
                          <w:bCs/>
                          <w:sz w:val="32"/>
                        </w:rPr>
                      </w:pPr>
                      <w:r>
                        <w:rPr>
                          <w:rFonts w:ascii="宋体" w:hint="eastAsia"/>
                          <w:b/>
                          <w:bCs/>
                          <w:sz w:val="32"/>
                        </w:rPr>
                        <w:t>2</w:t>
                      </w:r>
                      <w:r>
                        <w:rPr>
                          <w:rFonts w:ascii="宋体"/>
                          <w:b/>
                          <w:bCs/>
                          <w:sz w:val="32"/>
                        </w:rPr>
                        <w:t>025</w:t>
                      </w:r>
                      <w:r w:rsidRPr="00F06BEF">
                        <w:rPr>
                          <w:rFonts w:ascii="宋体" w:hint="eastAsia"/>
                          <w:b/>
                          <w:bCs/>
                          <w:sz w:val="32"/>
                        </w:rPr>
                        <w:t>年</w:t>
                      </w:r>
                      <w:r>
                        <w:rPr>
                          <w:rFonts w:ascii="宋体"/>
                          <w:b/>
                          <w:bCs/>
                          <w:sz w:val="32"/>
                        </w:rPr>
                        <w:t>4</w:t>
                      </w:r>
                      <w:r w:rsidRPr="00F06BEF">
                        <w:rPr>
                          <w:rFonts w:ascii="宋体" w:hint="eastAsia"/>
                          <w:b/>
                          <w:bCs/>
                          <w:sz w:val="32"/>
                        </w:rPr>
                        <w:t>月</w:t>
                      </w:r>
                      <w:r>
                        <w:rPr>
                          <w:rFonts w:ascii="宋体"/>
                          <w:b/>
                          <w:bCs/>
                          <w:sz w:val="32"/>
                        </w:rPr>
                        <w:t>20</w:t>
                      </w:r>
                      <w:r w:rsidRPr="00F06BEF">
                        <w:rPr>
                          <w:rFonts w:ascii="宋体" w:hint="eastAsia"/>
                          <w:b/>
                          <w:bCs/>
                          <w:sz w:val="32"/>
                        </w:rPr>
                        <w:t>日</w:t>
                      </w:r>
                    </w:p>
                    <w:p w14:paraId="4F2645BB" w14:textId="77777777" w:rsidR="00BA6522" w:rsidRDefault="00BA6522" w:rsidP="00BA6522"/>
                  </w:txbxContent>
                </v:textbox>
                <w10:wrap type="square" anchorx="margin"/>
              </v:shape>
            </w:pict>
          </mc:Fallback>
        </mc:AlternateContent>
      </w:r>
      <w:r w:rsidRPr="00BA6522">
        <w:rPr>
          <w:rFonts w:ascii="宋体" w:eastAsia="宋体" w:hAnsi="宋体"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5F8B47B7" wp14:editId="14E65655">
            <wp:simplePos x="0" y="0"/>
            <wp:positionH relativeFrom="page">
              <wp:posOffset>3147750</wp:posOffset>
            </wp:positionH>
            <wp:positionV relativeFrom="page">
              <wp:posOffset>2508705</wp:posOffset>
            </wp:positionV>
            <wp:extent cx="1363345" cy="1357630"/>
            <wp:effectExtent l="0" t="0" r="8255" b="0"/>
            <wp:wrapNone/>
            <wp:docPr id="3578681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345" cy="1357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D4528E" w14:textId="564EBC1A" w:rsidR="0084301C" w:rsidRPr="00AF22F3" w:rsidRDefault="0084301C" w:rsidP="00AF22F3">
      <w:pPr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lastRenderedPageBreak/>
        <w:t>一、引言</w:t>
      </w:r>
    </w:p>
    <w:p w14:paraId="566FFC6F" w14:textId="6E9BC620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（一）研究背景</w:t>
      </w:r>
    </w:p>
    <w:p w14:paraId="644C8360" w14:textId="24E9324E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 w:hint="eastAsia"/>
          <w:sz w:val="24"/>
          <w:szCs w:val="24"/>
        </w:rPr>
        <w:t>全球气候变化与能源危机加速了汽车产业的转型。根据</w:t>
      </w:r>
      <w:r w:rsidRPr="00AF22F3">
        <w:rPr>
          <w:rFonts w:ascii="宋体" w:eastAsia="宋体" w:hAnsi="宋体"/>
          <w:sz w:val="24"/>
          <w:szCs w:val="24"/>
        </w:rPr>
        <w:t>IPCC报告，交通领域碳排放占全球总量的24%，而中国作为全球最大汽车市场，其汽车产业碳排放占交通领域的80%。2020年，我国提出“双碳”目标（</w:t>
      </w:r>
      <w:proofErr w:type="gramStart"/>
      <w:r w:rsidRPr="00AF22F3">
        <w:rPr>
          <w:rFonts w:ascii="宋体" w:eastAsia="宋体" w:hAnsi="宋体"/>
          <w:sz w:val="24"/>
          <w:szCs w:val="24"/>
        </w:rPr>
        <w:t>2030年碳达峰</w:t>
      </w:r>
      <w:proofErr w:type="gramEnd"/>
      <w:r w:rsidRPr="00AF22F3">
        <w:rPr>
          <w:rFonts w:ascii="宋体" w:eastAsia="宋体" w:hAnsi="宋体"/>
          <w:sz w:val="24"/>
          <w:szCs w:val="24"/>
        </w:rPr>
        <w:t>、2060年碳中和），明确要求汽车产业向低碳化转型。政策层面，《2030年前碳达峰行动方案》提出，2025年新能源车渗透率需达20%，2030年零排放汽车占</w:t>
      </w:r>
      <w:proofErr w:type="gramStart"/>
      <w:r w:rsidRPr="00AF22F3">
        <w:rPr>
          <w:rFonts w:ascii="宋体" w:eastAsia="宋体" w:hAnsi="宋体"/>
          <w:sz w:val="24"/>
          <w:szCs w:val="24"/>
        </w:rPr>
        <w:t>比需超</w:t>
      </w:r>
      <w:proofErr w:type="gramEnd"/>
      <w:r w:rsidRPr="00AF22F3">
        <w:rPr>
          <w:rFonts w:ascii="宋体" w:eastAsia="宋体" w:hAnsi="宋体"/>
          <w:sz w:val="24"/>
          <w:szCs w:val="24"/>
        </w:rPr>
        <w:t>63%。</w:t>
      </w:r>
    </w:p>
    <w:p w14:paraId="6658EE89" w14:textId="530DED04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（二）研究意义</w:t>
      </w:r>
    </w:p>
    <w:p w14:paraId="2B57D613" w14:textId="427002D4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 w:hint="eastAsia"/>
          <w:sz w:val="24"/>
          <w:szCs w:val="24"/>
        </w:rPr>
        <w:t>汽车动力系统变革不仅是技术升级，更是实现国家战略的核心路径。通过电动化、混合动力及氢能技术，汽车全生命周期碳排放可降低</w:t>
      </w:r>
      <w:r w:rsidRPr="00AF22F3">
        <w:rPr>
          <w:rFonts w:ascii="宋体" w:eastAsia="宋体" w:hAnsi="宋体"/>
          <w:sz w:val="24"/>
          <w:szCs w:val="24"/>
        </w:rPr>
        <w:t>25%45%。同时，动力技术创新将重塑全球汽车产业竞争格局，助力中国从“汽车大国”迈向“汽车强国”。</w:t>
      </w:r>
    </w:p>
    <w:p w14:paraId="63BC53F8" w14:textId="7147D150" w:rsidR="0084301C" w:rsidRPr="00AF22F3" w:rsidRDefault="0084301C" w:rsidP="00AF22F3">
      <w:pPr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二、我国“双碳”战略内涵解析</w:t>
      </w:r>
    </w:p>
    <w:p w14:paraId="4AEE2C5B" w14:textId="151D848F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（一）</w:t>
      </w:r>
      <w:proofErr w:type="gramStart"/>
      <w:r w:rsidRPr="00AF22F3">
        <w:rPr>
          <w:rFonts w:ascii="宋体" w:eastAsia="宋体" w:hAnsi="宋体"/>
          <w:sz w:val="24"/>
          <w:szCs w:val="24"/>
        </w:rPr>
        <w:t>碳达峰</w:t>
      </w:r>
      <w:proofErr w:type="gramEnd"/>
      <w:r w:rsidRPr="00AF22F3">
        <w:rPr>
          <w:rFonts w:ascii="宋体" w:eastAsia="宋体" w:hAnsi="宋体"/>
          <w:sz w:val="24"/>
          <w:szCs w:val="24"/>
        </w:rPr>
        <w:t>与碳中和的定义</w:t>
      </w:r>
    </w:p>
    <w:p w14:paraId="2E28820A" w14:textId="0A6B38FC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proofErr w:type="gramStart"/>
      <w:r w:rsidRPr="00AF22F3">
        <w:rPr>
          <w:rFonts w:ascii="宋体" w:eastAsia="宋体" w:hAnsi="宋体"/>
          <w:sz w:val="24"/>
          <w:szCs w:val="24"/>
        </w:rPr>
        <w:t>碳达峰</w:t>
      </w:r>
      <w:proofErr w:type="gramEnd"/>
      <w:r w:rsidRPr="00AF22F3">
        <w:rPr>
          <w:rFonts w:ascii="宋体" w:eastAsia="宋体" w:hAnsi="宋体"/>
          <w:sz w:val="24"/>
          <w:szCs w:val="24"/>
        </w:rPr>
        <w:t>：汽车领域预计2027年达峰，峰值约17.46亿吨，乘用车为主要贡献者。</w:t>
      </w:r>
    </w:p>
    <w:p w14:paraId="3405BE1F" w14:textId="75CBBC1D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碳中和：需通过零排放汽车占比提升（2035年达87%）及全</w:t>
      </w:r>
      <w:proofErr w:type="gramStart"/>
      <w:r w:rsidRPr="00AF22F3">
        <w:rPr>
          <w:rFonts w:ascii="宋体" w:eastAsia="宋体" w:hAnsi="宋体"/>
          <w:sz w:val="24"/>
          <w:szCs w:val="24"/>
        </w:rPr>
        <w:t>产业链减排</w:t>
      </w:r>
      <w:proofErr w:type="gramEnd"/>
      <w:r w:rsidRPr="00AF22F3">
        <w:rPr>
          <w:rFonts w:ascii="宋体" w:eastAsia="宋体" w:hAnsi="宋体"/>
          <w:sz w:val="24"/>
          <w:szCs w:val="24"/>
        </w:rPr>
        <w:t>实现，包括电池回收率提升至95%、</w:t>
      </w:r>
      <w:proofErr w:type="gramStart"/>
      <w:r w:rsidRPr="00AF22F3">
        <w:rPr>
          <w:rFonts w:ascii="宋体" w:eastAsia="宋体" w:hAnsi="宋体"/>
          <w:sz w:val="24"/>
          <w:szCs w:val="24"/>
        </w:rPr>
        <w:t>绿氢占</w:t>
      </w:r>
      <w:proofErr w:type="gramEnd"/>
      <w:r w:rsidRPr="00AF22F3">
        <w:rPr>
          <w:rFonts w:ascii="宋体" w:eastAsia="宋体" w:hAnsi="宋体"/>
          <w:sz w:val="24"/>
          <w:szCs w:val="24"/>
        </w:rPr>
        <w:t>比超30%。</w:t>
      </w:r>
    </w:p>
    <w:p w14:paraId="5B5B80D4" w14:textId="4AF71C9C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（二）政策目标与产业要求</w:t>
      </w:r>
    </w:p>
    <w:p w14:paraId="606A2F7D" w14:textId="75AFCACE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阶段性目标：2025年新能源车销量占比超40%，2035年传统燃油车</w:t>
      </w:r>
      <w:proofErr w:type="gramStart"/>
      <w:r w:rsidRPr="00AF22F3">
        <w:rPr>
          <w:rFonts w:ascii="宋体" w:eastAsia="宋体" w:hAnsi="宋体"/>
          <w:sz w:val="24"/>
          <w:szCs w:val="24"/>
        </w:rPr>
        <w:t>全面混动化</w:t>
      </w:r>
      <w:proofErr w:type="gramEnd"/>
      <w:r w:rsidRPr="00AF22F3">
        <w:rPr>
          <w:rFonts w:ascii="宋体" w:eastAsia="宋体" w:hAnsi="宋体"/>
          <w:sz w:val="24"/>
          <w:szCs w:val="24"/>
        </w:rPr>
        <w:t>。</w:t>
      </w:r>
    </w:p>
    <w:p w14:paraId="4F63498D" w14:textId="05117174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技术导向：</w:t>
      </w:r>
      <w:proofErr w:type="gramStart"/>
      <w:r w:rsidRPr="00AF22F3">
        <w:rPr>
          <w:rFonts w:ascii="宋体" w:eastAsia="宋体" w:hAnsi="宋体"/>
          <w:sz w:val="24"/>
          <w:szCs w:val="24"/>
        </w:rPr>
        <w:t>车企需</w:t>
      </w:r>
      <w:proofErr w:type="gramEnd"/>
      <w:r w:rsidRPr="00AF22F3">
        <w:rPr>
          <w:rFonts w:ascii="宋体" w:eastAsia="宋体" w:hAnsi="宋体"/>
          <w:sz w:val="24"/>
          <w:szCs w:val="24"/>
        </w:rPr>
        <w:t>加速淘汰纯燃油车，如比亚</w:t>
      </w:r>
      <w:proofErr w:type="gramStart"/>
      <w:r w:rsidRPr="00AF22F3">
        <w:rPr>
          <w:rFonts w:ascii="宋体" w:eastAsia="宋体" w:hAnsi="宋体"/>
          <w:sz w:val="24"/>
          <w:szCs w:val="24"/>
        </w:rPr>
        <w:t>迪</w:t>
      </w:r>
      <w:proofErr w:type="gramEnd"/>
      <w:r w:rsidRPr="00AF22F3">
        <w:rPr>
          <w:rFonts w:ascii="宋体" w:eastAsia="宋体" w:hAnsi="宋体"/>
          <w:sz w:val="24"/>
          <w:szCs w:val="24"/>
        </w:rPr>
        <w:t>2023年停售燃油车，专注</w:t>
      </w:r>
      <w:proofErr w:type="gramStart"/>
      <w:r w:rsidRPr="00AF22F3">
        <w:rPr>
          <w:rFonts w:ascii="宋体" w:eastAsia="宋体" w:hAnsi="宋体"/>
          <w:sz w:val="24"/>
          <w:szCs w:val="24"/>
        </w:rPr>
        <w:t>纯电与插混</w:t>
      </w:r>
      <w:proofErr w:type="gramEnd"/>
      <w:r w:rsidRPr="00AF22F3">
        <w:rPr>
          <w:rFonts w:ascii="宋体" w:eastAsia="宋体" w:hAnsi="宋体"/>
          <w:sz w:val="24"/>
          <w:szCs w:val="24"/>
        </w:rPr>
        <w:t>技术。</w:t>
      </w:r>
    </w:p>
    <w:p w14:paraId="2F097AE5" w14:textId="44F95F26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（三）挑战与机遇</w:t>
      </w:r>
    </w:p>
    <w:p w14:paraId="19BC6069" w14:textId="4ABEB127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挑战：传统燃油车</w:t>
      </w:r>
      <w:proofErr w:type="gramStart"/>
      <w:r w:rsidRPr="00AF22F3">
        <w:rPr>
          <w:rFonts w:ascii="宋体" w:eastAsia="宋体" w:hAnsi="宋体"/>
          <w:sz w:val="24"/>
          <w:szCs w:val="24"/>
        </w:rPr>
        <w:t>面临国</w:t>
      </w:r>
      <w:proofErr w:type="gramEnd"/>
      <w:r w:rsidRPr="00AF22F3">
        <w:rPr>
          <w:rFonts w:ascii="宋体" w:eastAsia="宋体" w:hAnsi="宋体"/>
          <w:sz w:val="24"/>
          <w:szCs w:val="24"/>
        </w:rPr>
        <w:t>六b排放标准（PN限值6×10¹¹</w:t>
      </w:r>
      <w:proofErr w:type="gramStart"/>
      <w:r w:rsidRPr="00AF22F3">
        <w:rPr>
          <w:rFonts w:ascii="宋体" w:eastAsia="宋体" w:hAnsi="宋体"/>
          <w:sz w:val="24"/>
          <w:szCs w:val="24"/>
        </w:rPr>
        <w:t>个</w:t>
      </w:r>
      <w:proofErr w:type="gramEnd"/>
      <w:r w:rsidRPr="00AF22F3">
        <w:rPr>
          <w:rFonts w:ascii="宋体" w:eastAsia="宋体" w:hAnsi="宋体"/>
          <w:sz w:val="24"/>
          <w:szCs w:val="24"/>
        </w:rPr>
        <w:t>/km）、欧盟碳关税等压力。</w:t>
      </w:r>
    </w:p>
    <w:p w14:paraId="7A861B24" w14:textId="093A2E62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机遇：新能源车出口快速增长，2025年中国新能源车销量预计占全球64.5%。</w:t>
      </w:r>
    </w:p>
    <w:p w14:paraId="05CC290C" w14:textId="559F7950" w:rsidR="0084301C" w:rsidRPr="00AF22F3" w:rsidRDefault="0084301C" w:rsidP="00AF22F3">
      <w:pPr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三、“双碳”战略下汽车动力系统变化趋势</w:t>
      </w:r>
    </w:p>
    <w:p w14:paraId="044F534E" w14:textId="4C214E86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（一）电动化：不可逆转的主流趋势</w:t>
      </w:r>
    </w:p>
    <w:p w14:paraId="723B95AC" w14:textId="1F84CCA8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1.技术优势</w:t>
      </w:r>
    </w:p>
    <w:p w14:paraId="72E9EC7B" w14:textId="59CFA4EA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纯电动汽车（BEV）全生命周期碳排放比燃油车低25%45%，固态电池能量密度突破400Wh/kg，充电时间缩短至15分钟。</w:t>
      </w:r>
    </w:p>
    <w:p w14:paraId="13221469" w14:textId="15CC6898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典型案例：特斯拉Semi续航800km，但充电效率仍不及柴油重卡，凸显城市短途场景优势。</w:t>
      </w:r>
    </w:p>
    <w:p w14:paraId="1D75BF03" w14:textId="669D3411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2.政策推动</w:t>
      </w:r>
    </w:p>
    <w:p w14:paraId="754AD717" w14:textId="181224C5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2025年充电桩覆盖率超70%，购车补贴最高1.5万元，推动市场普及。</w:t>
      </w:r>
    </w:p>
    <w:p w14:paraId="532A9486" w14:textId="2FFEF381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（二）混合动力：过渡阶段的重要支撑</w:t>
      </w:r>
    </w:p>
    <w:p w14:paraId="2390CC99" w14:textId="76B13852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1.技术分类与成效</w:t>
      </w:r>
    </w:p>
    <w:p w14:paraId="0505BCFD" w14:textId="133D4951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HEV/PHEV油耗降低30%50%，比亚</w:t>
      </w:r>
      <w:proofErr w:type="gramStart"/>
      <w:r w:rsidRPr="00AF22F3">
        <w:rPr>
          <w:rFonts w:ascii="宋体" w:eastAsia="宋体" w:hAnsi="宋体"/>
          <w:sz w:val="24"/>
          <w:szCs w:val="24"/>
        </w:rPr>
        <w:t>迪</w:t>
      </w:r>
      <w:proofErr w:type="spellStart"/>
      <w:proofErr w:type="gramEnd"/>
      <w:r w:rsidRPr="00AF22F3">
        <w:rPr>
          <w:rFonts w:ascii="宋体" w:eastAsia="宋体" w:hAnsi="宋体"/>
          <w:sz w:val="24"/>
          <w:szCs w:val="24"/>
        </w:rPr>
        <w:t>DMi</w:t>
      </w:r>
      <w:proofErr w:type="spellEnd"/>
      <w:r w:rsidRPr="00AF22F3">
        <w:rPr>
          <w:rFonts w:ascii="宋体" w:eastAsia="宋体" w:hAnsi="宋体"/>
          <w:sz w:val="24"/>
          <w:szCs w:val="24"/>
        </w:rPr>
        <w:t>系统热效率达43%，48V</w:t>
      </w:r>
      <w:proofErr w:type="gramStart"/>
      <w:r w:rsidRPr="00AF22F3">
        <w:rPr>
          <w:rFonts w:ascii="宋体" w:eastAsia="宋体" w:hAnsi="宋体"/>
          <w:sz w:val="24"/>
          <w:szCs w:val="24"/>
        </w:rPr>
        <w:t>轻混系统</w:t>
      </w:r>
      <w:proofErr w:type="gramEnd"/>
      <w:r w:rsidRPr="00AF22F3">
        <w:rPr>
          <w:rFonts w:ascii="宋体" w:eastAsia="宋体" w:hAnsi="宋体"/>
          <w:sz w:val="24"/>
          <w:szCs w:val="24"/>
        </w:rPr>
        <w:t>节油率8%15%。</w:t>
      </w:r>
    </w:p>
    <w:p w14:paraId="482FDA40" w14:textId="1A1F8271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政策支持：</w:t>
      </w:r>
      <w:proofErr w:type="gramStart"/>
      <w:r w:rsidRPr="00AF22F3">
        <w:rPr>
          <w:rFonts w:ascii="宋体" w:eastAsia="宋体" w:hAnsi="宋体"/>
          <w:sz w:val="24"/>
          <w:szCs w:val="24"/>
        </w:rPr>
        <w:t>混动技术</w:t>
      </w:r>
      <w:proofErr w:type="gramEnd"/>
      <w:r w:rsidRPr="00AF22F3">
        <w:rPr>
          <w:rFonts w:ascii="宋体" w:eastAsia="宋体" w:hAnsi="宋体"/>
          <w:sz w:val="24"/>
          <w:szCs w:val="24"/>
        </w:rPr>
        <w:t>纳入“双积分”考核，东北、西部低温</w:t>
      </w:r>
      <w:proofErr w:type="gramStart"/>
      <w:r w:rsidRPr="00AF22F3">
        <w:rPr>
          <w:rFonts w:ascii="宋体" w:eastAsia="宋体" w:hAnsi="宋体"/>
          <w:sz w:val="24"/>
          <w:szCs w:val="24"/>
        </w:rPr>
        <w:t>地区混动渗透率</w:t>
      </w:r>
      <w:proofErr w:type="gramEnd"/>
      <w:r w:rsidRPr="00AF22F3">
        <w:rPr>
          <w:rFonts w:ascii="宋体" w:eastAsia="宋体" w:hAnsi="宋体"/>
          <w:sz w:val="24"/>
          <w:szCs w:val="24"/>
        </w:rPr>
        <w:t>超50%。</w:t>
      </w:r>
    </w:p>
    <w:p w14:paraId="6ED4A6C2" w14:textId="132BC315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2.市场场景适配</w:t>
      </w:r>
    </w:p>
    <w:p w14:paraId="13D3D9A7" w14:textId="0B1951C4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增程式技术（如理想ONE）解决冬季续航焦虑，城市工况以电驱为主，高速</w:t>
      </w:r>
      <w:r w:rsidRPr="00AF22F3">
        <w:rPr>
          <w:rFonts w:ascii="宋体" w:eastAsia="宋体" w:hAnsi="宋体"/>
          <w:sz w:val="24"/>
          <w:szCs w:val="24"/>
        </w:rPr>
        <w:lastRenderedPageBreak/>
        <w:t>切换油电混合。</w:t>
      </w:r>
    </w:p>
    <w:p w14:paraId="41519CEE" w14:textId="3CF8B1FC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（三）氢能源：面向未来的潜力选择</w:t>
      </w:r>
    </w:p>
    <w:p w14:paraId="72FE3851" w14:textId="1DD50C3D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1.技术突破</w:t>
      </w:r>
    </w:p>
    <w:p w14:paraId="1DC35DCF" w14:textId="087EE48A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东风400kW氢</w:t>
      </w:r>
      <w:proofErr w:type="gramStart"/>
      <w:r w:rsidRPr="00AF22F3">
        <w:rPr>
          <w:rFonts w:ascii="宋体" w:eastAsia="宋体" w:hAnsi="宋体"/>
          <w:sz w:val="24"/>
          <w:szCs w:val="24"/>
        </w:rPr>
        <w:t>燃料电堆单</w:t>
      </w:r>
      <w:proofErr w:type="gramEnd"/>
      <w:r w:rsidRPr="00AF22F3">
        <w:rPr>
          <w:rFonts w:ascii="宋体" w:eastAsia="宋体" w:hAnsi="宋体"/>
          <w:sz w:val="24"/>
          <w:szCs w:val="24"/>
        </w:rPr>
        <w:t>堆功率全球领先，海南</w:t>
      </w:r>
      <w:proofErr w:type="gramStart"/>
      <w:r w:rsidRPr="00AF22F3">
        <w:rPr>
          <w:rFonts w:ascii="宋体" w:eastAsia="宋体" w:hAnsi="宋体"/>
          <w:sz w:val="24"/>
          <w:szCs w:val="24"/>
        </w:rPr>
        <w:t>氢能重卡累计</w:t>
      </w:r>
      <w:proofErr w:type="gramEnd"/>
      <w:r w:rsidRPr="00AF22F3">
        <w:rPr>
          <w:rFonts w:ascii="宋体" w:eastAsia="宋体" w:hAnsi="宋体"/>
          <w:sz w:val="24"/>
          <w:szCs w:val="24"/>
        </w:rPr>
        <w:t>运营超80万公里。</w:t>
      </w:r>
    </w:p>
    <w:p w14:paraId="6AF294B4" w14:textId="24989AB0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proofErr w:type="gramStart"/>
      <w:r w:rsidRPr="00AF22F3">
        <w:rPr>
          <w:rFonts w:ascii="宋体" w:eastAsia="宋体" w:hAnsi="宋体"/>
          <w:sz w:val="24"/>
          <w:szCs w:val="24"/>
        </w:rPr>
        <w:t>绿氢制备</w:t>
      </w:r>
      <w:proofErr w:type="gramEnd"/>
      <w:r w:rsidRPr="00AF22F3">
        <w:rPr>
          <w:rFonts w:ascii="宋体" w:eastAsia="宋体" w:hAnsi="宋体"/>
          <w:sz w:val="24"/>
          <w:szCs w:val="24"/>
        </w:rPr>
        <w:t>成本降至20元/kg（内蒙古风电制氢项目），但储运技术仍不成熟。</w:t>
      </w:r>
    </w:p>
    <w:p w14:paraId="773FBAAB" w14:textId="137A0373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2.应用瓶颈</w:t>
      </w:r>
    </w:p>
    <w:p w14:paraId="25877F8F" w14:textId="65628885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加氢站建设成本高（单站超2000万元），氢气运输效率低（40吨卡车仅运数</w:t>
      </w:r>
      <w:proofErr w:type="gramStart"/>
      <w:r w:rsidRPr="00AF22F3">
        <w:rPr>
          <w:rFonts w:ascii="宋体" w:eastAsia="宋体" w:hAnsi="宋体"/>
          <w:sz w:val="24"/>
          <w:szCs w:val="24"/>
        </w:rPr>
        <w:t>百公斤</w:t>
      </w:r>
      <w:proofErr w:type="gramEnd"/>
      <w:r w:rsidRPr="00AF22F3">
        <w:rPr>
          <w:rFonts w:ascii="宋体" w:eastAsia="宋体" w:hAnsi="宋体"/>
          <w:sz w:val="24"/>
          <w:szCs w:val="24"/>
        </w:rPr>
        <w:t>）。</w:t>
      </w:r>
    </w:p>
    <w:p w14:paraId="5A355788" w14:textId="2E7495E2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（四）动力系统多元化发展格局</w:t>
      </w:r>
    </w:p>
    <w:p w14:paraId="4B6BDA4B" w14:textId="77552E9C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互补性：</w:t>
      </w:r>
      <w:proofErr w:type="gramStart"/>
      <w:r w:rsidRPr="00AF22F3">
        <w:rPr>
          <w:rFonts w:ascii="宋体" w:eastAsia="宋体" w:hAnsi="宋体"/>
          <w:sz w:val="24"/>
          <w:szCs w:val="24"/>
        </w:rPr>
        <w:t>纯电主攻</w:t>
      </w:r>
      <w:proofErr w:type="gramEnd"/>
      <w:r w:rsidRPr="00AF22F3">
        <w:rPr>
          <w:rFonts w:ascii="宋体" w:eastAsia="宋体" w:hAnsi="宋体"/>
          <w:sz w:val="24"/>
          <w:szCs w:val="24"/>
        </w:rPr>
        <w:t>城市短途，</w:t>
      </w:r>
      <w:proofErr w:type="gramStart"/>
      <w:r w:rsidRPr="00AF22F3">
        <w:rPr>
          <w:rFonts w:ascii="宋体" w:eastAsia="宋体" w:hAnsi="宋体"/>
          <w:sz w:val="24"/>
          <w:szCs w:val="24"/>
        </w:rPr>
        <w:t>混动覆盖</w:t>
      </w:r>
      <w:proofErr w:type="gramEnd"/>
      <w:r w:rsidRPr="00AF22F3">
        <w:rPr>
          <w:rFonts w:ascii="宋体" w:eastAsia="宋体" w:hAnsi="宋体"/>
          <w:sz w:val="24"/>
          <w:szCs w:val="24"/>
        </w:rPr>
        <w:t>过渡市场，氢能聚焦长途货运。</w:t>
      </w:r>
    </w:p>
    <w:p w14:paraId="4BDEFF0F" w14:textId="101C38A0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产业链协同：2025年换电站覆盖出租车/物流车，氢能</w:t>
      </w:r>
      <w:proofErr w:type="gramStart"/>
      <w:r w:rsidRPr="00AF22F3">
        <w:rPr>
          <w:rFonts w:ascii="宋体" w:eastAsia="宋体" w:hAnsi="宋体"/>
          <w:sz w:val="24"/>
          <w:szCs w:val="24"/>
        </w:rPr>
        <w:t>加注站突破</w:t>
      </w:r>
      <w:proofErr w:type="gramEnd"/>
      <w:r w:rsidRPr="00AF22F3">
        <w:rPr>
          <w:rFonts w:ascii="宋体" w:eastAsia="宋体" w:hAnsi="宋体"/>
          <w:sz w:val="24"/>
          <w:szCs w:val="24"/>
        </w:rPr>
        <w:t>1000座。</w:t>
      </w:r>
    </w:p>
    <w:p w14:paraId="44EBB9BE" w14:textId="4EA1F731" w:rsidR="0084301C" w:rsidRPr="00AF22F3" w:rsidRDefault="0084301C" w:rsidP="00AF22F3">
      <w:pPr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四、“双碳”战略下发动机技术发展路径</w:t>
      </w:r>
    </w:p>
    <w:p w14:paraId="224178F4" w14:textId="2C5C6EC2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（一）传统燃油发动机的优化升级</w:t>
      </w:r>
    </w:p>
    <w:p w14:paraId="44C9F4B1" w14:textId="42C7641D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1.热效率提升</w:t>
      </w:r>
    </w:p>
    <w:p w14:paraId="12BD1228" w14:textId="46942F2A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吉利稀薄燃烧汽油机热效率达46%，采用预燃室点火技术；米勒循环、可变气门正时助力热效率突破40%。</w:t>
      </w:r>
    </w:p>
    <w:p w14:paraId="7A6E3290" w14:textId="62334614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长城研发热效率45%+</w:t>
      </w:r>
      <w:proofErr w:type="gramStart"/>
      <w:r w:rsidRPr="00AF22F3">
        <w:rPr>
          <w:rFonts w:ascii="宋体" w:eastAsia="宋体" w:hAnsi="宋体"/>
          <w:sz w:val="24"/>
          <w:szCs w:val="24"/>
        </w:rPr>
        <w:t>的混动专用</w:t>
      </w:r>
      <w:proofErr w:type="gramEnd"/>
      <w:r w:rsidRPr="00AF22F3">
        <w:rPr>
          <w:rFonts w:ascii="宋体" w:eastAsia="宋体" w:hAnsi="宋体"/>
          <w:sz w:val="24"/>
          <w:szCs w:val="24"/>
        </w:rPr>
        <w:t>发动机，覆盖1.5L3.0L主流排量。</w:t>
      </w:r>
    </w:p>
    <w:p w14:paraId="7096BAB1" w14:textId="411870A3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2.排放控制</w:t>
      </w:r>
    </w:p>
    <w:p w14:paraId="474C7E2A" w14:textId="25B51197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SCR技术降低NOx排放90%，</w:t>
      </w:r>
      <w:proofErr w:type="gramStart"/>
      <w:r w:rsidRPr="00AF22F3">
        <w:rPr>
          <w:rFonts w:ascii="宋体" w:eastAsia="宋体" w:hAnsi="宋体"/>
          <w:sz w:val="24"/>
          <w:szCs w:val="24"/>
        </w:rPr>
        <w:t>满足国</w:t>
      </w:r>
      <w:proofErr w:type="gramEnd"/>
      <w:r w:rsidRPr="00AF22F3">
        <w:rPr>
          <w:rFonts w:ascii="宋体" w:eastAsia="宋体" w:hAnsi="宋体"/>
          <w:sz w:val="24"/>
          <w:szCs w:val="24"/>
        </w:rPr>
        <w:t>六b标准（PN限值6×10¹¹</w:t>
      </w:r>
      <w:proofErr w:type="gramStart"/>
      <w:r w:rsidRPr="00AF22F3">
        <w:rPr>
          <w:rFonts w:ascii="宋体" w:eastAsia="宋体" w:hAnsi="宋体"/>
          <w:sz w:val="24"/>
          <w:szCs w:val="24"/>
        </w:rPr>
        <w:t>个</w:t>
      </w:r>
      <w:proofErr w:type="gramEnd"/>
      <w:r w:rsidRPr="00AF22F3">
        <w:rPr>
          <w:rFonts w:ascii="宋体" w:eastAsia="宋体" w:hAnsi="宋体"/>
          <w:sz w:val="24"/>
          <w:szCs w:val="24"/>
        </w:rPr>
        <w:t>/km）。</w:t>
      </w:r>
    </w:p>
    <w:p w14:paraId="5C90F9B5" w14:textId="293BEAC7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（二）混合动力专用发动机（HEV/PHEV）</w:t>
      </w:r>
    </w:p>
    <w:p w14:paraId="40C87689" w14:textId="69ACE7DD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1.高效化设计</w:t>
      </w:r>
    </w:p>
    <w:p w14:paraId="6578412E" w14:textId="38070439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阿特金森循环发动机热效率41%（丰田THS），48V</w:t>
      </w:r>
      <w:proofErr w:type="gramStart"/>
      <w:r w:rsidRPr="00AF22F3">
        <w:rPr>
          <w:rFonts w:ascii="宋体" w:eastAsia="宋体" w:hAnsi="宋体"/>
          <w:sz w:val="24"/>
          <w:szCs w:val="24"/>
        </w:rPr>
        <w:t>轻混系统</w:t>
      </w:r>
      <w:proofErr w:type="gramEnd"/>
      <w:r w:rsidRPr="00AF22F3">
        <w:rPr>
          <w:rFonts w:ascii="宋体" w:eastAsia="宋体" w:hAnsi="宋体"/>
          <w:sz w:val="24"/>
          <w:szCs w:val="24"/>
        </w:rPr>
        <w:t>成本回收周期3年（年行驶2万公里）。</w:t>
      </w:r>
    </w:p>
    <w:p w14:paraId="516972A1" w14:textId="3FE9BE06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长安</w:t>
      </w:r>
      <w:proofErr w:type="gramStart"/>
      <w:r w:rsidRPr="00AF22F3">
        <w:rPr>
          <w:rFonts w:ascii="宋体" w:eastAsia="宋体" w:hAnsi="宋体"/>
          <w:sz w:val="24"/>
          <w:szCs w:val="24"/>
        </w:rPr>
        <w:t>下一代混动专用</w:t>
      </w:r>
      <w:proofErr w:type="gramEnd"/>
      <w:r w:rsidRPr="00AF22F3">
        <w:rPr>
          <w:rFonts w:ascii="宋体" w:eastAsia="宋体" w:hAnsi="宋体"/>
          <w:sz w:val="24"/>
          <w:szCs w:val="24"/>
        </w:rPr>
        <w:t>发动机热效率达43%45%，集成高压缩比与智能控制模块。</w:t>
      </w:r>
    </w:p>
    <w:p w14:paraId="555F5A10" w14:textId="7D0ECB89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2.能量管理优化</w:t>
      </w:r>
    </w:p>
    <w:p w14:paraId="45C9ABCE" w14:textId="2E70A1ED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比亚</w:t>
      </w:r>
      <w:proofErr w:type="gramStart"/>
      <w:r w:rsidRPr="00AF22F3">
        <w:rPr>
          <w:rFonts w:ascii="宋体" w:eastAsia="宋体" w:hAnsi="宋体"/>
          <w:sz w:val="24"/>
          <w:szCs w:val="24"/>
        </w:rPr>
        <w:t>迪</w:t>
      </w:r>
      <w:proofErr w:type="spellStart"/>
      <w:proofErr w:type="gramEnd"/>
      <w:r w:rsidRPr="00AF22F3">
        <w:rPr>
          <w:rFonts w:ascii="宋体" w:eastAsia="宋体" w:hAnsi="宋体"/>
          <w:sz w:val="24"/>
          <w:szCs w:val="24"/>
        </w:rPr>
        <w:t>DMi</w:t>
      </w:r>
      <w:proofErr w:type="spellEnd"/>
      <w:r w:rsidRPr="00AF22F3">
        <w:rPr>
          <w:rFonts w:ascii="宋体" w:eastAsia="宋体" w:hAnsi="宋体"/>
          <w:sz w:val="24"/>
          <w:szCs w:val="24"/>
        </w:rPr>
        <w:t>系统以电驱为主，市区</w:t>
      </w:r>
      <w:proofErr w:type="gramStart"/>
      <w:r w:rsidRPr="00AF22F3">
        <w:rPr>
          <w:rFonts w:ascii="宋体" w:eastAsia="宋体" w:hAnsi="宋体"/>
          <w:sz w:val="24"/>
          <w:szCs w:val="24"/>
        </w:rPr>
        <w:t>工况纯电驱动</w:t>
      </w:r>
      <w:proofErr w:type="gramEnd"/>
      <w:r w:rsidRPr="00AF22F3">
        <w:rPr>
          <w:rFonts w:ascii="宋体" w:eastAsia="宋体" w:hAnsi="宋体"/>
          <w:sz w:val="24"/>
          <w:szCs w:val="24"/>
        </w:rPr>
        <w:t>，高速切换油电混合。</w:t>
      </w:r>
    </w:p>
    <w:p w14:paraId="64D0E576" w14:textId="4F39B9B9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（三）增程式发动机的应用探索</w:t>
      </w:r>
    </w:p>
    <w:p w14:paraId="3CFFC1B9" w14:textId="7B5861E4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燃料多元化：吉利甲醇发动机热效率44%，乙醇汽油受粮食安全限制。</w:t>
      </w:r>
    </w:p>
    <w:p w14:paraId="35313F4A" w14:textId="3200D34C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技术适配：增程式系统（如理想ONE）规避发动机低效运行，整体能源利用率提升30%。</w:t>
      </w:r>
    </w:p>
    <w:p w14:paraId="3D55C9D5" w14:textId="740BAA7A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（四）与新能源技术的深度融合</w:t>
      </w:r>
    </w:p>
    <w:p w14:paraId="1F2CC2F4" w14:textId="17027BEA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插</w:t>
      </w:r>
      <w:proofErr w:type="gramStart"/>
      <w:r w:rsidRPr="00AF22F3">
        <w:rPr>
          <w:rFonts w:ascii="宋体" w:eastAsia="宋体" w:hAnsi="宋体"/>
          <w:sz w:val="24"/>
          <w:szCs w:val="24"/>
        </w:rPr>
        <w:t>电混动</w:t>
      </w:r>
      <w:proofErr w:type="gramEnd"/>
      <w:r w:rsidRPr="00AF22F3">
        <w:rPr>
          <w:rFonts w:ascii="宋体" w:eastAsia="宋体" w:hAnsi="宋体"/>
          <w:sz w:val="24"/>
          <w:szCs w:val="24"/>
        </w:rPr>
        <w:t>（PHEV）：</w:t>
      </w:r>
      <w:proofErr w:type="gramStart"/>
      <w:r w:rsidRPr="00AF22F3">
        <w:rPr>
          <w:rFonts w:ascii="宋体" w:eastAsia="宋体" w:hAnsi="宋体"/>
          <w:sz w:val="24"/>
          <w:szCs w:val="24"/>
        </w:rPr>
        <w:t>纯电续航</w:t>
      </w:r>
      <w:proofErr w:type="gramEnd"/>
      <w:r w:rsidRPr="00AF22F3">
        <w:rPr>
          <w:rFonts w:ascii="宋体" w:eastAsia="宋体" w:hAnsi="宋体"/>
          <w:sz w:val="24"/>
          <w:szCs w:val="24"/>
        </w:rPr>
        <w:t>200km（比亚迪），支持V2G</w:t>
      </w:r>
      <w:proofErr w:type="gramStart"/>
      <w:r w:rsidRPr="00AF22F3">
        <w:rPr>
          <w:rFonts w:ascii="宋体" w:eastAsia="宋体" w:hAnsi="宋体"/>
          <w:sz w:val="24"/>
          <w:szCs w:val="24"/>
        </w:rPr>
        <w:t>车网互动</w:t>
      </w:r>
      <w:proofErr w:type="gramEnd"/>
      <w:r w:rsidRPr="00AF22F3">
        <w:rPr>
          <w:rFonts w:ascii="宋体" w:eastAsia="宋体" w:hAnsi="宋体"/>
          <w:sz w:val="24"/>
          <w:szCs w:val="24"/>
        </w:rPr>
        <w:t>技术。</w:t>
      </w:r>
    </w:p>
    <w:p w14:paraId="395053A0" w14:textId="64B6C80C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智能化集成：AI算法优化能量管理，800V高压平台提升充电效率。</w:t>
      </w:r>
    </w:p>
    <w:p w14:paraId="59A4F112" w14:textId="138E8AD6" w:rsidR="0084301C" w:rsidRPr="00AF22F3" w:rsidRDefault="0084301C" w:rsidP="00AF22F3">
      <w:pPr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五、“双碳”战略下发动机技术发展的核心要点</w:t>
      </w:r>
    </w:p>
    <w:p w14:paraId="27C1387A" w14:textId="5437EFD1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（一）高效节能：技术发展的根本追求</w:t>
      </w:r>
    </w:p>
    <w:p w14:paraId="3AA05A3E" w14:textId="31AFE38F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效果对比：</w:t>
      </w:r>
      <w:proofErr w:type="gramStart"/>
      <w:r w:rsidRPr="00AF22F3">
        <w:rPr>
          <w:rFonts w:ascii="宋体" w:eastAsia="宋体" w:hAnsi="宋体"/>
          <w:sz w:val="24"/>
          <w:szCs w:val="24"/>
        </w:rPr>
        <w:t>混动系统综合</w:t>
      </w:r>
      <w:proofErr w:type="gramEnd"/>
      <w:r w:rsidRPr="00AF22F3">
        <w:rPr>
          <w:rFonts w:ascii="宋体" w:eastAsia="宋体" w:hAnsi="宋体"/>
          <w:sz w:val="24"/>
          <w:szCs w:val="24"/>
        </w:rPr>
        <w:t>油耗2L/100km，传统燃油车优化后降幅20%。</w:t>
      </w:r>
    </w:p>
    <w:p w14:paraId="486F86A4" w14:textId="53257276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小排量趋势：3缸涡轮增压发动机升功率达100kW/L，制造成本较4缸机高40%，但NVH性能显著优化。</w:t>
      </w:r>
    </w:p>
    <w:p w14:paraId="798D3005" w14:textId="39C45408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（二）低碳零碳：不可偏离的环保方向</w:t>
      </w:r>
    </w:p>
    <w:p w14:paraId="387825FB" w14:textId="65D8DEA0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全生命周期减排：电池回收率需提升至95%，</w:t>
      </w:r>
      <w:proofErr w:type="gramStart"/>
      <w:r w:rsidRPr="00AF22F3">
        <w:rPr>
          <w:rFonts w:ascii="宋体" w:eastAsia="宋体" w:hAnsi="宋体"/>
          <w:sz w:val="24"/>
          <w:szCs w:val="24"/>
        </w:rPr>
        <w:t>绿氢占</w:t>
      </w:r>
      <w:proofErr w:type="gramEnd"/>
      <w:r w:rsidRPr="00AF22F3">
        <w:rPr>
          <w:rFonts w:ascii="宋体" w:eastAsia="宋体" w:hAnsi="宋体"/>
          <w:sz w:val="24"/>
          <w:szCs w:val="24"/>
        </w:rPr>
        <w:t>比超30%。</w:t>
      </w:r>
    </w:p>
    <w:p w14:paraId="1B886453" w14:textId="5EA50D9B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合成燃料（</w:t>
      </w:r>
      <w:proofErr w:type="spellStart"/>
      <w:r w:rsidRPr="00AF22F3">
        <w:rPr>
          <w:rFonts w:ascii="宋体" w:eastAsia="宋体" w:hAnsi="宋体"/>
          <w:sz w:val="24"/>
          <w:szCs w:val="24"/>
        </w:rPr>
        <w:t>eFuel</w:t>
      </w:r>
      <w:proofErr w:type="spellEnd"/>
      <w:r w:rsidRPr="00AF22F3">
        <w:rPr>
          <w:rFonts w:ascii="宋体" w:eastAsia="宋体" w:hAnsi="宋体"/>
          <w:sz w:val="24"/>
          <w:szCs w:val="24"/>
        </w:rPr>
        <w:t>）：能量转换效率仅13%，但可为航空、船舶等领域提供碳中和解决方案。</w:t>
      </w:r>
    </w:p>
    <w:p w14:paraId="5A7D826B" w14:textId="6DDE0813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lastRenderedPageBreak/>
        <w:t>（三）技术融合：创新发展的关键路径</w:t>
      </w:r>
    </w:p>
    <w:p w14:paraId="1C011A8A" w14:textId="0E3EC92D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电控系统升级：吉利射流点火系统</w:t>
      </w:r>
      <w:proofErr w:type="gramStart"/>
      <w:r w:rsidRPr="00AF22F3">
        <w:rPr>
          <w:rFonts w:ascii="宋体" w:eastAsia="宋体" w:hAnsi="宋体"/>
          <w:sz w:val="24"/>
          <w:szCs w:val="24"/>
        </w:rPr>
        <w:t>拓宽稀燃极限</w:t>
      </w:r>
      <w:proofErr w:type="gramEnd"/>
      <w:r w:rsidRPr="00AF22F3">
        <w:rPr>
          <w:rFonts w:ascii="宋体" w:eastAsia="宋体" w:hAnsi="宋体"/>
          <w:sz w:val="24"/>
          <w:szCs w:val="24"/>
        </w:rPr>
        <w:t>，ECU算法优化燃烧稳定性。</w:t>
      </w:r>
    </w:p>
    <w:p w14:paraId="20B676F2" w14:textId="7D07CCFF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跨学科协同：材料科学（碳纤维轻量化）、电子技术（800V平台）、控制算法（AI能量管理）深度融合。</w:t>
      </w:r>
    </w:p>
    <w:p w14:paraId="12FDE547" w14:textId="3D451F03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（四）产业链协同：产业转型的必要条件</w:t>
      </w:r>
    </w:p>
    <w:p w14:paraId="31519396" w14:textId="424C322C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基础设施联动：2025年充电桩覆盖率达70%，氢能</w:t>
      </w:r>
      <w:proofErr w:type="gramStart"/>
      <w:r w:rsidRPr="00AF22F3">
        <w:rPr>
          <w:rFonts w:ascii="宋体" w:eastAsia="宋体" w:hAnsi="宋体"/>
          <w:sz w:val="24"/>
          <w:szCs w:val="24"/>
        </w:rPr>
        <w:t>加注站突破</w:t>
      </w:r>
      <w:proofErr w:type="gramEnd"/>
      <w:r w:rsidRPr="00AF22F3">
        <w:rPr>
          <w:rFonts w:ascii="宋体" w:eastAsia="宋体" w:hAnsi="宋体"/>
          <w:sz w:val="24"/>
          <w:szCs w:val="24"/>
        </w:rPr>
        <w:t>1000座。</w:t>
      </w:r>
    </w:p>
    <w:p w14:paraId="3DB75AC0" w14:textId="2F503CBD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政策配套：完善</w:t>
      </w:r>
      <w:proofErr w:type="gramStart"/>
      <w:r w:rsidRPr="00AF22F3">
        <w:rPr>
          <w:rFonts w:ascii="宋体" w:eastAsia="宋体" w:hAnsi="宋体"/>
          <w:sz w:val="24"/>
          <w:szCs w:val="24"/>
        </w:rPr>
        <w:t>碳交易</w:t>
      </w:r>
      <w:proofErr w:type="gramEnd"/>
      <w:r w:rsidRPr="00AF22F3">
        <w:rPr>
          <w:rFonts w:ascii="宋体" w:eastAsia="宋体" w:hAnsi="宋体"/>
          <w:sz w:val="24"/>
          <w:szCs w:val="24"/>
        </w:rPr>
        <w:t>市场，将电池回收纳入“双积分”考核。</w:t>
      </w:r>
    </w:p>
    <w:p w14:paraId="3E213FE8" w14:textId="52E693BC" w:rsidR="0084301C" w:rsidRPr="00AF22F3" w:rsidRDefault="0084301C" w:rsidP="00AF22F3">
      <w:pPr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六、总结与展望</w:t>
      </w:r>
    </w:p>
    <w:p w14:paraId="1C9D7E0D" w14:textId="6A3FC0A4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（一）研究总结</w:t>
      </w:r>
    </w:p>
    <w:p w14:paraId="60F9793C" w14:textId="4A350C20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动力系统格局：形成“纯电主导、混动过渡、氢能补充”的多元化体系。</w:t>
      </w:r>
    </w:p>
    <w:p w14:paraId="4B7520E4" w14:textId="3436D9EE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发动机技术路径：通过高效化、</w:t>
      </w:r>
      <w:proofErr w:type="gramStart"/>
      <w:r w:rsidRPr="00AF22F3">
        <w:rPr>
          <w:rFonts w:ascii="宋体" w:eastAsia="宋体" w:hAnsi="宋体"/>
          <w:sz w:val="24"/>
          <w:szCs w:val="24"/>
        </w:rPr>
        <w:t>混动化</w:t>
      </w:r>
      <w:proofErr w:type="gramEnd"/>
      <w:r w:rsidRPr="00AF22F3">
        <w:rPr>
          <w:rFonts w:ascii="宋体" w:eastAsia="宋体" w:hAnsi="宋体"/>
          <w:sz w:val="24"/>
          <w:szCs w:val="24"/>
        </w:rPr>
        <w:t>及燃料替代实现低碳转型，全生命周期碳排放管理成核心。</w:t>
      </w:r>
    </w:p>
    <w:p w14:paraId="677BB3E0" w14:textId="5D16D5B8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（二）未来展望</w:t>
      </w:r>
    </w:p>
    <w:p w14:paraId="0FB08B8B" w14:textId="079D09DE" w:rsidR="0084301C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技术突破：2025年固态电池量产，氢内燃机热效率突破50%。</w:t>
      </w:r>
    </w:p>
    <w:p w14:paraId="0BA6B106" w14:textId="11BB65FD" w:rsidR="00E13C81" w:rsidRPr="00AF22F3" w:rsidRDefault="0084301C" w:rsidP="00AF22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AF22F3">
        <w:rPr>
          <w:rFonts w:ascii="宋体" w:eastAsia="宋体" w:hAnsi="宋体"/>
          <w:sz w:val="24"/>
          <w:szCs w:val="24"/>
        </w:rPr>
        <w:t>全球化竞争：中国需加强核心技术自主可控（如燃料电池催化剂、芯片），应对欧盟碳关税。</w:t>
      </w:r>
    </w:p>
    <w:sectPr w:rsidR="00E13C81" w:rsidRPr="00AF22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7B0D8F" w14:textId="77777777" w:rsidR="00531CDA" w:rsidRDefault="00531CDA" w:rsidP="00BA6522">
      <w:r>
        <w:separator/>
      </w:r>
    </w:p>
  </w:endnote>
  <w:endnote w:type="continuationSeparator" w:id="0">
    <w:p w14:paraId="72D1E65E" w14:textId="77777777" w:rsidR="00531CDA" w:rsidRDefault="00531CDA" w:rsidP="00BA6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012CE8" w14:textId="77777777" w:rsidR="00531CDA" w:rsidRDefault="00531CDA" w:rsidP="00BA6522">
      <w:r>
        <w:separator/>
      </w:r>
    </w:p>
  </w:footnote>
  <w:footnote w:type="continuationSeparator" w:id="0">
    <w:p w14:paraId="488B15E2" w14:textId="77777777" w:rsidR="00531CDA" w:rsidRDefault="00531CDA" w:rsidP="00BA65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C81"/>
    <w:rsid w:val="0003678F"/>
    <w:rsid w:val="001E5605"/>
    <w:rsid w:val="00531CDA"/>
    <w:rsid w:val="005E0B62"/>
    <w:rsid w:val="006E723A"/>
    <w:rsid w:val="0084301C"/>
    <w:rsid w:val="009371EF"/>
    <w:rsid w:val="00AF22F3"/>
    <w:rsid w:val="00BA6522"/>
    <w:rsid w:val="00D3720A"/>
    <w:rsid w:val="00E13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3E8FDE"/>
  <w15:chartTrackingRefBased/>
  <w15:docId w15:val="{C36735AF-4C74-4E21-A44D-94D7026E5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A652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A65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A65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A6522"/>
    <w:rPr>
      <w:sz w:val="18"/>
      <w:szCs w:val="18"/>
    </w:rPr>
  </w:style>
  <w:style w:type="table" w:styleId="a7">
    <w:name w:val="Table Grid"/>
    <w:basedOn w:val="a1"/>
    <w:uiPriority w:val="39"/>
    <w:rsid w:val="00BA65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789B54-FD7E-43FA-85DB-AC1D3EB46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7</cp:revision>
  <dcterms:created xsi:type="dcterms:W3CDTF">2025-04-21T07:26:00Z</dcterms:created>
  <dcterms:modified xsi:type="dcterms:W3CDTF">2025-06-23T03:47:00Z</dcterms:modified>
</cp:coreProperties>
</file>