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DB453" w14:textId="100C9051" w:rsidR="00A96D37" w:rsidRPr="00A96D37" w:rsidRDefault="00A96D37" w:rsidP="00A96D37">
      <w:pPr>
        <w:jc w:val="center"/>
        <w:rPr>
          <w:sz w:val="40"/>
          <w:szCs w:val="44"/>
        </w:rPr>
      </w:pPr>
      <w:r w:rsidRPr="00A96D37">
        <w:rPr>
          <w:rFonts w:hint="eastAsia"/>
          <w:sz w:val="40"/>
          <w:szCs w:val="44"/>
        </w:rPr>
        <w:t>西南交通大学</w:t>
      </w:r>
      <w:r>
        <w:rPr>
          <w:rFonts w:hint="eastAsia"/>
          <w:sz w:val="40"/>
          <w:szCs w:val="44"/>
        </w:rPr>
        <w:t>控制工程</w:t>
      </w:r>
      <w:r w:rsidRPr="00A96D37">
        <w:rPr>
          <w:rFonts w:hint="eastAsia"/>
          <w:sz w:val="40"/>
          <w:szCs w:val="44"/>
        </w:rPr>
        <w:t>基础实验报告</w:t>
      </w:r>
    </w:p>
    <w:p w14:paraId="1F99AF58" w14:textId="65ABECF4" w:rsidR="00E72595" w:rsidRPr="003C5115" w:rsidRDefault="00A96D37" w:rsidP="00A96D37">
      <w:pPr>
        <w:rPr>
          <w:bCs/>
        </w:rPr>
      </w:pPr>
      <w:r w:rsidRPr="00A96D37">
        <w:rPr>
          <w:rFonts w:hint="eastAsia"/>
        </w:rPr>
        <w:t>任铎2</w:t>
      </w:r>
      <w:r w:rsidRPr="00A96D37">
        <w:t xml:space="preserve">021111750   </w:t>
      </w:r>
      <w:r w:rsidRPr="00A96D37">
        <w:rPr>
          <w:rFonts w:hint="eastAsia"/>
        </w:rPr>
        <w:t>班级：车辆2</w:t>
      </w:r>
      <w:r w:rsidRPr="00A96D37">
        <w:t>022-05</w:t>
      </w:r>
      <w:r w:rsidRPr="00A96D37">
        <w:rPr>
          <w:rFonts w:hint="eastAsia"/>
        </w:rPr>
        <w:t>班</w:t>
      </w:r>
      <w:r w:rsidRPr="00A96D37">
        <w:t xml:space="preserve">   </w:t>
      </w:r>
      <w:r w:rsidRPr="00A96D37">
        <w:rPr>
          <w:rFonts w:hint="eastAsia"/>
        </w:rPr>
        <w:t>实验名称</w:t>
      </w:r>
      <w:r w:rsidRPr="00A96D37">
        <w:t>:</w:t>
      </w:r>
      <w:r w:rsidR="003C5115" w:rsidRPr="003C5115">
        <w:rPr>
          <w:rFonts w:ascii="楷体" w:eastAsia="楷体" w:hAnsi="楷体" w:hint="eastAsia"/>
          <w:b/>
          <w:color w:val="000000"/>
          <w:szCs w:val="21"/>
        </w:rPr>
        <w:t xml:space="preserve"> </w:t>
      </w:r>
      <w:r w:rsidR="003C5115" w:rsidRPr="003C5115">
        <w:rPr>
          <w:rFonts w:hint="eastAsia"/>
        </w:rPr>
        <w:t>线性系统的频率响应分析</w:t>
      </w:r>
    </w:p>
    <w:p w14:paraId="29421512" w14:textId="77777777" w:rsidR="003C5115" w:rsidRDefault="004C7DFF" w:rsidP="003C5115">
      <w:pPr>
        <w:spacing w:line="312" w:lineRule="auto"/>
        <w:rPr>
          <w:rFonts w:ascii="黑体" w:eastAsia="黑体" w:hAnsi="黑体"/>
          <w:bCs/>
          <w:sz w:val="28"/>
          <w:szCs w:val="28"/>
        </w:rPr>
      </w:pPr>
      <w:r w:rsidRPr="004C7DFF">
        <w:rPr>
          <w:rFonts w:ascii="黑体" w:eastAsia="黑体" w:hAnsi="黑体" w:hint="eastAsia"/>
          <w:bCs/>
          <w:sz w:val="28"/>
          <w:szCs w:val="28"/>
        </w:rPr>
        <w:t>实验目的：</w:t>
      </w:r>
    </w:p>
    <w:p w14:paraId="4A5A7AF1" w14:textId="3342EB1A" w:rsidR="003C5115" w:rsidRPr="003C5115" w:rsidRDefault="003C5115" w:rsidP="003C5115">
      <w:pPr>
        <w:spacing w:before="72" w:line="311" w:lineRule="auto"/>
        <w:ind w:firstLine="620"/>
        <w:rPr>
          <w:rFonts w:ascii="楷体" w:eastAsia="楷体" w:hAnsi="楷体" w:cs="Times New Roman"/>
          <w:szCs w:val="21"/>
        </w:rPr>
      </w:pPr>
      <w:r w:rsidRPr="003C5115">
        <w:rPr>
          <w:rFonts w:ascii="楷体" w:eastAsia="楷体" w:hAnsi="楷体" w:cs="Times New Roman" w:hint="eastAsia"/>
          <w:color w:val="000000"/>
          <w:szCs w:val="21"/>
        </w:rPr>
        <w:t>1．掌握</w:t>
      </w:r>
      <w:proofErr w:type="gramStart"/>
      <w:r w:rsidRPr="003C5115">
        <w:rPr>
          <w:rFonts w:ascii="楷体" w:eastAsia="楷体" w:hAnsi="楷体" w:cs="Times New Roman" w:hint="eastAsia"/>
          <w:color w:val="000000"/>
          <w:szCs w:val="21"/>
        </w:rPr>
        <w:t>波特图</w:t>
      </w:r>
      <w:proofErr w:type="gramEnd"/>
      <w:r w:rsidRPr="003C5115">
        <w:rPr>
          <w:rFonts w:ascii="楷体" w:eastAsia="楷体" w:hAnsi="楷体" w:cs="Times New Roman" w:hint="eastAsia"/>
          <w:color w:val="000000"/>
          <w:szCs w:val="21"/>
        </w:rPr>
        <w:t>的绘制方法及由</w:t>
      </w:r>
      <w:proofErr w:type="gramStart"/>
      <w:r w:rsidRPr="003C5115">
        <w:rPr>
          <w:rFonts w:ascii="楷体" w:eastAsia="楷体" w:hAnsi="楷体" w:cs="Times New Roman" w:hint="eastAsia"/>
          <w:color w:val="000000"/>
          <w:szCs w:val="21"/>
        </w:rPr>
        <w:t>波特图</w:t>
      </w:r>
      <w:proofErr w:type="gramEnd"/>
      <w:r w:rsidRPr="003C5115">
        <w:rPr>
          <w:rFonts w:ascii="楷体" w:eastAsia="楷体" w:hAnsi="楷体" w:cs="Times New Roman" w:hint="eastAsia"/>
          <w:color w:val="000000"/>
          <w:szCs w:val="21"/>
        </w:rPr>
        <w:t>来确定系统开环传函。</w:t>
      </w:r>
    </w:p>
    <w:p w14:paraId="1BD0E195" w14:textId="734B7517" w:rsidR="004C7DFF" w:rsidRPr="003C5115" w:rsidRDefault="003C5115" w:rsidP="003C5115">
      <w:pPr>
        <w:ind w:firstLine="600"/>
        <w:rPr>
          <w:rFonts w:ascii="楷体" w:eastAsia="楷体" w:hAnsi="楷体" w:cs="Times New Roman"/>
          <w:szCs w:val="21"/>
        </w:rPr>
      </w:pPr>
      <w:r w:rsidRPr="003C5115">
        <w:rPr>
          <w:rFonts w:ascii="楷体" w:eastAsia="楷体" w:hAnsi="楷体" w:cs="Times New Roman" w:hint="eastAsia"/>
          <w:color w:val="000000"/>
          <w:szCs w:val="21"/>
        </w:rPr>
        <w:t>2．掌握实验方法测量系统的波特图。</w:t>
      </w:r>
    </w:p>
    <w:p w14:paraId="1044851F" w14:textId="30D7FA74" w:rsidR="004C7DFF" w:rsidRDefault="004C7DFF" w:rsidP="00A96D37">
      <w:pPr>
        <w:rPr>
          <w:rFonts w:ascii="黑体" w:eastAsia="黑体" w:hAnsi="黑体"/>
          <w:bCs/>
          <w:sz w:val="28"/>
          <w:szCs w:val="28"/>
        </w:rPr>
      </w:pPr>
      <w:r>
        <w:rPr>
          <w:rFonts w:ascii="黑体" w:eastAsia="黑体" w:hAnsi="黑体" w:hint="eastAsia"/>
          <w:bCs/>
          <w:sz w:val="28"/>
          <w:szCs w:val="28"/>
        </w:rPr>
        <w:t>实验仪器：</w:t>
      </w:r>
    </w:p>
    <w:p w14:paraId="68AFFACC" w14:textId="6CB212D8" w:rsidR="003C5115" w:rsidRPr="003C5115" w:rsidRDefault="003C5115" w:rsidP="003C5115">
      <w:pPr>
        <w:spacing w:before="72" w:line="311" w:lineRule="auto"/>
        <w:ind w:firstLine="580"/>
        <w:rPr>
          <w:rFonts w:ascii="楷体" w:eastAsia="楷体" w:hAnsi="楷体" w:cs="Times New Roman"/>
          <w:szCs w:val="21"/>
        </w:rPr>
      </w:pPr>
      <w:r w:rsidRPr="003C5115">
        <w:rPr>
          <w:rFonts w:ascii="楷体" w:eastAsia="楷体" w:hAnsi="楷体" w:cs="Times New Roman" w:hint="eastAsia"/>
          <w:color w:val="000000"/>
          <w:szCs w:val="21"/>
        </w:rPr>
        <w:t>PC机一台，TDX-ACC教学实验系统一套。</w:t>
      </w:r>
    </w:p>
    <w:p w14:paraId="56F139C7" w14:textId="0689E05C" w:rsidR="004C7DFF" w:rsidRDefault="004C7DFF" w:rsidP="00A96D37">
      <w:pPr>
        <w:rPr>
          <w:rFonts w:ascii="黑体" w:eastAsia="黑体" w:hAnsi="黑体"/>
          <w:bCs/>
          <w:sz w:val="28"/>
          <w:szCs w:val="28"/>
        </w:rPr>
      </w:pPr>
      <w:r>
        <w:rPr>
          <w:rFonts w:ascii="黑体" w:eastAsia="黑体" w:hAnsi="黑体" w:hint="eastAsia"/>
          <w:bCs/>
          <w:sz w:val="28"/>
          <w:szCs w:val="28"/>
        </w:rPr>
        <w:t>实验原理：</w:t>
      </w:r>
    </w:p>
    <w:p w14:paraId="059442B9" w14:textId="77777777" w:rsidR="003C5115" w:rsidRPr="003C5115" w:rsidRDefault="003C5115" w:rsidP="003C5115">
      <w:pPr>
        <w:spacing w:before="92" w:line="311" w:lineRule="auto"/>
        <w:ind w:firstLine="280"/>
        <w:rPr>
          <w:rFonts w:ascii="楷体" w:eastAsia="楷体" w:hAnsi="楷体" w:cs="Times New Roman"/>
          <w:szCs w:val="21"/>
        </w:rPr>
      </w:pPr>
      <w:r w:rsidRPr="003C5115">
        <w:rPr>
          <w:rFonts w:ascii="楷体" w:eastAsia="楷体" w:hAnsi="楷体" w:cs="Times New Roman" w:hint="eastAsia"/>
          <w:b/>
          <w:color w:val="000000"/>
          <w:szCs w:val="21"/>
        </w:rPr>
        <w:t>（一）.实验原理</w:t>
      </w:r>
    </w:p>
    <w:p w14:paraId="23D05B12" w14:textId="77777777" w:rsidR="003C5115" w:rsidRPr="003C5115" w:rsidRDefault="003C5115" w:rsidP="003C5115">
      <w:pPr>
        <w:spacing w:line="220" w:lineRule="auto"/>
        <w:ind w:firstLine="340"/>
        <w:rPr>
          <w:rFonts w:ascii="楷体" w:eastAsia="楷体" w:hAnsi="楷体" w:cs="Times New Roman"/>
          <w:szCs w:val="21"/>
        </w:rPr>
      </w:pPr>
      <w:r w:rsidRPr="003C5115">
        <w:rPr>
          <w:rFonts w:ascii="楷体" w:eastAsia="楷体" w:hAnsi="楷体" w:cs="Times New Roman" w:hint="eastAsia"/>
          <w:b/>
          <w:color w:val="000000"/>
          <w:szCs w:val="21"/>
        </w:rPr>
        <w:t>1．频率特性</w:t>
      </w:r>
    </w:p>
    <w:p w14:paraId="0B428D4C" w14:textId="77777777" w:rsidR="003C5115" w:rsidRPr="003C5115" w:rsidRDefault="003C5115" w:rsidP="003C5115">
      <w:pPr>
        <w:spacing w:line="264" w:lineRule="auto"/>
        <w:ind w:left="100" w:right="340" w:firstLine="480"/>
        <w:rPr>
          <w:rFonts w:ascii="楷体" w:eastAsia="楷体" w:hAnsi="楷体" w:cs="Times New Roman"/>
          <w:szCs w:val="21"/>
        </w:rPr>
      </w:pPr>
      <w:r w:rsidRPr="003C5115">
        <w:rPr>
          <w:rFonts w:ascii="楷体" w:eastAsia="楷体" w:hAnsi="楷体" w:cs="Times New Roman" w:hint="eastAsia"/>
          <w:color w:val="000000"/>
          <w:szCs w:val="21"/>
        </w:rPr>
        <w:t>当输入正弦信号时，线性系统的稳态响应具有随频率（ω由0变至ω）而变化的特性。频率响应法的基本思想是：尽管控制系统的输入信号不是正弦函数，而是其它形式的周期函数或非周期函数，但是，实际上的周期信号，都能满足狄利克莱条件，可以用富氏级数展开为各种谐波分量；而非周期信号也可以使用富氏积分表示为连续的频谱函数。因此，根据控制系统对正弦输入信号的响应，可推算出系统在任意周期信号或非周期信号作用下的运动情况。</w:t>
      </w:r>
    </w:p>
    <w:p w14:paraId="1333423A" w14:textId="77777777" w:rsidR="003C5115" w:rsidRPr="003C5115" w:rsidRDefault="003C5115" w:rsidP="003C5115">
      <w:pPr>
        <w:rPr>
          <w:rFonts w:ascii="楷体" w:eastAsia="楷体" w:hAnsi="楷体" w:cs="Times New Roman"/>
          <w:color w:val="000000"/>
          <w:szCs w:val="21"/>
        </w:rPr>
      </w:pPr>
    </w:p>
    <w:p w14:paraId="30806597" w14:textId="77777777" w:rsidR="003C5115" w:rsidRPr="003C5115" w:rsidRDefault="003C5115" w:rsidP="003C5115">
      <w:pPr>
        <w:spacing w:before="16" w:line="311" w:lineRule="auto"/>
        <w:ind w:firstLine="300"/>
        <w:rPr>
          <w:rFonts w:ascii="楷体" w:eastAsia="楷体" w:hAnsi="楷体" w:cs="Times New Roman"/>
          <w:szCs w:val="21"/>
        </w:rPr>
      </w:pPr>
      <w:r w:rsidRPr="003C5115">
        <w:rPr>
          <w:rFonts w:ascii="楷体" w:eastAsia="楷体" w:hAnsi="楷体" w:cs="Times New Roman" w:hint="eastAsia"/>
          <w:b/>
          <w:color w:val="000000"/>
          <w:szCs w:val="21"/>
        </w:rPr>
        <w:t>2．线性系统的频率特性</w:t>
      </w:r>
    </w:p>
    <w:p w14:paraId="48C62660" w14:textId="77777777" w:rsidR="003C5115" w:rsidRPr="003C5115" w:rsidRDefault="003C5115" w:rsidP="003C5115">
      <w:pPr>
        <w:spacing w:before="140" w:line="383" w:lineRule="auto"/>
        <w:ind w:left="20" w:right="300" w:firstLine="460"/>
        <w:rPr>
          <w:rFonts w:ascii="楷体" w:eastAsia="楷体" w:hAnsi="楷体" w:cs="Times New Roman"/>
          <w:szCs w:val="21"/>
        </w:rPr>
      </w:pPr>
      <w:r w:rsidRPr="003C5115">
        <w:rPr>
          <w:rFonts w:ascii="楷体" w:eastAsia="楷体" w:hAnsi="楷体" w:cs="Times New Roman" w:hint="eastAsia"/>
          <w:color w:val="000000"/>
          <w:szCs w:val="21"/>
        </w:rPr>
        <w:t>系统的正弦稳态响应具有和正弦输入信号的幅值比|Φ(jω)|和相位差∠Φ(jω)随角频率（ω由0变到00）变化的特性。而幅值比|Φ(jω)和相位差&lt;Φ(jω)恰好是函数Φ(jω)的模</w:t>
      </w:r>
      <w:proofErr w:type="gramStart"/>
      <w:r w:rsidRPr="003C5115">
        <w:rPr>
          <w:rFonts w:ascii="楷体" w:eastAsia="楷体" w:hAnsi="楷体" w:cs="Times New Roman" w:hint="eastAsia"/>
          <w:color w:val="000000"/>
          <w:szCs w:val="21"/>
        </w:rPr>
        <w:t>和幅角</w:t>
      </w:r>
      <w:proofErr w:type="gramEnd"/>
      <w:r w:rsidRPr="003C5115">
        <w:rPr>
          <w:rFonts w:ascii="楷体" w:eastAsia="楷体" w:hAnsi="楷体" w:cs="Times New Roman" w:hint="eastAsia"/>
          <w:color w:val="000000"/>
          <w:szCs w:val="21"/>
        </w:rPr>
        <w:t>。所以只要把系统的传递函数Φ(s)，令s=jω，即可得到 0(jω)。我们把Φ(jω)称为(C 系统的频率特性或频率传递函数。当ω由0到o变化时，|Φ(jω)|随频率ω的变化特性成为幅频特性，∠Φ(jω)随频率ω的变化特性称为相频特性。幅频特性和相频特性结合在一起时称为频率特性。</w:t>
      </w:r>
    </w:p>
    <w:p w14:paraId="74BB0684" w14:textId="77777777" w:rsidR="003C5115" w:rsidRPr="003C5115" w:rsidRDefault="003C5115" w:rsidP="003C5115">
      <w:pPr>
        <w:rPr>
          <w:rFonts w:ascii="楷体" w:eastAsia="楷体" w:hAnsi="楷体" w:cs="Times New Roman"/>
          <w:color w:val="000000"/>
          <w:szCs w:val="21"/>
        </w:rPr>
      </w:pPr>
    </w:p>
    <w:p w14:paraId="45F5E765" w14:textId="77777777" w:rsidR="003C5115" w:rsidRPr="003C5115" w:rsidRDefault="003C5115" w:rsidP="003C5115">
      <w:pPr>
        <w:spacing w:line="220" w:lineRule="auto"/>
        <w:ind w:firstLine="240"/>
        <w:rPr>
          <w:rFonts w:ascii="楷体" w:eastAsia="楷体" w:hAnsi="楷体" w:cs="Times New Roman"/>
          <w:szCs w:val="21"/>
        </w:rPr>
      </w:pPr>
      <w:r w:rsidRPr="003C5115">
        <w:rPr>
          <w:rFonts w:ascii="楷体" w:eastAsia="楷体" w:hAnsi="楷体" w:cs="Times New Roman" w:hint="eastAsia"/>
          <w:b/>
          <w:color w:val="000000"/>
          <w:szCs w:val="21"/>
        </w:rPr>
        <w:t>3．频率特性的表达式</w:t>
      </w:r>
    </w:p>
    <w:p w14:paraId="05BAE7D6" w14:textId="77777777" w:rsidR="003C5115" w:rsidRPr="003C5115" w:rsidRDefault="003C5115" w:rsidP="003C5115">
      <w:pPr>
        <w:spacing w:before="46" w:line="311" w:lineRule="auto"/>
        <w:ind w:left="20" w:right="260" w:firstLine="440"/>
        <w:rPr>
          <w:rFonts w:ascii="楷体" w:eastAsia="楷体" w:hAnsi="楷体" w:cs="Times New Roman"/>
          <w:szCs w:val="21"/>
        </w:rPr>
      </w:pPr>
      <w:r w:rsidRPr="003C5115">
        <w:rPr>
          <w:rFonts w:ascii="楷体" w:eastAsia="楷体" w:hAnsi="楷体" w:cs="Times New Roman" w:hint="eastAsia"/>
          <w:color w:val="000000"/>
          <w:szCs w:val="21"/>
        </w:rPr>
        <w:t>（1）对数频率特性：又称波特图，它包括对数</w:t>
      </w:r>
      <w:proofErr w:type="gramStart"/>
      <w:r w:rsidRPr="003C5115">
        <w:rPr>
          <w:rFonts w:ascii="楷体" w:eastAsia="楷体" w:hAnsi="楷体" w:cs="Times New Roman" w:hint="eastAsia"/>
          <w:color w:val="000000"/>
          <w:szCs w:val="21"/>
        </w:rPr>
        <w:t>幅频和对数相频</w:t>
      </w:r>
      <w:proofErr w:type="gramEnd"/>
      <w:r w:rsidRPr="003C5115">
        <w:rPr>
          <w:rFonts w:ascii="楷体" w:eastAsia="楷体" w:hAnsi="楷体" w:cs="Times New Roman" w:hint="eastAsia"/>
          <w:color w:val="000000"/>
          <w:szCs w:val="21"/>
        </w:rPr>
        <w:t>两条曲线，是频率响应法中广泛使用的一组曲线。这两组曲线连同它们的坐标组成了对数坐标图。</w:t>
      </w:r>
    </w:p>
    <w:p w14:paraId="6E5C9D8F" w14:textId="77777777" w:rsidR="003C5115" w:rsidRPr="003C5115" w:rsidRDefault="003C5115" w:rsidP="003C5115">
      <w:pPr>
        <w:spacing w:line="220" w:lineRule="auto"/>
        <w:ind w:firstLine="440"/>
        <w:rPr>
          <w:rFonts w:ascii="楷体" w:eastAsia="楷体" w:hAnsi="楷体" w:cs="Times New Roman"/>
          <w:szCs w:val="21"/>
        </w:rPr>
      </w:pPr>
      <w:r w:rsidRPr="003C5115">
        <w:rPr>
          <w:rFonts w:ascii="楷体" w:eastAsia="楷体" w:hAnsi="楷体" w:cs="Times New Roman" w:hint="eastAsia"/>
          <w:color w:val="000000"/>
          <w:szCs w:val="21"/>
        </w:rPr>
        <w:t>对数频率特性图的优点：</w:t>
      </w:r>
    </w:p>
    <w:p w14:paraId="72156637" w14:textId="77777777" w:rsidR="003C5115" w:rsidRPr="003C5115" w:rsidRDefault="003C5115" w:rsidP="003C5115">
      <w:pPr>
        <w:spacing w:before="17" w:line="311" w:lineRule="auto"/>
        <w:ind w:firstLine="640"/>
        <w:rPr>
          <w:rFonts w:ascii="楷体" w:eastAsia="楷体" w:hAnsi="楷体" w:cs="Times New Roman"/>
          <w:szCs w:val="21"/>
        </w:rPr>
      </w:pPr>
      <w:r w:rsidRPr="003C5115">
        <w:rPr>
          <w:rFonts w:ascii="楷体" w:eastAsia="楷体" w:hAnsi="楷体" w:cs="Times New Roman" w:hint="eastAsia"/>
          <w:color w:val="000000"/>
          <w:szCs w:val="21"/>
        </w:rPr>
        <w:t>① 它把各串联环节幅值的乘除化为加减运算，简化了开环频率特性的计算与作图。</w:t>
      </w:r>
    </w:p>
    <w:p w14:paraId="39FF4225" w14:textId="77777777" w:rsidR="003C5115" w:rsidRPr="003C5115" w:rsidRDefault="003C5115" w:rsidP="003C5115">
      <w:pPr>
        <w:spacing w:line="288" w:lineRule="auto"/>
        <w:ind w:left="160" w:right="240" w:firstLine="460"/>
        <w:rPr>
          <w:rFonts w:ascii="楷体" w:eastAsia="楷体" w:hAnsi="楷体" w:cs="Times New Roman"/>
          <w:szCs w:val="21"/>
        </w:rPr>
      </w:pPr>
      <w:r w:rsidRPr="003C5115">
        <w:rPr>
          <w:rFonts w:ascii="楷体" w:eastAsia="楷体" w:hAnsi="楷体" w:cs="Times New Roman" w:hint="eastAsia"/>
          <w:color w:val="000000"/>
          <w:szCs w:val="21"/>
        </w:rPr>
        <w:t>②利用渐近直线来绘制近似的对数幅频特性曲线，而且对数相频特性曲线具有奇对称于转折频率点的性质，这些可使作图大为简化。</w:t>
      </w:r>
    </w:p>
    <w:p w14:paraId="10994A27" w14:textId="77777777" w:rsidR="003C5115" w:rsidRPr="003C5115" w:rsidRDefault="003C5115" w:rsidP="003C5115">
      <w:pPr>
        <w:spacing w:line="297" w:lineRule="auto"/>
        <w:ind w:left="140" w:right="220" w:firstLine="480"/>
        <w:rPr>
          <w:rFonts w:ascii="楷体" w:eastAsia="楷体" w:hAnsi="楷体" w:cs="Times New Roman"/>
          <w:szCs w:val="21"/>
        </w:rPr>
      </w:pPr>
      <w:r w:rsidRPr="003C5115">
        <w:rPr>
          <w:rFonts w:ascii="楷体" w:eastAsia="楷体" w:hAnsi="楷体" w:cs="Times New Roman" w:hint="eastAsia"/>
          <w:color w:val="000000"/>
          <w:szCs w:val="21"/>
        </w:rPr>
        <w:lastRenderedPageBreak/>
        <w:t>③通过对数的表达式，可以在一张图上既能绘制出频率特性的中、高频率特性，又能清晰地画出其低频特性。</w:t>
      </w:r>
    </w:p>
    <w:p w14:paraId="63BE834C" w14:textId="77777777" w:rsidR="003C5115" w:rsidRPr="003C5115" w:rsidRDefault="003C5115" w:rsidP="003C5115">
      <w:pPr>
        <w:spacing w:before="16" w:line="311" w:lineRule="auto"/>
        <w:ind w:firstLine="360"/>
        <w:rPr>
          <w:rFonts w:ascii="楷体" w:eastAsia="楷体" w:hAnsi="楷体" w:cs="Times New Roman"/>
          <w:szCs w:val="21"/>
        </w:rPr>
      </w:pPr>
      <w:r w:rsidRPr="003C5115">
        <w:rPr>
          <w:rFonts w:ascii="楷体" w:eastAsia="楷体" w:hAnsi="楷体" w:cs="Times New Roman" w:hint="eastAsia"/>
          <w:color w:val="000000"/>
          <w:szCs w:val="21"/>
        </w:rPr>
        <w:t>（2）极坐标图（或称为奈奎斯特图）</w:t>
      </w:r>
    </w:p>
    <w:p w14:paraId="1EBFDF3E" w14:textId="77777777" w:rsidR="003C5115" w:rsidRPr="003C5115" w:rsidRDefault="003C5115" w:rsidP="003C5115">
      <w:pPr>
        <w:spacing w:line="288" w:lineRule="auto"/>
        <w:ind w:firstLine="340"/>
        <w:rPr>
          <w:rFonts w:ascii="楷体" w:eastAsia="楷体" w:hAnsi="楷体" w:cs="Times New Roman"/>
          <w:szCs w:val="21"/>
        </w:rPr>
      </w:pPr>
      <w:r w:rsidRPr="003C5115">
        <w:rPr>
          <w:rFonts w:ascii="楷体" w:eastAsia="楷体" w:hAnsi="楷体" w:cs="Times New Roman" w:hint="eastAsia"/>
          <w:color w:val="000000"/>
          <w:szCs w:val="21"/>
        </w:rPr>
        <w:t>（3）对数幅相图（或称为尼柯尔斯图）</w:t>
      </w:r>
    </w:p>
    <w:p w14:paraId="7270CE82" w14:textId="3656AA3E" w:rsidR="003C5115" w:rsidRPr="003C5115" w:rsidRDefault="003C5115" w:rsidP="003C5115">
      <w:pPr>
        <w:spacing w:line="302" w:lineRule="auto"/>
        <w:ind w:firstLine="340"/>
        <w:rPr>
          <w:rFonts w:ascii="楷体" w:eastAsia="楷体" w:hAnsi="楷体" w:cs="Times New Roman"/>
          <w:szCs w:val="21"/>
        </w:rPr>
      </w:pPr>
      <w:r w:rsidRPr="003C5115">
        <w:rPr>
          <w:rFonts w:ascii="楷体" w:eastAsia="楷体" w:hAnsi="楷体" w:cs="Times New Roman" w:hint="eastAsia"/>
          <w:color w:val="000000"/>
          <w:szCs w:val="21"/>
        </w:rPr>
        <w:t>本次实验中，采用对数频率特性图来进行频域响应的分析研究。</w:t>
      </w:r>
    </w:p>
    <w:p w14:paraId="78B7E0A8" w14:textId="4A95A799" w:rsidR="004C7DFF" w:rsidRDefault="004C7DFF" w:rsidP="00A96D37">
      <w:pPr>
        <w:rPr>
          <w:rFonts w:ascii="黑体" w:eastAsia="黑体" w:hAnsi="黑体"/>
          <w:bCs/>
          <w:sz w:val="28"/>
          <w:szCs w:val="28"/>
        </w:rPr>
      </w:pPr>
      <w:r>
        <w:rPr>
          <w:rFonts w:ascii="黑体" w:eastAsia="黑体" w:hAnsi="黑体" w:hint="eastAsia"/>
          <w:bCs/>
          <w:sz w:val="28"/>
          <w:szCs w:val="28"/>
        </w:rPr>
        <w:t>实验步骤：</w:t>
      </w:r>
    </w:p>
    <w:p w14:paraId="2CA95F75" w14:textId="77777777" w:rsidR="002B6269" w:rsidRPr="002B6269" w:rsidRDefault="002B6269" w:rsidP="002B6269">
      <w:pPr>
        <w:spacing w:before="101" w:line="288" w:lineRule="auto"/>
        <w:ind w:left="100" w:right="20" w:firstLine="500"/>
        <w:rPr>
          <w:rFonts w:ascii="楷体" w:eastAsia="楷体" w:hAnsi="楷体" w:cs="Times New Roman"/>
          <w:szCs w:val="21"/>
        </w:rPr>
      </w:pPr>
      <w:r w:rsidRPr="002B6269">
        <w:rPr>
          <w:rFonts w:ascii="楷体" w:eastAsia="楷体" w:hAnsi="楷体" w:cs="Times New Roman" w:hint="eastAsia"/>
          <w:color w:val="000000"/>
          <w:szCs w:val="21"/>
        </w:rPr>
        <w:t>此次实验，采用直接测量方法测量对象的闭环频率特性及间接测量方法测量对象的频率特性。</w:t>
      </w:r>
    </w:p>
    <w:p w14:paraId="78BFC9D7" w14:textId="77777777" w:rsidR="002B6269" w:rsidRPr="002B6269" w:rsidRDefault="002B6269" w:rsidP="002B6269">
      <w:pPr>
        <w:spacing w:line="259" w:lineRule="auto"/>
        <w:ind w:left="1000" w:right="40" w:hanging="400"/>
        <w:rPr>
          <w:rFonts w:ascii="楷体" w:eastAsia="楷体" w:hAnsi="楷体" w:cs="Times New Roman"/>
          <w:szCs w:val="21"/>
        </w:rPr>
      </w:pPr>
      <w:r w:rsidRPr="002B6269">
        <w:rPr>
          <w:rFonts w:ascii="楷体" w:eastAsia="楷体" w:hAnsi="楷体" w:cs="Times New Roman" w:hint="eastAsia"/>
          <w:b/>
          <w:color w:val="000000"/>
          <w:szCs w:val="21"/>
        </w:rPr>
        <w:t>1．实验接线</w:t>
      </w:r>
      <w:r w:rsidRPr="002B6269">
        <w:rPr>
          <w:rFonts w:ascii="楷体" w:eastAsia="楷体" w:hAnsi="楷体" w:cs="Times New Roman" w:hint="eastAsia"/>
          <w:color w:val="000000"/>
          <w:szCs w:val="21"/>
        </w:rPr>
        <w:t>：按模拟电路图3-2接线，将信号源单元的“ST”插针与“S”插针断开，将“ST”插针与“</w:t>
      </w:r>
      <m:oMath>
        <m:sSup>
          <m:sSupPr>
            <m:ctrlPr>
              <w:rPr>
                <w:rFonts w:ascii="Cambria Math" w:eastAsia="楷体" w:hAnsi="Cambria Math" w:cs="Times New Roman"/>
                <w:szCs w:val="21"/>
              </w:rPr>
            </m:ctrlPr>
          </m:sSupPr>
          <m:e/>
          <m:sup>
            <m:r>
              <m:rPr>
                <m:sty m:val="p"/>
              </m:rPr>
              <w:rPr>
                <w:rFonts w:ascii="Cambria Math" w:eastAsia="楷体" w:hAnsi="Cambria Math" w:cs="Times New Roman" w:hint="eastAsia"/>
                <w:color w:val="000000"/>
                <w:szCs w:val="21"/>
              </w:rPr>
              <m:t>''</m:t>
            </m:r>
          </m:sup>
        </m:sSup>
        <m:r>
          <w:rPr>
            <w:rFonts w:ascii="Cambria Math" w:eastAsia="楷体" w:hAnsi="Cambria Math" w:cs="Times New Roman" w:hint="eastAsia"/>
            <w:color w:val="000000"/>
            <w:szCs w:val="21"/>
          </w:rPr>
          <m:t>+5V</m:t>
        </m:r>
      </m:oMath>
      <w:r w:rsidRPr="002B6269">
        <w:rPr>
          <w:rFonts w:ascii="楷体" w:eastAsia="楷体" w:hAnsi="楷体" w:cs="Times New Roman" w:hint="eastAsia"/>
          <w:color w:val="000000"/>
          <w:szCs w:val="21"/>
        </w:rPr>
        <w:t>”插针用短路块短接。信号输入由信号源正弦波提供，幅值设为3V。</w:t>
      </w:r>
    </w:p>
    <w:p w14:paraId="70AF421A" w14:textId="77777777" w:rsidR="002B6269" w:rsidRPr="002B6269" w:rsidRDefault="002B6269" w:rsidP="002B6269">
      <w:pPr>
        <w:rPr>
          <w:rFonts w:ascii="楷体" w:eastAsia="楷体" w:hAnsi="楷体" w:cs="Times New Roman"/>
          <w:color w:val="000000"/>
          <w:szCs w:val="21"/>
        </w:rPr>
      </w:pPr>
    </w:p>
    <w:p w14:paraId="0E87C92C" w14:textId="77777777" w:rsidR="002B6269" w:rsidRPr="002B6269" w:rsidRDefault="002B6269" w:rsidP="002B6269">
      <w:pPr>
        <w:spacing w:before="88" w:line="288" w:lineRule="auto"/>
        <w:ind w:firstLine="560"/>
        <w:rPr>
          <w:rFonts w:ascii="楷体" w:eastAsia="楷体" w:hAnsi="楷体" w:cs="Times New Roman"/>
          <w:szCs w:val="21"/>
        </w:rPr>
      </w:pPr>
      <w:r w:rsidRPr="002B6269">
        <w:rPr>
          <w:rFonts w:ascii="楷体" w:eastAsia="楷体" w:hAnsi="楷体" w:cs="Times New Roman" w:hint="eastAsia"/>
          <w:b/>
          <w:color w:val="000000"/>
          <w:szCs w:val="21"/>
        </w:rPr>
        <w:t>2．直接测量方法（测对象的闭环频率特性）</w:t>
      </w:r>
    </w:p>
    <w:p w14:paraId="0A3D5BDA" w14:textId="77777777" w:rsidR="002B6269" w:rsidRPr="002B6269" w:rsidRDefault="002B6269" w:rsidP="002B6269">
      <w:pPr>
        <w:spacing w:before="1" w:line="288" w:lineRule="auto"/>
        <w:ind w:left="60" w:right="40" w:firstLine="560"/>
        <w:rPr>
          <w:rFonts w:ascii="楷体" w:eastAsia="楷体" w:hAnsi="楷体" w:cs="Times New Roman"/>
          <w:szCs w:val="21"/>
        </w:rPr>
      </w:pPr>
      <w:r w:rsidRPr="002B6269">
        <w:rPr>
          <w:rFonts w:ascii="楷体" w:eastAsia="楷体" w:hAnsi="楷体" w:cs="Times New Roman" w:hint="eastAsia"/>
          <w:color w:val="000000"/>
          <w:szCs w:val="21"/>
        </w:rPr>
        <w:t>（1）“CH1”路表笔插至图3-2中的信号输入端。“CH2”路测量图3-2中的4＃运放输出端。</w:t>
      </w:r>
    </w:p>
    <w:p w14:paraId="3BD2E5BE" w14:textId="24C47D92" w:rsidR="002B6269" w:rsidRDefault="002B6269" w:rsidP="002B6269">
      <w:pPr>
        <w:spacing w:line="263" w:lineRule="auto"/>
        <w:ind w:left="40" w:firstLine="500"/>
        <w:rPr>
          <w:rFonts w:ascii="楷体" w:eastAsia="楷体" w:hAnsi="楷体" w:cs="Times New Roman"/>
          <w:color w:val="000000"/>
          <w:szCs w:val="21"/>
        </w:rPr>
      </w:pPr>
      <w:r w:rsidRPr="002B6269">
        <w:rPr>
          <w:rFonts w:ascii="楷体" w:eastAsia="楷体" w:hAnsi="楷体" w:cs="Times New Roman" w:hint="eastAsia"/>
          <w:color w:val="000000"/>
          <w:szCs w:val="21"/>
        </w:rPr>
        <w:t>（2）进入“频率特性分析”界面，调节正弦波频率（如下表所示），将其接到图3-2中信号输入端</w:t>
      </w:r>
      <w:r>
        <w:rPr>
          <w:rFonts w:ascii="楷体" w:eastAsia="楷体" w:hAnsi="楷体" w:cs="Times New Roman" w:hint="eastAsia"/>
          <w:color w:val="000000"/>
          <w:szCs w:val="21"/>
        </w:rPr>
        <w:t>。</w:t>
      </w:r>
    </w:p>
    <w:p w14:paraId="3ECD9CCD" w14:textId="7CC5657A" w:rsidR="002B6269" w:rsidRPr="002B6269" w:rsidRDefault="002B6269" w:rsidP="002B6269">
      <w:pPr>
        <w:spacing w:line="263" w:lineRule="auto"/>
        <w:ind w:left="40" w:firstLine="500"/>
        <w:rPr>
          <w:rFonts w:ascii="楷体" w:eastAsia="楷体" w:hAnsi="楷体" w:cs="Times New Roman"/>
          <w:szCs w:val="21"/>
        </w:rPr>
      </w:pPr>
      <w:r w:rsidRPr="002B6269">
        <w:rPr>
          <w:rFonts w:ascii="楷体" w:eastAsia="楷体" w:hAnsi="楷体" w:cs="Times New Roman" w:hint="eastAsia"/>
          <w:color w:val="000000"/>
          <w:szCs w:val="21"/>
        </w:rPr>
        <w:t>（3）在每一个频率测量点，需要移动游标，将两路游标同时放置在两路信号的相邻的波峰（波谷）处，或零点处，来确定两路信号的相位偏移。两路信号的幅值系统将自动读出。按输入，录入数据。重复操作（3），直到所有参数测量完毕。</w:t>
      </w:r>
    </w:p>
    <w:p w14:paraId="71053910" w14:textId="77777777" w:rsidR="002B6269" w:rsidRPr="002B6269" w:rsidRDefault="002B6269" w:rsidP="002B6269">
      <w:pPr>
        <w:spacing w:before="15" w:line="287" w:lineRule="auto"/>
        <w:ind w:left="160" w:right="720" w:firstLine="500"/>
        <w:rPr>
          <w:rFonts w:ascii="楷体" w:eastAsia="楷体" w:hAnsi="楷体" w:cs="Times New Roman"/>
          <w:szCs w:val="21"/>
        </w:rPr>
      </w:pPr>
      <w:r w:rsidRPr="002B6269">
        <w:rPr>
          <w:rFonts w:ascii="楷体" w:eastAsia="楷体" w:hAnsi="楷体" w:cs="Times New Roman" w:hint="eastAsia"/>
          <w:color w:val="000000"/>
          <w:szCs w:val="21"/>
        </w:rPr>
        <w:t>（4）待所有参数测量完毕后，点击“B”按钮，弹出</w:t>
      </w:r>
      <w:proofErr w:type="gramStart"/>
      <w:r w:rsidRPr="002B6269">
        <w:rPr>
          <w:rFonts w:ascii="楷体" w:eastAsia="楷体" w:hAnsi="楷体" w:cs="Times New Roman" w:hint="eastAsia"/>
          <w:color w:val="000000"/>
          <w:szCs w:val="21"/>
        </w:rPr>
        <w:t>波特图</w:t>
      </w:r>
      <w:proofErr w:type="gramEnd"/>
      <w:r w:rsidRPr="002B6269">
        <w:rPr>
          <w:rFonts w:ascii="楷体" w:eastAsia="楷体" w:hAnsi="楷体" w:cs="Times New Roman" w:hint="eastAsia"/>
          <w:color w:val="000000"/>
          <w:szCs w:val="21"/>
        </w:rPr>
        <w:t>窗口，观察所测得的波特图，该图由若干点构成，</w:t>
      </w:r>
      <w:proofErr w:type="gramStart"/>
      <w:r w:rsidRPr="002B6269">
        <w:rPr>
          <w:rFonts w:ascii="楷体" w:eastAsia="楷体" w:hAnsi="楷体" w:cs="Times New Roman" w:hint="eastAsia"/>
          <w:color w:val="000000"/>
          <w:szCs w:val="21"/>
        </w:rPr>
        <w:t>幅频和</w:t>
      </w:r>
      <w:proofErr w:type="gramEnd"/>
      <w:r w:rsidRPr="002B6269">
        <w:rPr>
          <w:rFonts w:ascii="楷体" w:eastAsia="楷体" w:hAnsi="楷体" w:cs="Times New Roman" w:hint="eastAsia"/>
          <w:color w:val="000000"/>
          <w:szCs w:val="21"/>
        </w:rPr>
        <w:t>相频上同一角频率下两个点对应一组参数下的测量结果。</w:t>
      </w:r>
    </w:p>
    <w:p w14:paraId="6A4B7BA3" w14:textId="211211D3" w:rsidR="003C5115" w:rsidRPr="002B6269" w:rsidRDefault="002B6269" w:rsidP="002B6269">
      <w:pPr>
        <w:spacing w:line="384" w:lineRule="auto"/>
        <w:ind w:left="160" w:right="20" w:firstLine="460"/>
        <w:rPr>
          <w:rFonts w:ascii="楷体" w:eastAsia="楷体" w:hAnsi="楷体" w:cs="Times New Roman"/>
          <w:szCs w:val="21"/>
        </w:rPr>
      </w:pPr>
      <w:r w:rsidRPr="002B6269">
        <w:rPr>
          <w:rFonts w:ascii="楷体" w:eastAsia="楷体" w:hAnsi="楷体" w:cs="Times New Roman" w:hint="eastAsia"/>
          <w:color w:val="000000"/>
          <w:szCs w:val="21"/>
        </w:rPr>
        <w:t>（5）若对某些测量点不满意，可点击“返回”清除后重新输入，直到达到满意的效果。点击“P”按钮，</w:t>
      </w:r>
    </w:p>
    <w:p w14:paraId="5BB5F9C3" w14:textId="79503D1B" w:rsidR="004C7DFF" w:rsidRDefault="004C7DFF" w:rsidP="00A96D37">
      <w:pPr>
        <w:rPr>
          <w:rFonts w:ascii="黑体" w:eastAsia="黑体" w:hAnsi="黑体"/>
          <w:bCs/>
          <w:sz w:val="28"/>
          <w:szCs w:val="28"/>
        </w:rPr>
      </w:pPr>
      <w:r>
        <w:rPr>
          <w:rFonts w:ascii="黑体" w:eastAsia="黑体" w:hAnsi="黑体" w:hint="eastAsia"/>
          <w:bCs/>
          <w:sz w:val="28"/>
          <w:szCs w:val="28"/>
        </w:rPr>
        <w:t>原始数据及数据处理：</w:t>
      </w:r>
    </w:p>
    <w:p w14:paraId="16452188" w14:textId="353C5302" w:rsidR="004D7D59" w:rsidRPr="004D7D59" w:rsidRDefault="004D7D59" w:rsidP="00A96D37">
      <w:pPr>
        <w:rPr>
          <w:rFonts w:ascii="黑体" w:eastAsia="黑体" w:hAnsi="黑体"/>
          <w:bCs/>
          <w:sz w:val="28"/>
          <w:szCs w:val="28"/>
        </w:rPr>
      </w:pPr>
      <w:r w:rsidRPr="004D7D59">
        <w:rPr>
          <w:rFonts w:hint="eastAsia"/>
          <w:noProof/>
        </w:rPr>
        <w:lastRenderedPageBreak/>
        <w:drawing>
          <wp:inline distT="0" distB="0" distL="0" distR="0" wp14:anchorId="1A5F1DE4" wp14:editId="7D8A2CE9">
            <wp:extent cx="5274310" cy="2682875"/>
            <wp:effectExtent l="0" t="0" r="2540" b="3175"/>
            <wp:docPr id="1004640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682875"/>
                    </a:xfrm>
                    <a:prstGeom prst="rect">
                      <a:avLst/>
                    </a:prstGeom>
                    <a:noFill/>
                    <a:ln>
                      <a:noFill/>
                    </a:ln>
                  </pic:spPr>
                </pic:pic>
              </a:graphicData>
            </a:graphic>
          </wp:inline>
        </w:drawing>
      </w:r>
    </w:p>
    <w:p w14:paraId="161301A0" w14:textId="23D9055C" w:rsidR="004C7DFF" w:rsidRDefault="004C7DFF" w:rsidP="00A96D37">
      <w:pPr>
        <w:rPr>
          <w:rFonts w:ascii="黑体" w:eastAsia="黑体" w:hAnsi="黑体"/>
          <w:bCs/>
          <w:sz w:val="28"/>
          <w:szCs w:val="28"/>
        </w:rPr>
      </w:pPr>
      <w:r>
        <w:rPr>
          <w:rFonts w:ascii="黑体" w:eastAsia="黑体" w:hAnsi="黑体" w:hint="eastAsia"/>
          <w:bCs/>
          <w:sz w:val="28"/>
          <w:szCs w:val="28"/>
        </w:rPr>
        <w:t>学习体会、误差分析或实验设计：</w:t>
      </w:r>
    </w:p>
    <w:p w14:paraId="6472B3C0" w14:textId="3ECA6D0E" w:rsidR="004531D4" w:rsidRDefault="004531D4" w:rsidP="004531D4">
      <w:pPr>
        <w:rPr>
          <w:rFonts w:ascii="宋体" w:eastAsia="宋体" w:hAnsi="宋体"/>
          <w:sz w:val="24"/>
          <w:szCs w:val="24"/>
        </w:rPr>
      </w:pPr>
      <w:r w:rsidRPr="004531D4">
        <w:rPr>
          <w:rFonts w:ascii="宋体" w:eastAsia="宋体" w:hAnsi="宋体" w:hint="eastAsia"/>
          <w:sz w:val="24"/>
          <w:szCs w:val="24"/>
        </w:rPr>
        <w:t>1．根据波登图</w:t>
      </w:r>
      <w:proofErr w:type="gramStart"/>
      <w:r w:rsidRPr="004531D4">
        <w:rPr>
          <w:rFonts w:ascii="宋体" w:eastAsia="宋体" w:hAnsi="宋体" w:hint="eastAsia"/>
          <w:sz w:val="24"/>
          <w:szCs w:val="24"/>
        </w:rPr>
        <w:t>作出</w:t>
      </w:r>
      <w:proofErr w:type="gramEnd"/>
      <w:r w:rsidRPr="004531D4">
        <w:rPr>
          <w:rFonts w:ascii="宋体" w:eastAsia="宋体" w:hAnsi="宋体" w:hint="eastAsia"/>
          <w:sz w:val="24"/>
          <w:szCs w:val="24"/>
        </w:rPr>
        <w:t>响应曲线渐近线，推导实验系统传递函数。</w:t>
      </w:r>
    </w:p>
    <w:p w14:paraId="38049232" w14:textId="4C8A1AE8" w:rsidR="001D570B" w:rsidRDefault="001D570B" w:rsidP="001D570B">
      <w:pPr>
        <w:rPr>
          <w:rFonts w:ascii="宋体" w:eastAsia="宋体" w:hAnsi="宋体"/>
          <w:sz w:val="24"/>
          <w:szCs w:val="24"/>
        </w:rPr>
      </w:pPr>
      <w:r>
        <w:rPr>
          <w:rFonts w:ascii="宋体" w:eastAsia="宋体" w:hAnsi="宋体" w:hint="eastAsia"/>
          <w:sz w:val="24"/>
          <w:szCs w:val="24"/>
        </w:rPr>
        <w:t>直接：如图</w:t>
      </w:r>
      <w:r w:rsidRPr="001D570B">
        <w:rPr>
          <w:rFonts w:ascii="宋体" w:eastAsia="宋体" w:hAnsi="宋体" w:hint="eastAsia"/>
          <w:color w:val="FF0000"/>
          <w:sz w:val="24"/>
          <w:szCs w:val="24"/>
        </w:rPr>
        <w:t>此处粘贴</w:t>
      </w:r>
      <w:r>
        <w:rPr>
          <w:rFonts w:ascii="宋体" w:eastAsia="宋体" w:hAnsi="宋体" w:hint="eastAsia"/>
          <w:sz w:val="24"/>
          <w:szCs w:val="24"/>
        </w:rPr>
        <w:t xml:space="preserve"> </w:t>
      </w:r>
      <w:r>
        <w:rPr>
          <w:rFonts w:ascii="宋体" w:eastAsia="宋体" w:hAnsi="宋体"/>
          <w:sz w:val="24"/>
          <w:szCs w:val="24"/>
        </w:rPr>
        <w:t xml:space="preserve">   </w:t>
      </w:r>
      <w:r w:rsidRPr="001D570B">
        <w:rPr>
          <w:rFonts w:ascii="宋体" w:eastAsia="宋体" w:hAnsi="宋体" w:hint="eastAsia"/>
          <w:sz w:val="24"/>
          <w:szCs w:val="24"/>
        </w:rPr>
        <w:t>传递函数为</w:t>
      </w:r>
      <w:r w:rsidRPr="001D570B">
        <w:rPr>
          <w:rFonts w:ascii="宋体" w:eastAsia="宋体" w:hAnsi="宋体"/>
          <w:sz w:val="24"/>
          <w:szCs w:val="24"/>
        </w:rPr>
        <w:t>G(s)=</w:t>
      </w:r>
      <m:oMath>
        <m:f>
          <m:fPr>
            <m:ctrlPr>
              <w:rPr>
                <w:rFonts w:ascii="Cambria Math" w:eastAsia="宋体" w:hAnsi="Cambria Math"/>
                <w:i/>
                <w:sz w:val="24"/>
                <w:szCs w:val="24"/>
              </w:rPr>
            </m:ctrlPr>
          </m:fPr>
          <m:num>
            <m:r>
              <w:rPr>
                <w:rFonts w:ascii="Cambria Math" w:eastAsia="宋体" w:hAnsi="Cambria Math"/>
                <w:sz w:val="24"/>
                <w:szCs w:val="24"/>
              </w:rPr>
              <m:t>10</m:t>
            </m:r>
          </m:num>
          <m:den>
            <m:r>
              <w:rPr>
                <w:rFonts w:ascii="Cambria Math" w:eastAsia="宋体" w:hAnsi="Cambria Math"/>
                <w:sz w:val="24"/>
                <w:szCs w:val="24"/>
              </w:rPr>
              <m:t>o.1</m:t>
            </m:r>
            <m:r>
              <w:rPr>
                <w:rFonts w:ascii="Cambria Math" w:eastAsia="宋体" w:hAnsi="Cambria Math"/>
                <w:sz w:val="24"/>
                <w:szCs w:val="24"/>
              </w:rPr>
              <m:t>s+1</m:t>
            </m:r>
          </m:den>
        </m:f>
      </m:oMath>
    </w:p>
    <w:p w14:paraId="74023A81" w14:textId="4531934E" w:rsidR="00554BD9" w:rsidRPr="00554BD9" w:rsidRDefault="00554BD9" w:rsidP="001D570B">
      <w:pPr>
        <w:rPr>
          <w:rFonts w:ascii="宋体" w:eastAsia="宋体" w:hAnsi="宋体"/>
          <w:sz w:val="24"/>
          <w:szCs w:val="24"/>
        </w:rPr>
      </w:pPr>
      <w:r>
        <w:rPr>
          <w:rFonts w:ascii="宋体" w:eastAsia="宋体" w:hAnsi="宋体" w:hint="eastAsia"/>
          <w:sz w:val="24"/>
          <w:szCs w:val="24"/>
        </w:rPr>
        <w:t>间接</w:t>
      </w:r>
      <w:r w:rsidRPr="00554BD9">
        <w:rPr>
          <w:rFonts w:ascii="宋体" w:eastAsia="宋体" w:hAnsi="宋体" w:hint="eastAsia"/>
          <w:sz w:val="24"/>
          <w:szCs w:val="24"/>
        </w:rPr>
        <w:t>：</w:t>
      </w:r>
      <w:r w:rsidRPr="00554BD9">
        <w:rPr>
          <w:rFonts w:ascii="宋体" w:eastAsia="宋体" w:hAnsi="宋体"/>
          <w:sz w:val="24"/>
          <w:szCs w:val="24"/>
        </w:rPr>
        <w:t>如图</w:t>
      </w:r>
      <w:r w:rsidRPr="00554BD9">
        <w:rPr>
          <w:rFonts w:ascii="宋体" w:eastAsia="宋体" w:hAnsi="宋体" w:hint="eastAsia"/>
          <w:color w:val="FF0000"/>
          <w:sz w:val="24"/>
          <w:szCs w:val="24"/>
        </w:rPr>
        <w:t>此处粘贴</w:t>
      </w:r>
      <w:r w:rsidRPr="00554BD9">
        <w:rPr>
          <w:rFonts w:ascii="宋体" w:eastAsia="宋体" w:hAnsi="宋体" w:hint="eastAsia"/>
          <w:sz w:val="24"/>
          <w:szCs w:val="24"/>
        </w:rPr>
        <w:t xml:space="preserve"> </w:t>
      </w:r>
      <w:r w:rsidRPr="00554BD9">
        <w:rPr>
          <w:rFonts w:ascii="宋体" w:eastAsia="宋体" w:hAnsi="宋体"/>
          <w:sz w:val="24"/>
          <w:szCs w:val="24"/>
        </w:rPr>
        <w:t xml:space="preserve">   </w:t>
      </w:r>
      <w:r w:rsidRPr="00554BD9">
        <w:rPr>
          <w:rFonts w:ascii="宋体" w:eastAsia="宋体" w:hAnsi="宋体" w:hint="eastAsia"/>
          <w:sz w:val="24"/>
          <w:szCs w:val="24"/>
        </w:rPr>
        <w:t>传递函数为</w:t>
      </w:r>
      <w:r w:rsidRPr="00554BD9">
        <w:rPr>
          <w:rFonts w:ascii="宋体" w:eastAsia="宋体" w:hAnsi="宋体"/>
          <w:sz w:val="24"/>
          <w:szCs w:val="24"/>
        </w:rPr>
        <w:t>G(s)=</w:t>
      </w:r>
      <m:oMath>
        <m:f>
          <m:fPr>
            <m:ctrlPr>
              <w:rPr>
                <w:rFonts w:ascii="Cambria Math" w:eastAsia="宋体" w:hAnsi="Cambria Math"/>
                <w:i/>
                <w:sz w:val="24"/>
                <w:szCs w:val="24"/>
              </w:rPr>
            </m:ctrlPr>
          </m:fPr>
          <m:num>
            <m:r>
              <w:rPr>
                <w:rFonts w:ascii="Cambria Math" w:eastAsia="宋体" w:hAnsi="Cambria Math"/>
                <w:sz w:val="24"/>
                <w:szCs w:val="24"/>
              </w:rPr>
              <m:t>1</m:t>
            </m:r>
            <m:r>
              <w:rPr>
                <w:rFonts w:ascii="Cambria Math" w:eastAsia="宋体" w:hAnsi="Cambria Math"/>
                <w:sz w:val="24"/>
                <w:szCs w:val="24"/>
              </w:rPr>
              <m:t>0</m:t>
            </m:r>
          </m:num>
          <m:den>
            <m:sSup>
              <m:sSupPr>
                <m:ctrlPr>
                  <w:rPr>
                    <w:rFonts w:ascii="Cambria Math" w:eastAsia="宋体" w:hAnsi="Cambria Math"/>
                    <w:i/>
                    <w:sz w:val="24"/>
                    <w:szCs w:val="24"/>
                  </w:rPr>
                </m:ctrlPr>
              </m:sSupPr>
              <m:e>
                <m:r>
                  <w:rPr>
                    <w:rFonts w:ascii="Cambria Math" w:eastAsia="宋体" w:hAnsi="Cambria Math"/>
                    <w:sz w:val="24"/>
                    <w:szCs w:val="24"/>
                  </w:rPr>
                  <m:t>s</m:t>
                </m:r>
              </m:e>
              <m:sup/>
            </m:sSup>
            <m:sSup>
              <m:sSupPr>
                <m:ctrlPr>
                  <w:rPr>
                    <w:rFonts w:ascii="Cambria Math" w:eastAsia="宋体" w:hAnsi="Cambria Math"/>
                    <w:i/>
                    <w:sz w:val="24"/>
                    <w:szCs w:val="24"/>
                  </w:rPr>
                </m:ctrlPr>
              </m:sSupPr>
              <m:e>
                <m:d>
                  <m:dPr>
                    <m:begChr m:val="（"/>
                    <m:endChr m:val="）"/>
                    <m:ctrlPr>
                      <w:rPr>
                        <w:rFonts w:ascii="Cambria Math" w:eastAsia="宋体" w:hAnsi="Cambria Math"/>
                        <w:i/>
                        <w:sz w:val="24"/>
                        <w:szCs w:val="24"/>
                      </w:rPr>
                    </m:ctrlPr>
                  </m:dPr>
                  <m:e>
                    <m:r>
                      <w:rPr>
                        <w:rFonts w:ascii="Cambria Math" w:eastAsia="宋体" w:hAnsi="Cambria Math"/>
                        <w:sz w:val="24"/>
                        <w:szCs w:val="24"/>
                      </w:rPr>
                      <m:t>0.1</m:t>
                    </m:r>
                    <m:r>
                      <w:rPr>
                        <w:rFonts w:ascii="Cambria Math" w:eastAsia="宋体" w:hAnsi="Cambria Math"/>
                        <w:sz w:val="24"/>
                        <w:szCs w:val="24"/>
                      </w:rPr>
                      <m:t>s+1</m:t>
                    </m:r>
                  </m:e>
                </m:d>
              </m:e>
              <m:sup/>
            </m:sSup>
          </m:den>
        </m:f>
      </m:oMath>
    </w:p>
    <w:p w14:paraId="57AF6247" w14:textId="18DB92D2" w:rsidR="004C7DFF" w:rsidRDefault="004531D4" w:rsidP="004531D4">
      <w:pPr>
        <w:rPr>
          <w:rFonts w:ascii="宋体" w:eastAsia="宋体" w:hAnsi="宋体"/>
          <w:sz w:val="24"/>
          <w:szCs w:val="24"/>
        </w:rPr>
      </w:pPr>
      <w:r w:rsidRPr="004531D4">
        <w:rPr>
          <w:rFonts w:ascii="宋体" w:eastAsia="宋体" w:hAnsi="宋体" w:hint="eastAsia"/>
          <w:sz w:val="24"/>
          <w:szCs w:val="24"/>
        </w:rPr>
        <w:t>2．根据极坐标图，试用奈奎斯特稳定判据分析系统的稳定性</w:t>
      </w:r>
      <w:r>
        <w:rPr>
          <w:rFonts w:ascii="宋体" w:eastAsia="宋体" w:hAnsi="宋体" w:hint="eastAsia"/>
          <w:sz w:val="24"/>
          <w:szCs w:val="24"/>
        </w:rPr>
        <w:t>。</w:t>
      </w:r>
    </w:p>
    <w:p w14:paraId="040E97E5" w14:textId="01EDF2C3" w:rsidR="001D570B" w:rsidRPr="004531D4" w:rsidRDefault="001D570B" w:rsidP="001D570B">
      <w:pPr>
        <w:rPr>
          <w:rFonts w:ascii="宋体" w:eastAsia="宋体" w:hAnsi="宋体"/>
          <w:sz w:val="24"/>
          <w:szCs w:val="24"/>
        </w:rPr>
      </w:pPr>
      <w:r>
        <w:rPr>
          <w:rFonts w:ascii="宋体" w:eastAsia="宋体" w:hAnsi="宋体" w:hint="eastAsia"/>
          <w:sz w:val="24"/>
          <w:szCs w:val="24"/>
        </w:rPr>
        <w:t>直接：</w:t>
      </w:r>
      <w:r w:rsidRPr="001D570B">
        <w:rPr>
          <w:rFonts w:ascii="宋体" w:eastAsia="宋体" w:hAnsi="宋体"/>
          <w:sz w:val="24"/>
          <w:szCs w:val="24"/>
        </w:rPr>
        <w:t>根据奈奎斯特稳定判据，系统是稳定的。</w:t>
      </w:r>
    </w:p>
    <w:p w14:paraId="3A9C3072" w14:textId="5502494E" w:rsidR="001D570B" w:rsidRPr="004531D4" w:rsidRDefault="00554BD9" w:rsidP="004531D4">
      <w:pPr>
        <w:rPr>
          <w:rFonts w:ascii="宋体" w:eastAsia="宋体" w:hAnsi="宋体"/>
          <w:sz w:val="24"/>
          <w:szCs w:val="24"/>
        </w:rPr>
      </w:pPr>
      <w:r w:rsidRPr="00554BD9">
        <w:rPr>
          <w:rFonts w:ascii="宋体" w:eastAsia="宋体" w:hAnsi="宋体"/>
          <w:sz w:val="24"/>
          <w:szCs w:val="24"/>
        </w:rPr>
        <w:t>间接：根据奈奎斯特稳定判据，系统是稳定的。</w:t>
      </w:r>
    </w:p>
    <w:sectPr w:rsidR="001D570B" w:rsidRPr="004531D4">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81381" w14:textId="77777777" w:rsidR="00E13CE2" w:rsidRDefault="00E13CE2" w:rsidP="00A96D37">
      <w:r>
        <w:separator/>
      </w:r>
    </w:p>
  </w:endnote>
  <w:endnote w:type="continuationSeparator" w:id="0">
    <w:p w14:paraId="473D988D" w14:textId="77777777" w:rsidR="00E13CE2" w:rsidRDefault="00E13CE2" w:rsidP="00A9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65A0E" w14:textId="20BF1CDC" w:rsidR="002B6269" w:rsidRDefault="002B6269">
    <w:pPr>
      <w:spacing w:line="288"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751B7" w14:textId="77777777" w:rsidR="00E13CE2" w:rsidRDefault="00E13CE2" w:rsidP="00A96D37">
      <w:r>
        <w:separator/>
      </w:r>
    </w:p>
  </w:footnote>
  <w:footnote w:type="continuationSeparator" w:id="0">
    <w:p w14:paraId="2C619DCF" w14:textId="77777777" w:rsidR="00E13CE2" w:rsidRDefault="00E13CE2" w:rsidP="00A96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29557" w14:textId="60AB6D2E" w:rsidR="002B6269" w:rsidRDefault="002B6269">
    <w:pPr>
      <w:spacing w:line="288" w:lineRule="auto"/>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95"/>
    <w:rsid w:val="00040410"/>
    <w:rsid w:val="000545BF"/>
    <w:rsid w:val="001D570B"/>
    <w:rsid w:val="0029351B"/>
    <w:rsid w:val="002B6269"/>
    <w:rsid w:val="003C5115"/>
    <w:rsid w:val="003D2271"/>
    <w:rsid w:val="004531D4"/>
    <w:rsid w:val="004C7DFF"/>
    <w:rsid w:val="004D7D59"/>
    <w:rsid w:val="00554BD9"/>
    <w:rsid w:val="006377F6"/>
    <w:rsid w:val="006E6BCF"/>
    <w:rsid w:val="00926D46"/>
    <w:rsid w:val="00972F46"/>
    <w:rsid w:val="00A96D37"/>
    <w:rsid w:val="00D43065"/>
    <w:rsid w:val="00D506B0"/>
    <w:rsid w:val="00E13CE2"/>
    <w:rsid w:val="00E72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2345"/>
  <w15:chartTrackingRefBased/>
  <w15:docId w15:val="{1AA00137-52B8-485B-B7EB-BC9103F5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6D37"/>
    <w:pPr>
      <w:tabs>
        <w:tab w:val="center" w:pos="4153"/>
        <w:tab w:val="right" w:pos="8306"/>
      </w:tabs>
      <w:snapToGrid w:val="0"/>
      <w:jc w:val="center"/>
    </w:pPr>
    <w:rPr>
      <w:sz w:val="18"/>
      <w:szCs w:val="18"/>
    </w:rPr>
  </w:style>
  <w:style w:type="character" w:customStyle="1" w:styleId="a4">
    <w:name w:val="页眉 字符"/>
    <w:basedOn w:val="a0"/>
    <w:link w:val="a3"/>
    <w:uiPriority w:val="99"/>
    <w:rsid w:val="00A96D37"/>
    <w:rPr>
      <w:sz w:val="18"/>
      <w:szCs w:val="18"/>
    </w:rPr>
  </w:style>
  <w:style w:type="paragraph" w:styleId="a5">
    <w:name w:val="footer"/>
    <w:basedOn w:val="a"/>
    <w:link w:val="a6"/>
    <w:uiPriority w:val="99"/>
    <w:unhideWhenUsed/>
    <w:rsid w:val="00A96D37"/>
    <w:pPr>
      <w:tabs>
        <w:tab w:val="center" w:pos="4153"/>
        <w:tab w:val="right" w:pos="8306"/>
      </w:tabs>
      <w:snapToGrid w:val="0"/>
      <w:jc w:val="left"/>
    </w:pPr>
    <w:rPr>
      <w:sz w:val="18"/>
      <w:szCs w:val="18"/>
    </w:rPr>
  </w:style>
  <w:style w:type="character" w:customStyle="1" w:styleId="a6">
    <w:name w:val="页脚 字符"/>
    <w:basedOn w:val="a0"/>
    <w:link w:val="a5"/>
    <w:uiPriority w:val="99"/>
    <w:rsid w:val="00A96D37"/>
    <w:rPr>
      <w:sz w:val="18"/>
      <w:szCs w:val="18"/>
    </w:rPr>
  </w:style>
  <w:style w:type="character" w:styleId="a7">
    <w:name w:val="Placeholder Text"/>
    <w:basedOn w:val="a0"/>
    <w:uiPriority w:val="99"/>
    <w:semiHidden/>
    <w:rsid w:val="001D57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00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7</cp:revision>
  <dcterms:created xsi:type="dcterms:W3CDTF">2024-11-25T11:37:00Z</dcterms:created>
  <dcterms:modified xsi:type="dcterms:W3CDTF">2024-12-15T13:10:00Z</dcterms:modified>
</cp:coreProperties>
</file>