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jc w:val="center"/>
        <w:rPr>
          <w:rFonts w:ascii="Helvetica Neue" w:cs="Helvetica Neue" w:eastAsia="Helvetica Neue" w:hAnsi="Helvetica Neue"/>
          <w:b w:val="1"/>
          <w:bCs w:val="1"/>
          <w:sz w:val="36"/>
          <w:szCs w:val="36"/>
        </w:rPr>
        <w:sectPr>
          <w:pgSz w:h="15840" w:w="12240" w:orient="portrait"/>
          <w:pgMar w:bottom="1440" w:top="1440" w:left="1440" w:right="1440" w:header="720" w:footer="720"/>
          <w:pgNumType w:start="1"/>
        </w:sectPr>
      </w:pPr>
      <w:r w:rsidDel="00000000" w:rsidR="00000000" w:rsidRPr="00000000">
        <w:rPr>
          <w:rFonts w:ascii="Helvetica Neue" w:cs="Helvetica Neue" w:eastAsia="Helvetica Neue" w:hAnsi="Helvetica Neue"/>
          <w:b w:val="1"/>
          <w:bCs w:val="1"/>
          <w:sz w:val="36"/>
          <w:szCs w:val="36"/>
          <w:rtl w:val="0"/>
        </w:rPr>
        <w:t xml:space="preserve">"SUMPAY: Sign-language Upholding for Medical Privacy and Autonomy of Young-women." </w:t>
      </w:r>
    </w:p>
    <w:p w:rsidR="00000000" w:rsidDel="00000000" w:rsidP="00000000" w:rsidRDefault="00000000" w:rsidRPr="00000000" w14:paraId="00000002">
      <w:pPr>
        <w:spacing w:after="60" w:line="240" w:lineRule="auto"/>
        <w:jc w:val="cente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3">
      <w:pPr>
        <w:spacing w:line="240" w:lineRule="auto"/>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Rene Boy Dingcong </w:t>
      </w:r>
    </w:p>
    <w:p w:rsidR="00000000" w:rsidDel="00000000" w:rsidP="00000000" w:rsidRDefault="00000000" w:rsidRPr="00000000" w14:paraId="00000004">
      <w:pPr>
        <w:spacing w:line="240" w:lineRule="auto"/>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Nathan Casas</w:t>
      </w:r>
    </w:p>
    <w:p w:rsidR="00000000" w:rsidDel="00000000" w:rsidP="00000000" w:rsidRDefault="00000000" w:rsidRPr="00000000" w14:paraId="00000005">
      <w:pPr>
        <w:spacing w:line="240" w:lineRule="auto"/>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Jedidiah Rollinas</w:t>
      </w:r>
    </w:p>
    <w:p w:rsidR="00000000" w:rsidDel="00000000" w:rsidP="00000000" w:rsidRDefault="00000000" w:rsidRPr="00000000" w14:paraId="00000006">
      <w:pPr>
        <w:spacing w:line="240" w:lineRule="auto"/>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Mindanao State University-Iligan Institute of Technology</w:t>
        <w:br w:type="textWrapping"/>
        <w:t xml:space="preserve">Andres Bonifacio Ave., Tibanga, Iligan City 9200</w:t>
      </w:r>
    </w:p>
    <w:p w:rsidR="00000000" w:rsidDel="00000000" w:rsidP="00000000" w:rsidRDefault="00000000" w:rsidRPr="00000000" w14:paraId="00000007">
      <w:pPr>
        <w:spacing w:line="240" w:lineRule="auto"/>
        <w:jc w:val="center"/>
        <w:rPr>
          <w:rFonts w:ascii="Helvetica Neue" w:cs="Helvetica Neue" w:eastAsia="Helvetica Neue" w:hAnsi="Helvetica Neue"/>
          <w:sz w:val="20"/>
          <w:szCs w:val="20"/>
        </w:rPr>
      </w:pPr>
      <w:hyperlink r:id="rId6">
        <w:r w:rsidDel="00000000" w:rsidR="00000000" w:rsidRPr="00000000">
          <w:rPr>
            <w:rFonts w:ascii="Helvetica Neue" w:cs="Helvetica Neue" w:eastAsia="Helvetica Neue" w:hAnsi="Helvetica Neue"/>
            <w:color w:val="1155cc"/>
            <w:sz w:val="20"/>
            <w:szCs w:val="20"/>
            <w:u w:val="single"/>
            <w:rtl w:val="0"/>
          </w:rPr>
          <w:t xml:space="preserve">reneboyjr.dingcong@g.msuiit.edu.ph</w:t>
        </w:r>
      </w:hyperlink>
      <w:r w:rsidDel="00000000" w:rsidR="00000000" w:rsidRPr="00000000">
        <w:rPr>
          <w:rFonts w:ascii="Helvetica Neue" w:cs="Helvetica Neue" w:eastAsia="Helvetica Neue" w:hAnsi="Helvetica Neue"/>
          <w:sz w:val="20"/>
          <w:szCs w:val="20"/>
          <w:rtl w:val="0"/>
        </w:rPr>
        <w:t xml:space="preserve"> </w:t>
      </w:r>
    </w:p>
    <w:p w:rsidR="00000000" w:rsidDel="00000000" w:rsidP="00000000" w:rsidRDefault="00000000" w:rsidRPr="00000000" w14:paraId="00000008">
      <w:pPr>
        <w:spacing w:line="240" w:lineRule="auto"/>
        <w:jc w:val="center"/>
        <w:rPr>
          <w:rFonts w:ascii="Helvetica Neue" w:cs="Helvetica Neue" w:eastAsia="Helvetica Neue" w:hAnsi="Helvetica Neue"/>
          <w:sz w:val="20"/>
          <w:szCs w:val="20"/>
        </w:rPr>
      </w:pPr>
      <w:hyperlink r:id="rId7">
        <w:r w:rsidDel="00000000" w:rsidR="00000000" w:rsidRPr="00000000">
          <w:rPr>
            <w:rFonts w:ascii="Helvetica Neue" w:cs="Helvetica Neue" w:eastAsia="Helvetica Neue" w:hAnsi="Helvetica Neue"/>
            <w:color w:val="1155cc"/>
            <w:sz w:val="20"/>
            <w:szCs w:val="20"/>
            <w:u w:val="single"/>
            <w:rtl w:val="0"/>
          </w:rPr>
          <w:t xml:space="preserve">nathanflorence.casas@g.msuiit.edu.ph</w:t>
        </w:r>
      </w:hyperlink>
      <w:r w:rsidDel="00000000" w:rsidR="00000000" w:rsidRPr="00000000">
        <w:rPr>
          <w:rtl w:val="0"/>
        </w:rPr>
      </w:r>
    </w:p>
    <w:p w:rsidR="00000000" w:rsidDel="00000000" w:rsidP="00000000" w:rsidRDefault="00000000" w:rsidRPr="00000000" w14:paraId="00000009">
      <w:pPr>
        <w:spacing w:line="240" w:lineRule="auto"/>
        <w:jc w:val="center"/>
        <w:rPr>
          <w:rFonts w:ascii="Helvetica Neue" w:cs="Helvetica Neue" w:eastAsia="Helvetica Neue" w:hAnsi="Helvetica Neue"/>
          <w:sz w:val="20"/>
          <w:szCs w:val="20"/>
        </w:rPr>
      </w:pPr>
      <w:hyperlink r:id="rId8">
        <w:r w:rsidDel="00000000" w:rsidR="00000000" w:rsidRPr="00000000">
          <w:rPr>
            <w:rFonts w:ascii="Helvetica Neue" w:cs="Helvetica Neue" w:eastAsia="Helvetica Neue" w:hAnsi="Helvetica Neue"/>
            <w:color w:val="1155cc"/>
            <w:sz w:val="20"/>
            <w:szCs w:val="20"/>
            <w:u w:val="single"/>
            <w:rtl w:val="0"/>
          </w:rPr>
          <w:t xml:space="preserve">jedidiah.rollinas@g.msuiit.edu.ph</w:t>
        </w:r>
      </w:hyperlink>
      <w:r w:rsidDel="00000000" w:rsidR="00000000" w:rsidRPr="00000000">
        <w:rPr>
          <w:rFonts w:ascii="Helvetica Neue" w:cs="Helvetica Neue" w:eastAsia="Helvetica Neue" w:hAnsi="Helvetica Neue"/>
          <w:sz w:val="20"/>
          <w:szCs w:val="20"/>
          <w:rtl w:val="0"/>
        </w:rPr>
        <w:t xml:space="preserve"> </w:t>
      </w:r>
    </w:p>
    <w:p w:rsidR="00000000" w:rsidDel="00000000" w:rsidP="00000000" w:rsidRDefault="00000000" w:rsidRPr="00000000" w14:paraId="0000000A">
      <w:pPr>
        <w:spacing w:line="240" w:lineRule="auto"/>
        <w:jc w:val="center"/>
        <w:rPr>
          <w:rFonts w:ascii="Helvetica Neue" w:cs="Helvetica Neue" w:eastAsia="Helvetica Neue" w:hAnsi="Helvetica Neue"/>
          <w:sz w:val="20"/>
          <w:szCs w:val="20"/>
        </w:rPr>
        <w:sectPr>
          <w:type w:val="continuous"/>
          <w:pgSz w:h="15840" w:w="12240" w:orient="portrait"/>
          <w:pgMar w:bottom="1440" w:top="1080" w:left="1080" w:right="1080" w:header="720" w:footer="720"/>
        </w:sectPr>
      </w:pPr>
      <w:r w:rsidDel="00000000" w:rsidR="00000000" w:rsidRPr="00000000">
        <w:rPr>
          <w:rtl w:val="0"/>
        </w:rPr>
      </w:r>
    </w:p>
    <w:p w:rsidR="00000000" w:rsidDel="00000000" w:rsidP="00000000" w:rsidRDefault="00000000" w:rsidRPr="00000000" w14:paraId="0000000B">
      <w:pPr>
        <w:spacing w:after="60" w:line="240" w:lineRule="auto"/>
        <w:jc w:val="cente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C">
      <w:pPr>
        <w:spacing w:after="60" w:line="240" w:lineRule="auto"/>
        <w:jc w:val="cente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D">
      <w:pPr>
        <w:spacing w:after="60" w:line="240" w:lineRule="auto"/>
        <w:jc w:val="cente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E">
      <w:pPr>
        <w:spacing w:after="60" w:line="240" w:lineRule="auto"/>
        <w:jc w:val="cente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F">
      <w:pPr>
        <w:spacing w:after="60" w:line="240" w:lineRule="auto"/>
        <w:jc w:val="cente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0">
      <w:pPr>
        <w:spacing w:after="60" w:line="240" w:lineRule="auto"/>
        <w:jc w:val="center"/>
        <w:rPr>
          <w:rFonts w:ascii="Helvetica Neue" w:cs="Helvetica Neue" w:eastAsia="Helvetica Neue" w:hAnsi="Helvetica Neue"/>
          <w:sz w:val="24"/>
          <w:szCs w:val="24"/>
        </w:rPr>
        <w:sectPr>
          <w:type w:val="continuous"/>
          <w:pgSz w:h="15840" w:w="12240" w:orient="portrait"/>
          <w:pgMar w:bottom="1440" w:top="1080" w:left="1080" w:right="1080" w:header="720" w:footer="720"/>
          <w:cols w:equalWidth="0" w:num="3">
            <w:col w:space="0" w:w="3360"/>
            <w:col w:space="0" w:w="3360"/>
            <w:col w:space="0" w:w="3360"/>
          </w:cols>
        </w:sectPr>
      </w:pPr>
      <w:r w:rsidDel="00000000" w:rsidR="00000000" w:rsidRPr="00000000">
        <w:rPr>
          <w:rtl w:val="0"/>
        </w:rPr>
      </w:r>
    </w:p>
    <w:p w:rsidR="00000000" w:rsidDel="00000000" w:rsidP="00000000" w:rsidRDefault="00000000" w:rsidRPr="00000000" w14:paraId="0000001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tl w:val="0"/>
        </w:rPr>
      </w:r>
    </w:p>
    <w:p w:rsidR="00000000" w:rsidDel="00000000" w:rsidP="00000000" w:rsidRDefault="00000000" w:rsidRPr="00000000" w14:paraId="00000012">
      <w:pPr>
        <w:keepNext w:val="1"/>
        <w:spacing w:after="12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3">
      <w:pPr>
        <w:keepNext w:val="1"/>
        <w:spacing w:after="12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4">
      <w:pPr>
        <w:spacing w:before="1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p>
    <w:p w:rsidR="00000000" w:rsidDel="00000000" w:rsidP="00000000" w:rsidRDefault="00000000" w:rsidRPr="00000000" w14:paraId="00000015">
      <w:pPr>
        <w:spacing w:before="120" w:line="24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American Sign Language, Computer Vision, Edge-AI Speech-to-Text, Medical Assistive Technology, Gender-Based Violence, Deaf Healthcare, Dual-Interface Application.</w:t>
      </w:r>
    </w:p>
    <w:p w:rsidR="00000000" w:rsidDel="00000000" w:rsidP="00000000" w:rsidRDefault="00000000" w:rsidRPr="00000000" w14:paraId="00000016">
      <w:pPr>
        <w:spacing w:after="12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7">
      <w:pPr>
        <w:pStyle w:val="Heading1"/>
        <w:keepLines w:val="0"/>
        <w:numPr>
          <w:ilvl w:val="0"/>
          <w:numId w:val="3"/>
        </w:numPr>
        <w:spacing w:after="0" w:before="1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18">
      <w:pPr>
        <w:widowControl w:val="0"/>
        <w:spacing w:after="24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yellow"/>
          <w:rtl w:val="0"/>
        </w:rPr>
        <w:t xml:space="preserve">The Republic of the Philippines</w:t>
      </w:r>
      <w:r w:rsidDel="00000000" w:rsidR="00000000" w:rsidRPr="00000000">
        <w:rPr>
          <w:rFonts w:ascii="Times New Roman" w:cs="Times New Roman" w:eastAsia="Times New Roman" w:hAnsi="Times New Roman"/>
          <w:sz w:val="18"/>
          <w:szCs w:val="18"/>
          <w:rtl w:val="0"/>
        </w:rPr>
        <w:t xml:space="preserve"> has approximately 1.78 million individuals experiencing functional hearing difficulty [7]. Within this demographic, Deaf women face systemic barriers to equitable healthcare, particularly concerning sexual and reproductive health (SRH) and the reporting of gender-based violence (GBV). Despite protective frameworks like the Magna Carta of Women (RA 9710) [8] and the Responsible Parenthood and Reproductive Health Act (RA 10354) [9], translating these policies to localized point-of-care settings remains challenging. In regions like Iligan City, the lack of professional medical sign language interpreters frequently forces Deaf women to rely on family members during sensitive consultations. This practice compromises patient privacy, restricts autonomy, and often leads to emotional filtering or mistranslation [10], [11].</w:t>
      </w:r>
    </w:p>
    <w:p w:rsidR="00000000" w:rsidDel="00000000" w:rsidP="00000000" w:rsidRDefault="00000000" w:rsidRPr="00000000" w14:paraId="0000001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Preliminary interviews with six deaf female respondents from SMC-Iligan Deaf Community Organization  explicitly confirm this reality. When asked about current communication methods during medical check-ups, respondents noted that writing takes too long, and relying on family members for translation fundamentally compromises their comfort. Several respondents reported that utilizing family interpreters makes them feel "shy," leading them to withhold sensitive health information and "keep it to [themselves]". Furthermore, patients expressed profound difficulty understanding doctors' written notes without proper sign language interpretation, highlighting a critical breakdown in mutual understanding. </w:t>
      </w:r>
    </w:p>
    <w:p w:rsidR="00000000" w:rsidDel="00000000" w:rsidP="00000000" w:rsidRDefault="00000000" w:rsidRPr="00000000" w14:paraId="0000001A">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B">
      <w:pPr>
        <w:widowControl w:val="0"/>
        <w:spacing w:after="24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Addressing this clinical communication crisis requires robust assistive technologies that facilitate bidirectional understanding. On the provider's side, offline edge-AI Speech-to-Text (STT) processing, such as Whisper.cpp, offers secure, real-time transcription of spoken words into text directly on local hardware, protecting patient data privacy [12]. On the patient's side, translating complex sign language dynamically is essential. Modern computer vision interfaces utilize cameras and neural networks to analyze sign language continuously and non-intrusively. By capturing both facial expressions and hand movements simultaneously, advanced camera systems can process crucial non-manual context clues to accurately translate signs [10].</w:t>
      </w:r>
    </w:p>
    <w:p w:rsidR="00000000" w:rsidDel="00000000" w:rsidP="00000000" w:rsidRDefault="00000000" w:rsidRPr="00000000" w14:paraId="0000001C">
      <w:pPr>
        <w:widowControl w:val="0"/>
        <w:spacing w:after="24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resolve these systemic communication barriers, Project Sumpay proposes a dual-interface clinical application deployed on tablet devices for OB-GYN clinics and Gender and Development (GAD) offices in Iligan City. The primary objective of the study is to eliminate the reliance on ad hoc human interpreters by providing a standalone communication dashboard. The scope of the project encompasses a multi-modal, bidirectional translation system. On the provider's side, the application captures speech via offline edge-AI STT for instant text transcription; additionally, if the patient struggles with text comprehension, it offers the option to translate the text into sign language, visually rendered through a 3D model of hand gestures. Conversely, the patient utilizes a unified, vision-first input method: a tablet camera that captures both facial expressions and hand gestures to process context clues, outputting the patient's sign language into text and speech. By establishing this secure diagnostic tool, Project Sumpay aims to restore clinical safety, explicitly ensure bodily autonomy, and advance health equity for the Deaf female community.</w:t>
      </w:r>
    </w:p>
    <w:p w:rsidR="00000000" w:rsidDel="00000000" w:rsidP="00000000" w:rsidRDefault="00000000" w:rsidRPr="00000000" w14:paraId="0000001D">
      <w:pPr>
        <w:pStyle w:val="Heading1"/>
        <w:keepLines w:val="0"/>
        <w:numPr>
          <w:ilvl w:val="0"/>
          <w:numId w:val="3"/>
        </w:numPr>
        <w:spacing w:after="0"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OF LITERATURES</w:t>
      </w:r>
    </w:p>
    <w:p w:rsidR="00000000" w:rsidDel="00000000" w:rsidP="00000000" w:rsidRDefault="00000000" w:rsidRPr="00000000" w14:paraId="0000001E">
      <w:pPr>
        <w:pStyle w:val="Heading1"/>
        <w:keepLines w:val="0"/>
        <w:spacing w:after="0" w:before="40" w:line="240" w:lineRule="auto"/>
        <w:jc w:val="both"/>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Profound systemic inequities are faced by deaf women when navigating sensitive medical environments. In clinical settings, such as OB-GYN consultations or Gender and Development (GAD) offices for abuse reporting, the absence of professional American Sign Language (FSL) interpreters forces patients to rely on family members or ad-hoc hospital staff. Hommes et al. [1] established a critical sociological baseline regarding these barriers, documenting that the use of untrained interpreters, especially family members, severely compromises patient confidentiality, leads to information withholding, and fundamentally violates the patient’s right to informed consent. Establishing a direct, independent communication channel between the deaf patient and the hearing provider is therefore not merely a convenience, but a critical medical and legal necessity identified by the researchers.</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spacing w:after="120" w:line="240" w:lineRule="auto"/>
        <w:jc w:val="both"/>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Early attempts to bridge the sign-to-spoken language gap frequently relied on wearable hardware, such as sensor-equipped gloves. However, rigorous critiques within the HCI and Deaf Studies communities have exposed the fundamental flaws of this approach. As detailed by Bragg et al. [2], developing successful sign language technologies requires deep interdisciplinary knowledge; hardware-centric approaches often ignore Deaf culture and fail to capture non-manual markers (e.g., facial expressions and torso movements) which are vital syntactic components of sign language. Furthermore, deploying shared wearable fabric in an OB-GYN clinic presents severe infection control risks.</w:t>
      </w:r>
    </w:p>
    <w:p w:rsidR="00000000" w:rsidDel="00000000" w:rsidP="00000000" w:rsidRDefault="00000000" w:rsidRPr="00000000" w14:paraId="00000021">
      <w:pPr>
        <w:spacing w:after="120" w:line="240" w:lineRule="auto"/>
        <w:jc w:val="both"/>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Consequently, the current state-of-the-art has shifted toward non-intrusive, vision-based Sign Language Recognition (SLR). The Google MediaPipe framework [3] has proven highly effective for extracting complex 3D spatial landmarks of the hands, pose, and face in real-time without requiring depth sensors. Because sign language relies on dynamic, continuous gestures, these spatial landmarks are most effectively processed using recurrent neural networks. Kim et al. [4] demonstrated that combining MediaPipe's robust hand-tracking with Long Short-Term Memory (LSTM) networks allows for highly accurate, real-time dynamic sign language recognition. This exact MediaPipe-LSTM pipeline forms the computational backbone utilized by the researchers, enabling continuous gesture tracking on standard clinical edge devices.</w:t>
      </w:r>
    </w:p>
    <w:p w:rsidR="00000000" w:rsidDel="00000000" w:rsidP="00000000" w:rsidRDefault="00000000" w:rsidRPr="00000000" w14:paraId="00000022">
      <w:pPr>
        <w:spacing w:after="120" w:line="240" w:lineRule="auto"/>
        <w:jc w:val="both"/>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While bidirectional AI translation is advancing, translating complex medical jargon or nuanced legal testimonies into synthesized sign language remains highly error-prone. To mitigate catastrophic mistranslations in high-stakes environments, medical HCI literature recommends supplementing automated translation with visual-first interfaces. While originally developed for pediatric oncology, the user-centered methodology demonstrated by Lalloo et al. [5] regarding digital pain manikins provides a critical framework for the researchers' proposed interface. By utilizing interactive anatomical models, language-discordant patients can visually pinpoint symptom locations and intensities, bypassing the need for complex medical vocabulary.</w:t>
      </w:r>
    </w:p>
    <w:p w:rsidR="00000000" w:rsidDel="00000000" w:rsidP="00000000" w:rsidRDefault="00000000" w:rsidRPr="00000000" w14:paraId="00000023">
      <w:pPr>
        <w:spacing w:after="120" w:line="240" w:lineRule="auto"/>
        <w:jc w:val="both"/>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The deployment of a two-screen architecture in Project Sumpay is supported by empirical evidence from Ashrafi et al. [19], who conducted a within-subject study (n=43) comparing single and dual-tablet display configurations in healthcare-facing conversational systems used for Patient-Reported Outcome Measures (PROMs). While their findings indicate higher overall usability scores for single-tablet conditions, a significant subset of users attributed greater communicative presence and clarity to the dual-display paradigm, particularly when interface content was role-differentiated. This supports the design rationale of the proposed system, where splitting clinician-facing transcription output from the patient-facing visual-first interaction layer is not merely a layout preference but a functionally necessary separation of informational roles.</w:t>
      </w:r>
    </w:p>
    <w:p w:rsidR="00000000" w:rsidDel="00000000" w:rsidP="00000000" w:rsidRDefault="00000000" w:rsidRPr="00000000" w14:paraId="00000024">
      <w:pPr>
        <w:spacing w:after="120" w:line="240" w:lineRule="auto"/>
        <w:jc w:val="both"/>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white"/>
          <w:rtl w:val="0"/>
        </w:rPr>
        <w:t xml:space="preserve">Kiosk-based information exchange has demonstrated strong acceptability among both patients and providers in comparable outpatient settings. Garvin et al. [16] found that integrating kiosk devices into clinic visits improved patient understanding and patient-provider communication, with no significant effect of patient age on system acceptance,  an important consideration for diverse patient populations in GAD offices.</w:t>
      </w:r>
      <w:r w:rsidDel="00000000" w:rsidR="00000000" w:rsidRPr="00000000">
        <w:rPr>
          <w:rtl w:val="0"/>
        </w:rPr>
      </w:r>
    </w:p>
    <w:p w:rsidR="00000000" w:rsidDel="00000000" w:rsidP="00000000" w:rsidRDefault="00000000" w:rsidRPr="00000000" w14:paraId="00000025">
      <w:pPr>
        <w:spacing w:after="120" w:line="240" w:lineRule="auto"/>
        <w:jc w:val="both"/>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The relevance of the proposed system to international digital health equity frameworks is underscored by Esteves et al. [18], whose large-scale scoping review confirmed that DHTs in gynaecological and related clinical settings measurably advance UN Sustainable Development Goals 3 (Good Health), 5 (Gender Equality), and 10 (Reduced Inequalities). The same goals articulated in the Philippine Magna Carta of Women (RA 9710) and the Responsible Parenthood and Reproductive Health Act (RA 10354) that provide the legal mandate for Project Sumpay.</w:t>
      </w:r>
    </w:p>
    <w:p w:rsidR="00000000" w:rsidDel="00000000" w:rsidP="00000000" w:rsidRDefault="00000000" w:rsidRPr="00000000" w14:paraId="00000026">
      <w:pPr>
        <w:spacing w:after="120" w:line="240" w:lineRule="auto"/>
        <w:jc w:val="both"/>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The design of Project Sumpay also situates within a broader movement to develop principled digital reproductive health tools. Gerdts et al. [21] proposed a comprehensive framework for "femtech". Digital tools addressing women's reproductive health, arguing that such systems must be built with privacy, cultural sensitivity, and equity as core architectural requirements rather than afterthoughts. Their framework specifically identifies socially and economically marginalized populations, including those with intersectional identities subject to both social and medical marginalization, as the primary beneficiaries requiring proactive design consideration. This is directly applicable to the proposed system's target population of Deaf Filipino women navigating SRH care and GBV reporting in under-resourced clinical environments.</w:t>
      </w:r>
    </w:p>
    <w:p w:rsidR="00000000" w:rsidDel="00000000" w:rsidP="00000000" w:rsidRDefault="00000000" w:rsidRPr="00000000" w14:paraId="00000027">
      <w:pPr>
        <w:spacing w:after="120" w:line="240" w:lineRule="auto"/>
        <w:jc w:val="both"/>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On the practitioner's side, modern Automatic Speech Recognition (ASR) systems have demonstrated robust capabilities in noisy environments. The introduction of the Whisper ASR model via large-scale weak supervision [6] provides a highly accurate backend for real-time clinical transcription. However, to process this transcribed speech efficiently for a deaf patient, natural language models must be utilized for intent extraction rather than purely verbatim Text-to-Sign translation. By parsing the doctor's transcribed speech for specific medical intents (e.g., extracting the intent to ask for physical consent), the system designed by the researchers can trigger pre-loaded Visual Consent Prompts (YES/NO) on the patient's tablet, ensuring clear, legally binding bodily autonomy.</w:t>
      </w:r>
    </w:p>
    <w:p w:rsidR="00000000" w:rsidDel="00000000" w:rsidP="00000000" w:rsidRDefault="00000000" w:rsidRPr="00000000" w14:paraId="00000028">
      <w:pPr>
        <w:spacing w:after="120" w:line="240" w:lineRule="auto"/>
        <w:jc w:val="both"/>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029">
      <w:pPr>
        <w:pStyle w:val="Heading1"/>
        <w:keepLines w:val="0"/>
        <w:numPr>
          <w:ilvl w:val="0"/>
          <w:numId w:val="3"/>
        </w:numPr>
        <w:spacing w:after="0"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02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Format you need to follow but not limited to:</w:t>
      </w:r>
    </w:p>
    <w:p w:rsidR="00000000" w:rsidDel="00000000" w:rsidP="00000000" w:rsidRDefault="00000000" w:rsidRPr="00000000" w14:paraId="0000002B">
      <w:pPr>
        <w:pStyle w:val="Heading2"/>
        <w:keepLines w:val="0"/>
        <w:numPr>
          <w:ilvl w:val="1"/>
          <w:numId w:val="2"/>
        </w:numPr>
        <w:spacing w:after="0"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 for objective 1</w:t>
      </w:r>
    </w:p>
    <w:p w:rsidR="00000000" w:rsidDel="00000000" w:rsidP="00000000" w:rsidRDefault="00000000" w:rsidRPr="00000000" w14:paraId="0000002C">
      <w:pPr>
        <w:spacing w:after="12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Based on the literature, you may now have identified the methodologies you are going to use in your study. Try to group these according to your objectives like so.</w:t>
      </w:r>
    </w:p>
    <w:p w:rsidR="00000000" w:rsidDel="00000000" w:rsidP="00000000" w:rsidRDefault="00000000" w:rsidRPr="00000000" w14:paraId="0000002D">
      <w:pPr>
        <w:pStyle w:val="Heading2"/>
        <w:keepLines w:val="0"/>
        <w:numPr>
          <w:ilvl w:val="1"/>
          <w:numId w:val="2"/>
        </w:numPr>
        <w:spacing w:after="0"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 for objective 2 and so on</w:t>
      </w:r>
    </w:p>
    <w:p w:rsidR="00000000" w:rsidDel="00000000" w:rsidP="00000000" w:rsidRDefault="00000000" w:rsidRPr="00000000" w14:paraId="0000002E">
      <w:pPr>
        <w:spacing w:after="8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can be as many as your number of objectives</w:t>
      </w:r>
    </w:p>
    <w:p w:rsidR="00000000" w:rsidDel="00000000" w:rsidP="00000000" w:rsidRDefault="00000000" w:rsidRPr="00000000" w14:paraId="0000002F">
      <w:pPr>
        <w:pStyle w:val="Heading2"/>
        <w:keepLines w:val="0"/>
        <w:numPr>
          <w:ilvl w:val="1"/>
          <w:numId w:val="2"/>
        </w:numPr>
        <w:spacing w:after="0" w:before="40" w:line="240" w:lineRule="auto"/>
        <w:rPr>
          <w:rFonts w:ascii="Times New Roman" w:cs="Times New Roman" w:eastAsia="Times New Roman" w:hAnsi="Times New Roman"/>
          <w:b w:val="1"/>
          <w:bCs w:val="1"/>
          <w:sz w:val="24"/>
          <w:szCs w:val="24"/>
        </w:rPr>
      </w:pPr>
      <w:bookmarkStart w:colFirst="0" w:colLast="0" w:name="_aaq2rhtkip8" w:id="0"/>
      <w:bookmarkEnd w:id="0"/>
      <w:r w:rsidDel="00000000" w:rsidR="00000000" w:rsidRPr="00000000">
        <w:rPr>
          <w:rFonts w:ascii="Times New Roman" w:cs="Times New Roman" w:eastAsia="Times New Roman" w:hAnsi="Times New Roman"/>
          <w:b w:val="1"/>
          <w:bCs w:val="1"/>
          <w:sz w:val="24"/>
          <w:szCs w:val="24"/>
          <w:rtl w:val="0"/>
        </w:rPr>
        <w:t xml:space="preserve">Evaluation</w:t>
      </w:r>
    </w:p>
    <w:p w:rsidR="00000000" w:rsidDel="00000000" w:rsidP="00000000" w:rsidRDefault="00000000" w:rsidRPr="00000000" w14:paraId="00000030">
      <w:pPr>
        <w:spacing w:after="12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may or may not be your last objective. But if it is, you can specify the methods for your testing (alpha, beta, etc) or testing (SUS).</w:t>
      </w:r>
    </w:p>
    <w:p w:rsidR="00000000" w:rsidDel="00000000" w:rsidP="00000000" w:rsidRDefault="00000000" w:rsidRPr="00000000" w14:paraId="0000003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3">
      <w:pPr>
        <w:pStyle w:val="Heading1"/>
        <w:keepLines w:val="0"/>
        <w:numPr>
          <w:ilvl w:val="0"/>
          <w:numId w:val="3"/>
        </w:numPr>
        <w:spacing w:after="0" w:before="4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RESULTS AND DISCUSSIONS</w:t>
      </w:r>
    </w:p>
    <w:p w:rsidR="00000000" w:rsidDel="00000000" w:rsidP="00000000" w:rsidRDefault="00000000" w:rsidRPr="00000000" w14:paraId="0000003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 this section, you will start documenting the idea that you</w:t>
      </w:r>
    </w:p>
    <w:p w:rsidR="00000000" w:rsidDel="00000000" w:rsidP="00000000" w:rsidRDefault="00000000" w:rsidRPr="00000000" w14:paraId="0000003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have.</w:t>
      </w:r>
    </w:p>
    <w:p w:rsidR="00000000" w:rsidDel="00000000" w:rsidP="00000000" w:rsidRDefault="00000000" w:rsidRPr="00000000" w14:paraId="0000003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Visualize if you can.</w:t>
      </w:r>
    </w:p>
    <w:p w:rsidR="00000000" w:rsidDel="00000000" w:rsidP="00000000" w:rsidRDefault="00000000" w:rsidRPr="00000000" w14:paraId="0000003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You can group the results and discussions according to your</w:t>
      </w:r>
    </w:p>
    <w:p w:rsidR="00000000" w:rsidDel="00000000" w:rsidP="00000000" w:rsidRDefault="00000000" w:rsidRPr="00000000" w14:paraId="0000003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objectives.</w:t>
      </w:r>
    </w:p>
    <w:p w:rsidR="00000000" w:rsidDel="00000000" w:rsidP="00000000" w:rsidRDefault="00000000" w:rsidRPr="00000000" w14:paraId="0000003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is where your prototype/ idea will be presented. Please</w:t>
      </w:r>
    </w:p>
    <w:p w:rsidR="00000000" w:rsidDel="00000000" w:rsidP="00000000" w:rsidRDefault="00000000" w:rsidRPr="00000000" w14:paraId="0000003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elaborate and explain as simple as possible but complete.</w:t>
      </w:r>
    </w:p>
    <w:p w:rsidR="00000000" w:rsidDel="00000000" w:rsidP="00000000" w:rsidRDefault="00000000" w:rsidRPr="00000000" w14:paraId="0000003B">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C">
      <w:pPr>
        <w:pStyle w:val="Heading2"/>
        <w:keepLines w:val="0"/>
        <w:numPr>
          <w:ilvl w:val="1"/>
          <w:numId w:val="3"/>
        </w:numPr>
        <w:spacing w:after="0"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Recommendations</w:t>
      </w:r>
    </w:p>
    <w:p w:rsidR="00000000" w:rsidDel="00000000" w:rsidP="00000000" w:rsidRDefault="00000000" w:rsidRPr="00000000" w14:paraId="0000003D">
      <w:pPr>
        <w:spacing w:after="8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the findings, this study recommends the following:</w:t>
      </w:r>
    </w:p>
    <w:p w:rsidR="00000000" w:rsidDel="00000000" w:rsidP="00000000" w:rsidRDefault="00000000" w:rsidRPr="00000000" w14:paraId="0000003E">
      <w:pPr>
        <w:spacing w:line="240" w:lineRule="auto"/>
        <w:ind w:left="108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F">
      <w:pPr>
        <w:pStyle w:val="Heading1"/>
        <w:keepLines w:val="0"/>
        <w:numPr>
          <w:ilvl w:val="0"/>
          <w:numId w:val="3"/>
        </w:numPr>
        <w:spacing w:after="0" w:before="1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40">
      <w:pPr>
        <w:numPr>
          <w:ilvl w:val="0"/>
          <w:numId w:val="1"/>
        </w:numPr>
        <w:spacing w:after="80" w:line="24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Bragg, D., Koller, O., Bellard, M., Berke, L., Boudreault, P., Braffort, A., Caselli, N., Huenerfauth, M., Kacorri, H., Verhoef, T., &amp; Vogler, C. (2019). Sign Language Recognition, Generation, and Translation: An Interdisciplinary Perspective. The 21st International ACM SIGACCESS Conference on Computers and Accessibility (ASSETS), 16–31. https://doi.org/10.1145/3308561.3353774</w:t>
      </w:r>
    </w:p>
    <w:p w:rsidR="00000000" w:rsidDel="00000000" w:rsidP="00000000" w:rsidRDefault="00000000" w:rsidRPr="00000000" w14:paraId="00000041">
      <w:pPr>
        <w:numPr>
          <w:ilvl w:val="0"/>
          <w:numId w:val="1"/>
        </w:numPr>
        <w:spacing w:after="80" w:line="24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Hommes, R. E., Borash, A. I., Hartwig, K., &amp; DeGracia, D. (2018). American Sign Language Interpreters' Perceptions of Barriers to Healthcare Communication in Deaf and Hard of Hearing Patients. Journal of Community Health, 43, 956–961. https://doi.org/10.1007/s10900-018-0511-3</w:t>
      </w:r>
    </w:p>
    <w:p w:rsidR="00000000" w:rsidDel="00000000" w:rsidP="00000000" w:rsidRDefault="00000000" w:rsidRPr="00000000" w14:paraId="00000042">
      <w:pPr>
        <w:numPr>
          <w:ilvl w:val="0"/>
          <w:numId w:val="1"/>
        </w:numPr>
        <w:spacing w:after="80" w:line="24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Kim, J., et al. (2023). Real-Time Dynamic Sign Language Recognition Using LSTM Based on MediaPipe Hand Data. IEEE International Conference on Consumer Electronics (ICCE). https://doi.org/10.1109/ICCE56470.2023.10226687</w:t>
      </w:r>
    </w:p>
    <w:p w:rsidR="00000000" w:rsidDel="00000000" w:rsidP="00000000" w:rsidRDefault="00000000" w:rsidRPr="00000000" w14:paraId="00000043">
      <w:pPr>
        <w:numPr>
          <w:ilvl w:val="0"/>
          <w:numId w:val="1"/>
        </w:numPr>
        <w:spacing w:after="80" w:line="24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Lalloo, C., Stinson, J. N., Brown, L., et al. (2014). Pain Squad: user-centered design of a multi-platform electronic pain diary for adolescents with cancer. JMIR Research Protocols, 3(1), e29. https://doi.org/10.2196/resprot.3235</w:t>
      </w:r>
    </w:p>
    <w:p w:rsidR="00000000" w:rsidDel="00000000" w:rsidP="00000000" w:rsidRDefault="00000000" w:rsidRPr="00000000" w14:paraId="00000044">
      <w:pPr>
        <w:numPr>
          <w:ilvl w:val="0"/>
          <w:numId w:val="1"/>
        </w:numPr>
        <w:spacing w:after="80" w:line="24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Lugaresi, C., Tang, J., Nash, H., McClanahan, C., Uboweja, E., Hays, M., Zhang, F., Chang, C., Yong, M., Lee, J., &amp; Chang, W.-T. (2019). MediaPipe: A Framework for Building Perception Pipelines. arXiv preprint arXiv:1906.08172.</w:t>
      </w:r>
    </w:p>
    <w:p w:rsidR="00000000" w:rsidDel="00000000" w:rsidP="00000000" w:rsidRDefault="00000000" w:rsidRPr="00000000" w14:paraId="00000045">
      <w:pPr>
        <w:numPr>
          <w:ilvl w:val="0"/>
          <w:numId w:val="1"/>
        </w:numPr>
        <w:spacing w:after="80" w:line="24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Radford, A., Kim, J. W., Xu, T., Brockman, G., McLeavey, C., &amp; Sutskever, I. (2022). Robust Speech Recognition via Large-Scale Weak Supervision. arXiv preprint arXiv:2212.04356.</w:t>
      </w:r>
    </w:p>
    <w:p w:rsidR="00000000" w:rsidDel="00000000" w:rsidP="00000000" w:rsidRDefault="00000000" w:rsidRPr="00000000" w14:paraId="00000046">
      <w:pPr>
        <w:numPr>
          <w:ilvl w:val="0"/>
          <w:numId w:val="1"/>
        </w:numPr>
        <w:spacing w:after="80" w:line="24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Philippine Statistics Authority, "Functional Difficulty in the Philippines: For Household Population Five Years Old and Over (2020 Census of Population and Housing)," Aug. 2023. [Online]. Available: https://www.google.com/search?q=https://psa.gov.ph/statistics/population-and-housing/node/1682742. [Accessed: Apr. 20, 2026].</w:t>
      </w:r>
    </w:p>
    <w:p w:rsidR="00000000" w:rsidDel="00000000" w:rsidP="00000000" w:rsidRDefault="00000000" w:rsidRPr="00000000" w14:paraId="00000047">
      <w:pPr>
        <w:numPr>
          <w:ilvl w:val="0"/>
          <w:numId w:val="1"/>
        </w:numPr>
        <w:spacing w:after="80" w:line="24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Philippine Commission on Women, "Barangay VAW Desk." [Online]. Available: https://pcw.gov.ph/barangay-vaw-desk/. [Accessed: Apr. 20, 2026].</w:t>
      </w:r>
    </w:p>
    <w:p w:rsidR="00000000" w:rsidDel="00000000" w:rsidP="00000000" w:rsidRDefault="00000000" w:rsidRPr="00000000" w14:paraId="00000048">
      <w:pPr>
        <w:numPr>
          <w:ilvl w:val="0"/>
          <w:numId w:val="1"/>
        </w:numPr>
        <w:spacing w:after="80" w:line="24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Congress of the Philippines, "Republic Act No. 10354," Sec. 4.09, 2012. [Online]. Available: https://pcw.gov.ph/assets/files/2019/04/RA_10354_The-Responsible-Parenthood-and-Reproductive-Health-Act-of-2012_IRR.pdf. [Accessed: Apr. 20, 2026].</w:t>
      </w:r>
    </w:p>
    <w:p w:rsidR="00000000" w:rsidDel="00000000" w:rsidP="00000000" w:rsidRDefault="00000000" w:rsidRPr="00000000" w14:paraId="00000049">
      <w:pPr>
        <w:numPr>
          <w:ilvl w:val="0"/>
          <w:numId w:val="1"/>
        </w:numPr>
        <w:spacing w:after="80" w:line="24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Dual-Interface Communication Application," Concept Document.</w:t>
      </w:r>
    </w:p>
    <w:p w:rsidR="00000000" w:rsidDel="00000000" w:rsidP="00000000" w:rsidRDefault="00000000" w:rsidRPr="00000000" w14:paraId="0000004A">
      <w:pPr>
        <w:numPr>
          <w:ilvl w:val="0"/>
          <w:numId w:val="1"/>
        </w:numPr>
        <w:spacing w:after="80" w:line="24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Argo Translation, "Why a patient's family member should never be their interpreter." [Online]. Available: https://www.argotranslation.com/blog/why-a-patients-family-member-should-never-be-their-interpreter. [Accessed: Apr. 20, 2026].</w:t>
      </w:r>
    </w:p>
    <w:p w:rsidR="00000000" w:rsidDel="00000000" w:rsidP="00000000" w:rsidRDefault="00000000" w:rsidRPr="00000000" w14:paraId="0000004B">
      <w:pPr>
        <w:numPr>
          <w:ilvl w:val="0"/>
          <w:numId w:val="1"/>
        </w:numPr>
        <w:spacing w:after="80" w:line="24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 Nizam, "Operationalizing Medical Transcription AI at the edge for faster, accurate, secure, and cost-efficient healthcare workflow integration," in Proc. IEEE Int. Conf. Consum. Electron. (ICCE), Feb. 2026.</w:t>
      </w:r>
    </w:p>
    <w:p w:rsidR="00000000" w:rsidDel="00000000" w:rsidP="00000000" w:rsidRDefault="00000000" w:rsidRPr="00000000" w14:paraId="0000004C">
      <w:pPr>
        <w:numPr>
          <w:ilvl w:val="0"/>
          <w:numId w:val="1"/>
        </w:numPr>
        <w:spacing w:after="80" w:line="24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 Pryor and N. Azodi, "SignAloud: Gloves That Transliterate Sign Language into Text and Speech," Lemelson-MIT Student Prize, 2016. [Online]. Available: https://www.washington.edu/news/2016/04/12/uw-undergraduate-team-wins-10000-lemelson-mit-student-prize-for-gloves-that-translate-sign-language/. [Accessed: Apr. 20, 2026].</w:t>
      </w:r>
      <w:r w:rsidDel="00000000" w:rsidR="00000000" w:rsidRPr="00000000">
        <w:rPr>
          <w:rtl w:val="0"/>
        </w:rPr>
      </w:r>
    </w:p>
    <w:p w:rsidR="00000000" w:rsidDel="00000000" w:rsidP="00000000" w:rsidRDefault="00000000" w:rsidRPr="00000000" w14:paraId="0000004D">
      <w:pPr>
        <w:numPr>
          <w:ilvl w:val="0"/>
          <w:numId w:val="1"/>
        </w:numPr>
        <w:spacing w:after="80" w:line="24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 R. B. Naraja, C. J. S. Leyson, and J. R. E. Fernandez, "Real-Time Sign Language Recognition and Translation: A Mobile Solution Using Convolutional Neural Network," Linker: Journal of Engineering, Computing and Technology, vol. 2, no. 1, 2025.</w:t>
      </w:r>
    </w:p>
    <w:p w:rsidR="00000000" w:rsidDel="00000000" w:rsidP="00000000" w:rsidRDefault="00000000" w:rsidRPr="00000000" w14:paraId="0000004E">
      <w:pPr>
        <w:numPr>
          <w:ilvl w:val="0"/>
          <w:numId w:val="1"/>
        </w:numPr>
        <w:spacing w:after="80" w:line="24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Garvin, J.H. et al. “Prescription Tablets in the Digital Age: Tablet-Based Personalized Health Care Information Exchange” JMIR 2016.</w:t>
      </w:r>
    </w:p>
    <w:p w:rsidR="00000000" w:rsidDel="00000000" w:rsidP="00000000" w:rsidRDefault="00000000" w:rsidRPr="00000000" w14:paraId="0000004F">
      <w:pPr>
        <w:numPr>
          <w:ilvl w:val="0"/>
          <w:numId w:val="1"/>
        </w:numPr>
        <w:spacing w:after="80" w:line="24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Alhammad, N. et al. “Patients' Perspectives on the Data Confidentiality, Privacy, and Security of mHealth Apps: Systematic Review” Journal of Medical Internet Research (JMIR), 26, e50715; PMC11179037.</w:t>
      </w:r>
    </w:p>
    <w:p w:rsidR="00000000" w:rsidDel="00000000" w:rsidP="00000000" w:rsidRDefault="00000000" w:rsidRPr="00000000" w14:paraId="00000050">
      <w:pPr>
        <w:numPr>
          <w:ilvl w:val="0"/>
          <w:numId w:val="1"/>
        </w:numPr>
        <w:spacing w:after="80" w:line="24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Esteves, S., Cardoso, F., Luís, M., Almendra, R., &amp; Rodrigues, M.  (2025) “Transforming Women's Health, Empowerment, and Gender Equality with Digital Health” https://doi.org/10.1016/S2589-7500(25)00022-6</w:t>
      </w:r>
    </w:p>
    <w:p w:rsidR="00000000" w:rsidDel="00000000" w:rsidP="00000000" w:rsidRDefault="00000000" w:rsidRPr="00000000" w14:paraId="00000051">
      <w:pPr>
        <w:numPr>
          <w:ilvl w:val="0"/>
          <w:numId w:val="1"/>
        </w:numPr>
        <w:spacing w:after="80" w:line="24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Ashrafi, N., Vona, F., Graf, P., Harnisch, P., Hinzmann, S., &amp; Voigt-Antons, J.-N.  (2024) “Single vs Dual: Influence of the Number of Displays on User Experience within Virtually Embodied Conversational Systems” https://doi.org/10.1145/3641825.3689700</w:t>
      </w:r>
    </w:p>
    <w:p w:rsidR="00000000" w:rsidDel="00000000" w:rsidP="00000000" w:rsidRDefault="00000000" w:rsidRPr="00000000" w14:paraId="00000052">
      <w:pPr>
        <w:spacing w:after="80" w:line="240" w:lineRule="auto"/>
        <w:ind w:left="36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3">
      <w:pPr>
        <w:numPr>
          <w:ilvl w:val="0"/>
          <w:numId w:val="1"/>
        </w:numPr>
        <w:spacing w:after="80" w:line="24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Gerdts, C., Jayaweera, R.T., Baum, S.E., &amp; Raifman, S.  (2022) “A Framework for Femtech: Guiding Principles for Developing Digital Reproductive Health Tools in the US” https://doi.org/10.1371/journal.pdig.0000027</w:t>
      </w:r>
    </w:p>
    <w:p w:rsidR="00000000" w:rsidDel="00000000" w:rsidP="00000000" w:rsidRDefault="00000000" w:rsidRPr="00000000" w14:paraId="00000054">
      <w:pPr>
        <w:numPr>
          <w:ilvl w:val="0"/>
          <w:numId w:val="1"/>
        </w:numPr>
        <w:spacing w:after="80" w:line="240" w:lineRule="auto"/>
        <w:ind w:left="36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5">
      <w:pPr>
        <w:numPr>
          <w:ilvl w:val="0"/>
          <w:numId w:val="1"/>
        </w:numPr>
        <w:spacing w:after="80" w:line="240" w:lineRule="auto"/>
        <w:ind w:left="36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6">
      <w:pPr>
        <w:numPr>
          <w:ilvl w:val="0"/>
          <w:numId w:val="1"/>
        </w:numPr>
        <w:spacing w:after="80" w:line="240" w:lineRule="auto"/>
        <w:ind w:left="36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7">
      <w:pPr>
        <w:ind w:left="144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type w:val="continuous"/>
      <w:pgSz w:h="15840" w:w="12240" w:orient="portrait"/>
      <w:pgMar w:bottom="1440" w:top="1080" w:left="1080" w:right="1080" w:header="720" w:footer="720"/>
      <w:cols w:equalWidth="0" w:num="2">
        <w:col w:space="720" w:w="4680"/>
        <w:col w:space="0" w:w="468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0" w:firstLine="0"/>
      </w:pPr>
      <w:rPr>
        <w:u w:val="none"/>
      </w:rPr>
    </w:lvl>
    <w:lvl w:ilvl="1">
      <w:start w:val="1"/>
      <w:numFmt w:val="decimal"/>
      <w:lvlText w:val="%1.%2"/>
      <w:lvlJc w:val="left"/>
      <w:pPr>
        <w:ind w:left="0" w:firstLine="0"/>
      </w:pPr>
      <w:rPr>
        <w:u w:val="none"/>
      </w:rPr>
    </w:lvl>
    <w:lvl w:ilvl="2">
      <w:start w:val="1"/>
      <w:numFmt w:val="decimal"/>
      <w:lvlText w:val="%1.%2.%3"/>
      <w:lvlJc w:val="left"/>
      <w:pPr>
        <w:ind w:left="0" w:firstLine="0"/>
      </w:pPr>
      <w:rPr>
        <w:u w:val="none"/>
      </w:rPr>
    </w:lvl>
    <w:lvl w:ilvl="3">
      <w:start w:val="1"/>
      <w:numFmt w:val="decimal"/>
      <w:lvlText w:val="%1.%2.%3.%4"/>
      <w:lvlJc w:val="left"/>
      <w:pPr>
        <w:ind w:left="0" w:firstLine="0"/>
      </w:pPr>
      <w:rPr>
        <w:u w:val="none"/>
      </w:rPr>
    </w:lvl>
    <w:lvl w:ilvl="4">
      <w:start w:val="1"/>
      <w:numFmt w:val="decimal"/>
      <w:lvlText w:val="%1.%2.%3.%4.%5"/>
      <w:lvlJc w:val="left"/>
      <w:pPr>
        <w:ind w:left="0" w:firstLine="0"/>
      </w:pPr>
      <w:rPr>
        <w:u w:val="none"/>
      </w:rPr>
    </w:lvl>
    <w:lvl w:ilvl="5">
      <w:start w:val="1"/>
      <w:numFmt w:val="decimal"/>
      <w:lvlText w:val="%1.%2.%3.%4.%5.%6"/>
      <w:lvlJc w:val="left"/>
      <w:pPr>
        <w:ind w:left="0" w:firstLine="0"/>
      </w:pPr>
      <w:rPr>
        <w:u w:val="none"/>
      </w:rPr>
    </w:lvl>
    <w:lvl w:ilvl="6">
      <w:start w:val="1"/>
      <w:numFmt w:val="decimal"/>
      <w:lvlText w:val="%1.%2.%3.%4.%5.%6.%7"/>
      <w:lvlJc w:val="left"/>
      <w:pPr>
        <w:ind w:left="0" w:firstLine="0"/>
      </w:pPr>
      <w:rPr>
        <w:u w:val="none"/>
      </w:rPr>
    </w:lvl>
    <w:lvl w:ilvl="7">
      <w:start w:val="1"/>
      <w:numFmt w:val="decimal"/>
      <w:lvlText w:val="%1.%2.%3.%4.%5.%6.%7.%8"/>
      <w:lvlJc w:val="left"/>
      <w:pPr>
        <w:ind w:left="0" w:firstLine="0"/>
      </w:pPr>
      <w:rPr>
        <w:u w:val="none"/>
      </w:rPr>
    </w:lvl>
    <w:lvl w:ilvl="8">
      <w:start w:val="1"/>
      <w:numFmt w:val="decimal"/>
      <w:lvlText w:val="%1.%2.%3.%4.%5.%6.%7.%8.%9"/>
      <w:lvlJc w:val="left"/>
      <w:pPr>
        <w:ind w:left="0" w:firstLine="0"/>
      </w:pPr>
      <w:rPr>
        <w:u w:val="none"/>
      </w:rPr>
    </w:lvl>
  </w:abstractNum>
  <w:abstractNum w:abstractNumId="3">
    <w:lvl w:ilvl="0">
      <w:start w:val="1"/>
      <w:numFmt w:val="decimal"/>
      <w:lvlText w:val="%1."/>
      <w:lvlJc w:val="left"/>
      <w:pPr>
        <w:ind w:left="0" w:firstLine="0"/>
      </w:pPr>
      <w:rPr>
        <w:u w:val="none"/>
      </w:rPr>
    </w:lvl>
    <w:lvl w:ilvl="1">
      <w:start w:val="1"/>
      <w:numFmt w:val="decimal"/>
      <w:lvlText w:val="%1.%2"/>
      <w:lvlJc w:val="left"/>
      <w:pPr>
        <w:ind w:left="0" w:firstLine="0"/>
      </w:pPr>
      <w:rPr>
        <w:u w:val="none"/>
      </w:rPr>
    </w:lvl>
    <w:lvl w:ilvl="2">
      <w:start w:val="1"/>
      <w:numFmt w:val="decimal"/>
      <w:lvlText w:val="%1.%2.%3"/>
      <w:lvlJc w:val="left"/>
      <w:pPr>
        <w:ind w:left="0" w:firstLine="0"/>
      </w:pPr>
      <w:rPr>
        <w:u w:val="none"/>
      </w:rPr>
    </w:lvl>
    <w:lvl w:ilvl="3">
      <w:start w:val="1"/>
      <w:numFmt w:val="decimal"/>
      <w:lvlText w:val="%1.%2.%3.%4"/>
      <w:lvlJc w:val="left"/>
      <w:pPr>
        <w:ind w:left="0" w:firstLine="0"/>
      </w:pPr>
      <w:rPr>
        <w:u w:val="none"/>
      </w:rPr>
    </w:lvl>
    <w:lvl w:ilvl="4">
      <w:start w:val="1"/>
      <w:numFmt w:val="decimal"/>
      <w:lvlText w:val="%1.%2.%3.%4.%5"/>
      <w:lvlJc w:val="left"/>
      <w:pPr>
        <w:ind w:left="0" w:firstLine="0"/>
      </w:pPr>
      <w:rPr>
        <w:u w:val="none"/>
      </w:rPr>
    </w:lvl>
    <w:lvl w:ilvl="5">
      <w:start w:val="1"/>
      <w:numFmt w:val="decimal"/>
      <w:lvlText w:val="%1.%2.%3.%4.%5.%6"/>
      <w:lvlJc w:val="left"/>
      <w:pPr>
        <w:ind w:left="0" w:firstLine="0"/>
      </w:pPr>
      <w:rPr>
        <w:u w:val="none"/>
      </w:rPr>
    </w:lvl>
    <w:lvl w:ilvl="6">
      <w:start w:val="1"/>
      <w:numFmt w:val="decimal"/>
      <w:lvlText w:val="%1.%2.%3.%4.%5.%6.%7"/>
      <w:lvlJc w:val="left"/>
      <w:pPr>
        <w:ind w:left="0" w:firstLine="0"/>
      </w:pPr>
      <w:rPr>
        <w:u w:val="none"/>
      </w:rPr>
    </w:lvl>
    <w:lvl w:ilvl="7">
      <w:start w:val="1"/>
      <w:numFmt w:val="decimal"/>
      <w:lvlText w:val="%1.%2.%3.%4.%5.%6.%7.%8"/>
      <w:lvlJc w:val="left"/>
      <w:pPr>
        <w:ind w:left="0" w:firstLine="0"/>
      </w:pPr>
      <w:rPr>
        <w:u w:val="none"/>
      </w:rPr>
    </w:lvl>
    <w:lvl w:ilvl="8">
      <w:start w:val="1"/>
      <w:numFmt w:val="decimal"/>
      <w:lvlText w:val="%1.%2.%3.%4.%5.%6.%7.%8.%9"/>
      <w:lvlJc w:val="left"/>
      <w:pPr>
        <w:ind w:left="0" w:firstLine="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reneboyjr.dingcong@g.msuiit.edu.ph" TargetMode="External"/><Relationship Id="rId7" Type="http://schemas.openxmlformats.org/officeDocument/2006/relationships/hyperlink" Target="mailto:nathanflorence.casas@g.msuiit.edu.ph" TargetMode="External"/><Relationship Id="rId8" Type="http://schemas.openxmlformats.org/officeDocument/2006/relationships/hyperlink" Target="mailto:jedidiah.rollinas@g.msuiit.edu.p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