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CS 255 System Design Document - Renee Holliday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UML Diagrams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Use Case Diagram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350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Activity Diagrams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148013" cy="6001699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60016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43600" cy="5588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Sequence Diagram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3225920" cy="854868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5920" cy="854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rPr/>
      </w:pPr>
      <w:r w:rsidDel="00000000" w:rsidR="00000000" w:rsidRPr="00000000">
        <w:rPr>
          <w:rtl w:val="0"/>
        </w:rPr>
        <w:t xml:space="preserve">UML Class Diagram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Calibri" w:cs="Calibri" w:eastAsia="Calibri" w:hAnsi="Calibri"/>
        </w:rPr>
      </w:pPr>
      <w:r w:rsidDel="00000000" w:rsidR="00000000" w:rsidRPr="00000000">
        <w:rPr/>
        <w:drawing>
          <wp:inline distB="114300" distT="114300" distL="114300" distR="114300">
            <wp:extent cx="5943600" cy="6070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Technical Requirements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[Based on the diagrams you have created, describe the technical requirements of your system. These requirements should address the required hardware, software, tools, and infrastructure necessary for your system design.]</w:t>
      </w:r>
    </w:p>
    <w:p w:rsidR="00000000" w:rsidDel="00000000" w:rsidP="00000000" w:rsidRDefault="00000000" w:rsidRPr="00000000" w14:paraId="00000014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Users, Roles, and Access</w:t>
      </w:r>
      <w:r w:rsidDel="00000000" w:rsidR="00000000" w:rsidRPr="00000000">
        <w:rPr>
          <w:rtl w:val="0"/>
        </w:rPr>
        <w:t xml:space="preserve"> — Students/Customers, Secretary, Drivers, IT Admin, and Owner, each with the access they need</w:t>
      </w:r>
    </w:p>
    <w:p w:rsidR="00000000" w:rsidDel="00000000" w:rsidP="00000000" w:rsidRDefault="00000000" w:rsidRPr="00000000" w14:paraId="00000016">
      <w:pPr>
        <w:spacing w:after="0" w:line="342.85714285714283" w:lineRule="auto"/>
        <w:rPr>
          <w:color w:val="464feb"/>
        </w:rPr>
      </w:pPr>
      <w:r w:rsidDel="00000000" w:rsidR="00000000" w:rsidRPr="00000000">
        <w:rPr>
          <w:b w:val="1"/>
          <w:bCs w:val="1"/>
          <w:rtl w:val="0"/>
        </w:rPr>
        <w:t xml:space="preserve">Core Functional Components</w:t>
      </w:r>
      <w:r w:rsidDel="00000000" w:rsidR="00000000" w:rsidRPr="00000000">
        <w:rPr>
          <w:rtl w:val="0"/>
        </w:rPr>
        <w:t xml:space="preserve"> — Scheduling 2‑hour lessons, enabling/disabling packages, practice tests with score &amp; status tracking, driver notes, special needs &amp; photos, reporting with Excel exports, “Contact Us” and student messaging, and payments via a compliant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External Integrations</w:t>
      </w:r>
      <w:r w:rsidDel="00000000" w:rsidR="00000000" w:rsidRPr="00000000">
        <w:rPr>
          <w:rtl w:val="0"/>
        </w:rPr>
        <w:t xml:space="preserve"> — DMV updates with notifications, payment gateway, and email/SMS </w:t>
      </w:r>
    </w:p>
    <w:p w:rsidR="00000000" w:rsidDel="00000000" w:rsidP="00000000" w:rsidRDefault="00000000" w:rsidRPr="00000000" w14:paraId="00000018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Application Architecture &amp; Software Stack</w:t>
      </w:r>
      <w:r w:rsidDel="00000000" w:rsidR="00000000" w:rsidRPr="00000000">
        <w:rPr>
          <w:rtl w:val="0"/>
        </w:rPr>
        <w:t xml:space="preserve"> — Cloud‑hosted, 3‑tier web app; responsive UI; RESTful API; relational database; secure file/object storage for photos and exports.</w:t>
      </w:r>
    </w:p>
    <w:p w:rsidR="00000000" w:rsidDel="00000000" w:rsidP="00000000" w:rsidRDefault="00000000" w:rsidRPr="00000000" w14:paraId="00000019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Hardware &amp; Cloud Infrastructure</w:t>
      </w:r>
      <w:r w:rsidDel="00000000" w:rsidR="00000000" w:rsidRPr="00000000">
        <w:rPr>
          <w:rtl w:val="0"/>
        </w:rPr>
        <w:t xml:space="preserve"> — Browser‑based access from anywhere; managed cloud hosting, backups &amp; autoscaling to reduce ops burden as requested</w:t>
      </w:r>
    </w:p>
    <w:p w:rsidR="00000000" w:rsidDel="00000000" w:rsidP="00000000" w:rsidRDefault="00000000" w:rsidRPr="00000000" w14:paraId="0000001A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Security, Privacy, and Compliance</w:t>
      </w:r>
      <w:r w:rsidDel="00000000" w:rsidR="00000000" w:rsidRPr="00000000">
        <w:rPr>
          <w:rtl w:val="0"/>
        </w:rPr>
        <w:t xml:space="preserve"> —Access based roles, encryption, audit logs to track who created/modified/cancelled reservations, password resets, and PCI‑aligned payment handling</w:t>
      </w:r>
    </w:p>
    <w:p w:rsidR="00000000" w:rsidDel="00000000" w:rsidP="00000000" w:rsidRDefault="00000000" w:rsidRPr="00000000" w14:paraId="0000001B">
      <w:pPr>
        <w:spacing w:after="0" w:line="342.85714285714283" w:lineRule="auto"/>
        <w:rPr>
          <w:color w:val="464feb"/>
        </w:rPr>
      </w:pPr>
      <w:r w:rsidDel="00000000" w:rsidR="00000000" w:rsidRPr="00000000">
        <w:rPr>
          <w:b w:val="1"/>
          <w:bCs w:val="1"/>
          <w:rtl w:val="0"/>
        </w:rPr>
        <w:t xml:space="preserve">Non‑Functional Requirements</w:t>
      </w:r>
      <w:r w:rsidDel="00000000" w:rsidR="00000000" w:rsidRPr="00000000">
        <w:rPr>
          <w:rtl w:val="0"/>
        </w:rPr>
        <w:t xml:space="preserve"> — Availability, performance targets, scalability, usability, maintainability, and observability.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42.8571428571428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Model Highlights</w:t>
      </w:r>
      <w:r w:rsidDel="00000000" w:rsidR="00000000" w:rsidRPr="00000000">
        <w:rPr>
          <w:rtl w:val="0"/>
        </w:rPr>
        <w:t xml:space="preserve"> — Users/Roles, Vehicles &amp; Drivers, Packages (with enable/disable), Reservations (2‑hour sessions), Test Attempts (name, time, score, status), Notes, Photos, Special Needs, Payments, and immutable Activity/Audit Logs</w:t>
      </w:r>
    </w:p>
    <w:p w:rsidR="00000000" w:rsidDel="00000000" w:rsidP="00000000" w:rsidRDefault="00000000" w:rsidRPr="00000000" w14:paraId="0000001D">
      <w:pPr>
        <w:spacing w:after="0" w:line="342.85714285714283" w:lineRule="auto"/>
        <w:rPr>
          <w:color w:val="464feb"/>
        </w:rPr>
      </w:pPr>
      <w:r w:rsidDel="00000000" w:rsidR="00000000" w:rsidRPr="00000000">
        <w:rPr>
          <w:b w:val="1"/>
          <w:bCs w:val="1"/>
          <w:rtl w:val="0"/>
        </w:rPr>
        <w:t xml:space="preserve">Environments, DevOps, and Tooling</w:t>
      </w:r>
      <w:r w:rsidDel="00000000" w:rsidR="00000000" w:rsidRPr="00000000">
        <w:rPr>
          <w:rtl w:val="0"/>
        </w:rPr>
        <w:t xml:space="preserve"> — Dev/Test/Prod separation, CI/CD, automated testing, and monitoring.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42.85714285714283" w:lineRule="auto"/>
        <w:rPr>
          <w:color w:val="464feb"/>
        </w:rPr>
      </w:pPr>
      <w:r w:rsidDel="00000000" w:rsidR="00000000" w:rsidRPr="00000000">
        <w:rPr>
          <w:b w:val="1"/>
          <w:bCs w:val="1"/>
          <w:rtl w:val="0"/>
        </w:rPr>
        <w:t xml:space="preserve">Assumptions &amp; Constraints</w:t>
      </w:r>
      <w:r w:rsidDel="00000000" w:rsidR="00000000" w:rsidRPr="00000000">
        <w:rPr>
          <w:rtl w:val="0"/>
        </w:rPr>
        <w:t xml:space="preserve"> — Browser‑only MVP (no native apps), package enable/disable without code, DMV update feed, payment handled by gateway without storing, resources and budget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04900" cy="476250"/>
          <wp:effectExtent b="0" l="0" r="0" t="0"/>
          <wp:docPr descr="SNHU logo" id="3" name="image2.png"/>
          <a:graphic>
            <a:graphicData uri="http://schemas.openxmlformats.org/drawingml/2006/picture">
              <pic:pic>
                <pic:nvPicPr>
                  <pic:cNvPr descr="SNHU logo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0"/>
      <w:keepLines w:val="0"/>
      <w:spacing w:after="0" w:line="240" w:lineRule="auto"/>
      <w:jc w:val="center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="240" w:lineRule="auto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D26AB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D26AB"/>
    <w:rPr>
      <w:rFonts w:ascii="Segoe UI" w:cs="Segoe UI" w:hAnsi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 w:val="1"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 w:val="1"/>
    <w:rsid w:val="009D26A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567DC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567DC"/>
    <w:rPr>
      <w:b w:val="1"/>
      <w:bCs w:val="1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B4452A"/>
    <w:pPr>
      <w:ind w:left="720"/>
      <w:contextualSpacing w:val="1"/>
    </w:pPr>
  </w:style>
  <w:style w:type="character" w:styleId="Heading1Char" w:customStyle="1">
    <w:name w:val="Heading 1 Char"/>
    <w:basedOn w:val="DefaultParagraphFont"/>
    <w:link w:val="Heading1"/>
    <w:uiPriority w:val="9"/>
    <w:rsid w:val="00895C86"/>
    <w:rPr>
      <w:rFonts w:eastAsiaTheme="minorHAnsi"/>
      <w:b w:val="1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895C86"/>
    <w:rPr>
      <w:rFonts w:eastAsiaTheme="minorHAnsi"/>
      <w:b w:val="1"/>
      <w:sz w:val="24"/>
      <w:szCs w:val="24"/>
    </w:rPr>
  </w:style>
  <w:style w:type="character" w:styleId="Hyperlink">
    <w:name w:val="Hyperlink"/>
    <w:basedOn w:val="DefaultParagraphFont"/>
    <w:uiPriority w:val="99"/>
    <w:semiHidden w:val="1"/>
    <w:unhideWhenUsed w:val="1"/>
    <w:rsid w:val="00895C86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phl8Jk7geZvqgtRJg/GUiyIoYw==">CgMxLjA4AHIhMXo5d3BRMnRqYWdZeWY5YUxTdnBjQ0ZmOWNmdGpvUW5Q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2020-01-15T13:21:00Z</dcterms:created>
  <dc:creator>Gentile, Amy</dc:creator>
</cp:coreProperties>
</file>