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alibri" w:hAnsi="Calibri"/>
          <w:b/>
          <w:color w:val="1A3A5C"/>
          <w:sz w:val="36"/>
        </w:rPr>
        <w:t>RIIGISEKTORI ROLLIPÕHINE AUSTUSE JA SUHTLUSE JUHEND</w:t>
      </w:r>
    </w:p>
    <w:p>
      <w:pPr>
        <w:spacing w:after="100"/>
        <w:jc w:val="center"/>
      </w:pPr>
      <w:r>
        <w:rPr>
          <w:rFonts w:ascii="Calibri" w:hAnsi="Calibri"/>
          <w:b w:val="0"/>
          <w:i w:val="0"/>
          <w:sz w:val="22"/>
        </w:rPr>
        <w:t>Iga töökoht, tasand ja roll | Eeskuju: Techno TLN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Sissejuhatus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Riigisektoris on reeglid vajalikud, et oleks selgus ja turvalisus. See juhend kehtib haridusasutustes, ministeeriumides, ametites, haiglates, vallamajades ja kõikjal, kus töötab avalik teenistus.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Põhimõte: austus on käitumine. Lugupidamine on protsess. Turvalisus on esimene.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Tasandid ja rollid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JUHTKOND (direktor, sekretär, nõukogu esimees)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Strateegia ja eeskuju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Avalik häbistamine</w:t>
      </w:r>
    </w:p>
    <w:p>
      <w:pPr>
        <w:pStyle w:val="ListBullet"/>
      </w:pPr>
      <w:r>
        <w:rPr>
          <w:rFonts w:ascii="Calibri" w:hAnsi="Calibri"/>
          <w:sz w:val="22"/>
        </w:rPr>
        <w:t>Otsuste põhjendamata jätmine</w:t>
      </w:r>
    </w:p>
    <w:p>
      <w:pPr>
        <w:pStyle w:val="ListBullet"/>
      </w:pPr>
      <w:r>
        <w:rPr>
          <w:rFonts w:ascii="Calibri" w:hAnsi="Calibri"/>
          <w:sz w:val="22"/>
        </w:rPr>
        <w:t>Alla hinnata pöördumist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Selgitab otsuseid</w:t>
      </w:r>
    </w:p>
    <w:p>
      <w:pPr>
        <w:pStyle w:val="ListBullet"/>
      </w:pPr>
      <w:r>
        <w:rPr>
          <w:rFonts w:ascii="Calibri" w:hAnsi="Calibri"/>
          <w:sz w:val="22"/>
        </w:rPr>
        <w:t>Võtab vastutuse</w:t>
      </w:r>
    </w:p>
    <w:p>
      <w:pPr>
        <w:pStyle w:val="ListBullet"/>
      </w:pPr>
      <w:r>
        <w:rPr>
          <w:rFonts w:ascii="Calibri" w:hAnsi="Calibri"/>
          <w:sz w:val="22"/>
        </w:rPr>
        <w:t>On kättesaadav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personal, järelevalveasutus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KESKTASE (osakonnajuht, projektijuht, Mari Vavulski tüüpi koordinaator)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Ühendab inimesi ja protsesse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Kirja tegemine ilma tagasisideta</w:t>
      </w:r>
    </w:p>
    <w:p>
      <w:pPr>
        <w:pStyle w:val="ListBullet"/>
      </w:pPr>
      <w:r>
        <w:rPr>
          <w:rFonts w:ascii="Calibri" w:hAnsi="Calibri"/>
          <w:sz w:val="22"/>
        </w:rPr>
        <w:t>Ülekoormamine ilma teatamiseta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Koordineerib selgelt</w:t>
      </w:r>
    </w:p>
    <w:p>
      <w:pPr>
        <w:pStyle w:val="ListBullet"/>
      </w:pPr>
      <w:r>
        <w:rPr>
          <w:rFonts w:ascii="Calibri" w:hAnsi="Calibri"/>
          <w:sz w:val="22"/>
        </w:rPr>
        <w:t>Kaitseb meeskonda</w:t>
      </w:r>
    </w:p>
    <w:p>
      <w:pPr>
        <w:pStyle w:val="ListBullet"/>
      </w:pPr>
      <w:r>
        <w:rPr>
          <w:rFonts w:ascii="Calibri" w:hAnsi="Calibri"/>
          <w:sz w:val="22"/>
        </w:rPr>
        <w:t>Eskaleerib õigel ajal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ülemus, personal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ESILIIN (õpetaja, ametnik, sotsiaaltöötaja, meditsiin)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Teenuse ja õppe kvaliteet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Ignorantsus kodaniku suhtes</w:t>
      </w:r>
    </w:p>
    <w:p>
      <w:pPr>
        <w:pStyle w:val="ListBullet"/>
      </w:pPr>
      <w:r>
        <w:rPr>
          <w:rFonts w:ascii="Calibri" w:hAnsi="Calibri"/>
          <w:sz w:val="22"/>
        </w:rPr>
        <w:t>Kiusamise vaikimine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Tervitab</w:t>
      </w:r>
    </w:p>
    <w:p>
      <w:pPr>
        <w:pStyle w:val="ListBullet"/>
      </w:pPr>
      <w:r>
        <w:rPr>
          <w:rFonts w:ascii="Calibri" w:hAnsi="Calibri"/>
          <w:sz w:val="22"/>
        </w:rPr>
        <w:t>Kuulab</w:t>
      </w:r>
    </w:p>
    <w:p>
      <w:pPr>
        <w:pStyle w:val="ListBullet"/>
      </w:pPr>
      <w:r>
        <w:rPr>
          <w:rFonts w:ascii="Calibri" w:hAnsi="Calibri"/>
          <w:sz w:val="22"/>
        </w:rPr>
        <w:t>Suunab edasi kui vaja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vahetu ülemus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TUGITEENUSED (IT, hooldus, turva, köök)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Igapäevane kogemus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Naeratus oskamatuse üle</w:t>
      </w:r>
    </w:p>
    <w:p>
      <w:pPr>
        <w:pStyle w:val="ListBullet"/>
      </w:pPr>
      <w:r>
        <w:rPr>
          <w:rFonts w:ascii="Calibri" w:hAnsi="Calibri"/>
          <w:sz w:val="22"/>
        </w:rPr>
        <w:t>"Pole minu töö"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Suunab</w:t>
      </w:r>
    </w:p>
    <w:p>
      <w:pPr>
        <w:pStyle w:val="ListBullet"/>
      </w:pPr>
      <w:r>
        <w:rPr>
          <w:rFonts w:ascii="Calibri" w:hAnsi="Calibri"/>
          <w:sz w:val="22"/>
        </w:rPr>
        <w:t>Teatab rikkest</w:t>
      </w:r>
    </w:p>
    <w:p>
      <w:pPr>
        <w:pStyle w:val="ListBullet"/>
      </w:pPr>
      <w:r>
        <w:rPr>
          <w:rFonts w:ascii="Calibri" w:hAnsi="Calibri"/>
          <w:sz w:val="22"/>
        </w:rPr>
        <w:t>Aitab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vahetu ülemus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ÕPPIJA / TEENUSE SAAJA (õpilane, üliõpilane, kodanik)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Õigus lugupidamisele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Solvamine</w:t>
      </w:r>
    </w:p>
    <w:p>
      <w:pPr>
        <w:pStyle w:val="ListBullet"/>
      </w:pPr>
      <w:r>
        <w:rPr>
          <w:rFonts w:ascii="Calibri" w:hAnsi="Calibri"/>
          <w:sz w:val="22"/>
        </w:rPr>
        <w:t>Vägivald</w:t>
      </w:r>
    </w:p>
    <w:p>
      <w:pPr>
        <w:pStyle w:val="ListBullet"/>
      </w:pPr>
      <w:r>
        <w:rPr>
          <w:rFonts w:ascii="Calibri" w:hAnsi="Calibri"/>
          <w:sz w:val="22"/>
        </w:rPr>
        <w:t>Salvestamine ilma loata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Küsib abi</w:t>
      </w:r>
    </w:p>
    <w:p>
      <w:pPr>
        <w:pStyle w:val="ListBullet"/>
      </w:pPr>
      <w:r>
        <w:rPr>
          <w:rFonts w:ascii="Calibri" w:hAnsi="Calibri"/>
          <w:sz w:val="22"/>
        </w:rPr>
        <w:t>Järgib reegleid</w:t>
      </w:r>
    </w:p>
    <w:p>
      <w:pPr>
        <w:pStyle w:val="ListBullet"/>
      </w:pPr>
      <w:r>
        <w:rPr>
          <w:rFonts w:ascii="Calibri" w:hAnsi="Calibri"/>
          <w:sz w:val="22"/>
        </w:rPr>
        <w:t>Teatab probleemist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esindus, õiguskantsler, AM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PARTNER (ettevõte, MTÜ, lapsevanem)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Koostöö avaliku asutusega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Surve avaliku raha eest</w:t>
      </w:r>
    </w:p>
    <w:p>
      <w:pPr>
        <w:pStyle w:val="ListBullet"/>
      </w:pPr>
      <w:r>
        <w:rPr>
          <w:rFonts w:ascii="Calibri" w:hAnsi="Calibri"/>
          <w:sz w:val="22"/>
        </w:rPr>
        <w:t>Ebakorrektne suhtlus töötajaga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Lepib kokku</w:t>
      </w:r>
    </w:p>
    <w:p>
      <w:pPr>
        <w:pStyle w:val="ListBullet"/>
      </w:pPr>
      <w:r>
        <w:rPr>
          <w:rFonts w:ascii="Calibri" w:hAnsi="Calibri"/>
          <w:sz w:val="22"/>
        </w:rPr>
        <w:t>Austab protsessi</w:t>
      </w:r>
    </w:p>
    <w:p>
      <w:pPr>
        <w:pStyle w:val="ListBullet"/>
      </w:pPr>
      <w:r>
        <w:rPr>
          <w:rFonts w:ascii="Calibri" w:hAnsi="Calibri"/>
          <w:sz w:val="22"/>
        </w:rPr>
        <w:t>Kaebuse korral kirjalikult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lepingujärgne kontakt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HARIDUS: Kaitseväe Akadeemia (KVA)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Rakenduskõrgkool - juhtimine ja distsipliin lugupidavalt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Avalik alandamine</w:t>
      </w:r>
    </w:p>
    <w:p>
      <w:pPr>
        <w:pStyle w:val="ListBullet"/>
      </w:pPr>
      <w:r>
        <w:rPr>
          <w:rFonts w:ascii="Calibri" w:hAnsi="Calibri"/>
          <w:sz w:val="22"/>
        </w:rPr>
        <w:t>Kord ilma selgituseta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Selgitab ootused</w:t>
      </w:r>
    </w:p>
    <w:p>
      <w:pPr>
        <w:pStyle w:val="ListBullet"/>
      </w:pPr>
      <w:r>
        <w:rPr>
          <w:rFonts w:ascii="Calibri" w:hAnsi="Calibri"/>
          <w:sz w:val="22"/>
        </w:rPr>
        <w:t>Juhib eeskujuga</w:t>
      </w:r>
    </w:p>
    <w:p>
      <w:pPr>
        <w:pStyle w:val="ListBullet"/>
      </w:pPr>
      <w:r>
        <w:rPr>
          <w:rFonts w:ascii="Calibri" w:hAnsi="Calibri"/>
          <w:sz w:val="22"/>
        </w:rPr>
        <w:t>Toetab kriitilist mõtlemist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rektor, õppeosakond</w:t>
      </w:r>
    </w:p>
    <w:p>
      <w:pPr>
        <w:spacing w:before="240" w:after="120"/>
      </w:pPr>
      <w:r>
        <w:rPr>
          <w:rFonts w:ascii="Calibri" w:hAnsi="Calibri"/>
          <w:b/>
          <w:sz w:val="24"/>
        </w:rPr>
        <w:t>HARIDUS: Rocca al Mare Kool, Waldorf, Montessori</w:t>
      </w:r>
    </w:p>
    <w:p>
      <w:pPr>
        <w:spacing w:after="100"/>
      </w:pPr>
      <w:r>
        <w:rPr>
          <w:rFonts w:ascii="Calibri" w:hAnsi="Calibri"/>
          <w:b w:val="0"/>
          <w:i/>
          <w:sz w:val="22"/>
        </w:rPr>
        <w:t>Roll: Erinevad pedagoogilised mudelid - sama austus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Ei ole lugupidav / ei ole lubatud:</w:t>
      </w:r>
    </w:p>
    <w:p>
      <w:pPr>
        <w:pStyle w:val="ListBullet"/>
      </w:pPr>
      <w:r>
        <w:rPr>
          <w:rFonts w:ascii="Calibri" w:hAnsi="Calibri"/>
          <w:sz w:val="22"/>
        </w:rPr>
        <w:t>Erandite kasutamine solvamiseks</w:t>
      </w:r>
    </w:p>
    <w:p>
      <w:pPr>
        <w:pStyle w:val="ListBullet"/>
      </w:pPr>
      <w:r>
        <w:rPr>
          <w:rFonts w:ascii="Calibri" w:hAnsi="Calibri"/>
          <w:sz w:val="22"/>
        </w:rPr>
        <w:t>Lapse tausta üle naermine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Näitan austust ja lugupidamist:</w:t>
      </w:r>
    </w:p>
    <w:p>
      <w:pPr>
        <w:pStyle w:val="ListBullet"/>
      </w:pPr>
      <w:r>
        <w:rPr>
          <w:rFonts w:ascii="Calibri" w:hAnsi="Calibri"/>
          <w:sz w:val="22"/>
        </w:rPr>
        <w:t>Kuulab lapsevanemat</w:t>
      </w:r>
    </w:p>
    <w:p>
      <w:pPr>
        <w:pStyle w:val="ListBullet"/>
      </w:pPr>
      <w:r>
        <w:rPr>
          <w:rFonts w:ascii="Calibri" w:hAnsi="Calibri"/>
          <w:sz w:val="22"/>
        </w:rPr>
        <w:t>Kaitseb õppija väärikust</w:t>
      </w:r>
    </w:p>
    <w:p>
      <w:pPr>
        <w:pStyle w:val="ListBullet"/>
      </w:pPr>
      <w:r>
        <w:rPr>
          <w:rFonts w:ascii="Calibri" w:hAnsi="Calibri"/>
          <w:sz w:val="22"/>
        </w:rPr>
        <w:t>Teatab ohtudest</w:t>
      </w:r>
    </w:p>
    <w:p>
      <w:pPr>
        <w:spacing w:after="100"/>
      </w:pPr>
      <w:r>
        <w:rPr>
          <w:rFonts w:ascii="Calibri" w:hAnsi="Calibri"/>
          <w:b/>
          <w:i w:val="0"/>
          <w:sz w:val="22"/>
        </w:rPr>
        <w:t>Keelekasutus:</w:t>
      </w:r>
    </w:p>
    <w:p>
      <w:pPr>
        <w:pStyle w:val="ListBullet"/>
      </w:pPr>
      <w:r>
        <w:rPr>
          <w:rFonts w:ascii="Calibri" w:hAnsi="Calibri"/>
          <w:sz w:val="22"/>
        </w:rPr>
        <w:t>Vt üldised põhimõtted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Konflikt / turvalisus: direktor, sotsiaalpedagoog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Techno TLN - täispakk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Tallinna Tehnoloogiakolledzi detailne sisekorra eeskiri on eraldi dokumendis: techno-tln-austus-sisekorra-eeskiri.docx</w:t>
      </w:r>
    </w:p>
    <w:p>
      <w:pPr>
        <w:spacing w:after="100"/>
      </w:pPr>
      <w:r>
        <w:rPr>
          <w:rFonts w:ascii="Calibri" w:hAnsi="Calibri"/>
          <w:b w:val="0"/>
          <w:i w:val="0"/>
          <w:sz w:val="22"/>
        </w:rPr>
        <w:t>Nelja kooli ühendamine (Lasnamäe Mehaanikakool, Polütehnikum, Tööstushariduskeskus, Ehituskool). Õppesuunad: inseneriharidus, ehitus, mehaanika, IT, loovtehnoloogia ja muu rakenduslik haridus.</w:t>
      </w:r>
    </w:p>
    <w:p>
      <w:pPr>
        <w:spacing w:before="240" w:after="120"/>
      </w:pPr>
      <w:r>
        <w:rPr>
          <w:rFonts w:ascii="Calibri" w:hAnsi="Calibri"/>
          <w:b/>
          <w:sz w:val="28"/>
        </w:rPr>
        <w:t>Ühine kiirviide (kõik rollid)</w:t>
      </w:r>
    </w:p>
    <w:p>
      <w:pPr>
        <w:spacing w:after="100"/>
        <w:jc w:val="center"/>
      </w:pPr>
      <w:r>
        <w:rPr>
          <w:rFonts w:ascii="Calibri" w:hAnsi="Calibri"/>
          <w:b w:val="0"/>
          <w:i w:val="0"/>
          <w:sz w:val="22"/>
        </w:rPr>
        <w:t>1. Kas ma kuulan? 2. Kas ma alavääristan? 3. Kas on turvaline? 4. Kuhu raporteerin?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