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0"/>
        </w:rPr>
        <w:t xml:space="preserve">Kellele: </w:t>
      </w:r>
      <w:r>
        <w:rPr>
          <w:sz w:val="20"/>
        </w:rPr>
        <w:t>Kaitseväe juhtkond / personali- ja arenguvaldkonna vastutajad</w:t>
      </w:r>
    </w:p>
    <w:p>
      <w:r>
        <w:rPr>
          <w:b/>
          <w:sz w:val="20"/>
        </w:rPr>
        <w:t xml:space="preserve">Kellelt: </w:t>
      </w:r>
      <w:r>
        <w:rPr>
          <w:sz w:val="20"/>
        </w:rPr>
        <w:t>[Nimi, kontakt — täiendada enne saatmist]</w:t>
      </w:r>
    </w:p>
    <w:p>
      <w:r>
        <w:rPr>
          <w:b/>
          <w:sz w:val="20"/>
        </w:rPr>
        <w:t xml:space="preserve">Kuupääev: </w:t>
      </w:r>
      <w:r>
        <w:rPr>
          <w:sz w:val="20"/>
        </w:rPr>
        <w:t>4. august 2026</w:t>
      </w:r>
    </w:p>
    <w:p>
      <w:r>
        <w:rPr>
          <w:b/>
          <w:sz w:val="20"/>
        </w:rPr>
        <w:t xml:space="preserve">Teema: </w:t>
      </w:r>
      <w:r>
        <w:rPr>
          <w:sz w:val="20"/>
        </w:rPr>
        <w:t>Raamatu rakendamine Kaitseväes: eeltingimused, põhjused ja soovituslik faasiprotsess</w:t>
      </w:r>
    </w:p>
    <w:p/>
    <w:p>
      <w:pPr>
        <w:jc w:val="center"/>
      </w:pPr>
      <w:r>
        <w:rPr>
          <w:b/>
          <w:sz w:val="28"/>
        </w:rPr>
        <w:t>MEMO</w:t>
      </w:r>
    </w:p>
    <w:p>
      <w:pPr>
        <w:jc w:val="center"/>
      </w:pPr>
      <w:r>
        <w:rPr>
          <w:sz w:val="22"/>
        </w:rPr>
        <w:t>Miks varasem levitamine ei toonud rakendustulemust — ja kuidas protsessi korraldada</w:t>
      </w:r>
    </w:p>
    <w:p/>
    <w:p>
      <w:r>
        <w:rPr>
          <w:b/>
          <w:sz w:val="20"/>
        </w:rPr>
        <w:t>1. Taust ja tagasiside</w:t>
      </w:r>
    </w:p>
    <w:p>
      <w:pPr>
        <w:spacing w:after="60"/>
      </w:pPr>
      <w:r>
        <w:rPr>
          <w:sz w:val="20"/>
        </w:rPr>
        <w:t>Kaitseväes on levitatud teos, mille sisu toetab ausat enesehindamist, emotsionaalset regulatsiooni ja organisatsioonilist usaldust. Tagasiside ühelt kommenteerijalt: raamat „ei töötanud“ — inimesed ei teadnud, kuidas sisu rakendada. See ei viitab teose ebaõnnestumisele, vaid rakendamise oskuse ja eeltingimuste puudumisele.</w:t>
      </w:r>
    </w:p>
    <w:p>
      <w:r>
        <w:rPr>
          <w:b/>
          <w:sz w:val="20"/>
        </w:rPr>
        <w:t>2. Põhjuslik analüüs</w:t>
      </w:r>
    </w:p>
    <w:p>
      <w:pPr>
        <w:spacing w:after="60"/>
      </w:pPr>
      <w:r>
        <w:rPr>
          <w:sz w:val="20"/>
        </w:rPr>
        <w:t>Hierarhilises ja surve all olevas keskkonnas — kus domineeriv juhtimisstiil, avalik alandamine või kiusamine on mõjutanud osa inimeste käitumist — ei saabu kõik tööle samal autonoomse nervisüsteemi baasjoone tasemel. Osad on hüperaktiivses (fight/flight), osad külmutatud (freeze/fawn) režiimis. Sellises seisundis ei saa inimene usaldusväärselt rakendada uut käitumist või organisatsioonilisi muutusi, isegi kui teoreetiline materjal on kättesaadav (van der Kolk, 2014; Porges, 2011).</w:t>
      </w:r>
    </w:p>
    <w:p>
      <w:r>
        <w:rPr>
          <w:b/>
          <w:sz w:val="20"/>
        </w:rPr>
        <w:t>3. Eesti ja Kaitseväe kontekst</w:t>
      </w:r>
    </w:p>
    <w:p>
      <w:pPr>
        <w:spacing w:after="60"/>
      </w:pPr>
      <w:r>
        <w:rPr>
          <w:sz w:val="20"/>
        </w:rPr>
        <w:t>Eestis ja eriti sõjalises struktuuris võib domineerimine ja kiusamine kujuneda „tugeva juhi“ normiks. See õpetab alluvatel: ära riski, ära ava emotsioone, ära vaidle avalikult. Uuringud näitavad, et korduv surve ja hirm jätab jäljed nii individi kui rühma usaldusväärsusesse (Mitchell &amp; Everly, 1997; Bourne et al., 2022). Ilma turvalisuse ja regulatsiooni taastamiseta jääb raamat loetud materjaliks — mitte muutuse vahendiks.</w:t>
      </w:r>
    </w:p>
    <w:p>
      <w:r>
        <w:rPr>
          <w:b/>
          <w:sz w:val="20"/>
        </w:rPr>
        <w:t>4. Soovitus: faasiprotsess enne „rakendamist“</w:t>
      </w:r>
    </w:p>
    <w:p>
      <w:pPr>
        <w:spacing w:after="60"/>
      </w:pPr>
      <w:r>
        <w:rPr>
          <w:sz w:val="20"/>
        </w:rPr>
        <w:t>Soovitame mitte skaleerida raamatu „sammude“ rakendamist enne järgmisi faase:</w:t>
      </w:r>
    </w:p>
    <w:p>
      <w:pPr>
        <w:spacing w:after="60"/>
      </w:pPr>
      <w:r>
        <w:rPr>
          <w:sz w:val="20"/>
        </w:rPr>
        <w:t>• Faas 0 (4–8 nädalat): baasjoone reguleerimine — kehapõhised resetid, juhtide turvalisuse signaal, null avalik alandamine pilotrühmades.</w:t>
      </w:r>
    </w:p>
    <w:p>
      <w:pPr>
        <w:spacing w:after="60"/>
      </w:pPr>
      <w:r>
        <w:rPr>
          <w:sz w:val="20"/>
        </w:rPr>
        <w:t>• Faas 1: valuliste emotsioonide turvaline nimetamine (mitte sunnitud avalikustamine).</w:t>
      </w:r>
    </w:p>
    <w:p>
      <w:pPr>
        <w:spacing w:after="60"/>
      </w:pPr>
      <w:r>
        <w:rPr>
          <w:sz w:val="20"/>
        </w:rPr>
        <w:t>• Faas 2: üks raamatu kontsepts = üks kehaline kogemus rühmas.</w:t>
      </w:r>
    </w:p>
    <w:p>
      <w:pPr>
        <w:spacing w:after="60"/>
      </w:pPr>
      <w:r>
        <w:rPr>
          <w:sz w:val="20"/>
        </w:rPr>
        <w:t>• Faas 3: igapäevane rakendamine — alles siis skaleerimine teistesse üksustesse.</w:t>
      </w:r>
    </w:p>
    <w:p>
      <w:pPr>
        <w:spacing w:after="60"/>
      </w:pPr>
      <w:r>
        <w:rPr>
          <w:sz w:val="20"/>
        </w:rPr>
        <w:t>Pilot: 1 juhtide rühm + 1 väike üksus (8–12 inimest). Edukuse mõõdik: vähenenud avalik alandamine, võime resetida enne rasket teemat, üksaus lause ilma karistuseta.</w:t>
      </w:r>
    </w:p>
    <w:p>
      <w:r>
        <w:rPr>
          <w:b/>
          <w:sz w:val="20"/>
        </w:rPr>
        <w:t>5. Järeldus ja otsussoovitus</w:t>
      </w:r>
    </w:p>
    <w:p>
      <w:pPr>
        <w:spacing w:after="60"/>
      </w:pPr>
      <w:r>
        <w:rPr>
          <w:sz w:val="20"/>
        </w:rPr>
        <w:t>Raamat saab Kaitseväes tööle siis, kui lõpetame ainult levitamise ja alustame juhendatud faasiprotsessi, kus juhid lähevad esimesena ja domineerimise vähendamine on eeltingimus, mitte järeltegevus. Soovitame kinnitada pilotprogramm ja määrata juhendaja, kellel on teadmine ja praktiline oskus regulatsiooni toetamiseks.</w:t>
      </w:r>
    </w:p>
    <w:p/>
    <w:p>
      <w:r>
        <w:rPr>
          <w:b/>
          <w:sz w:val="20"/>
        </w:rPr>
        <w:t>Viited</w:t>
      </w:r>
    </w:p>
    <w:p>
      <w:pPr>
        <w:spacing w:after="40"/>
        <w:ind w:left="283"/>
      </w:pPr>
      <w:r>
        <w:rPr>
          <w:sz w:val="18"/>
        </w:rPr>
        <w:t>1. Bourne, J. E., Mackintosh, J. E., Holmes, E. A., &amp; Rennie, C. L. (2022). The impact of organizational trauma on workplace behavior. Frontiers in Psychology, 13, 809209.</w:t>
      </w:r>
    </w:p>
    <w:p>
      <w:pPr>
        <w:spacing w:after="40"/>
        <w:ind w:left="283"/>
      </w:pPr>
      <w:r>
        <w:rPr>
          <w:sz w:val="18"/>
        </w:rPr>
        <w:t>2. Maier, S. F., &amp; Seligman, M. E. P. (2016). Learned helplessness at fifty: Insights from neuroscience. Psychological Review, 123(4), 349–367.</w:t>
      </w:r>
    </w:p>
    <w:p>
      <w:pPr>
        <w:spacing w:after="40"/>
        <w:ind w:left="283"/>
      </w:pPr>
      <w:r>
        <w:rPr>
          <w:sz w:val="18"/>
        </w:rPr>
        <w:t>3. Mitchell, J. T., &amp; Everly, G. S. (1997). Critical Incident Stress Debriefing (CISD): An operations manual for the prevention of traumatic stress among emergency services and public safety workers. Chevron Publishing.</w:t>
      </w:r>
    </w:p>
    <w:p>
      <w:pPr>
        <w:spacing w:after="40"/>
        <w:ind w:left="283"/>
      </w:pPr>
      <w:r>
        <w:rPr>
          <w:sz w:val="18"/>
        </w:rPr>
        <w:t>4. Porges, S. W. (2011). The polyvagal theory: Neurophysiological foundations of emotions, attachment, communication, and self-regulation. Norton.</w:t>
      </w:r>
    </w:p>
    <w:p>
      <w:pPr>
        <w:spacing w:after="40"/>
        <w:ind w:left="283"/>
      </w:pPr>
      <w:r>
        <w:rPr>
          <w:sz w:val="18"/>
        </w:rPr>
        <w:t>5. van der Kolk, B. (2014). The body keeps the score: Brain, mind, and body in the healing of trauma. Viking.</w:t>
      </w:r>
    </w:p>
    <w:p>
      <w:pPr>
        <w:spacing w:after="40"/>
        <w:ind w:left="283"/>
      </w:pPr>
      <w:r>
        <w:rPr>
          <w:sz w:val="18"/>
        </w:rPr>
        <w:t>6. Riigikogu / ühiskondlik kontekst: domineeriva juhtimise ja avaliku alandamise mõju usaldusväärsele suhtlusele (vt ka: van der Kolk, 2014, peatükk 2 — õpitud abitus ja immobiliseerimine).</w:t>
      </w:r>
    </w:p>
    <w:p>
      <w:pPr>
        <w:spacing w:after="40"/>
        <w:ind w:left="283"/>
      </w:pPr>
      <w:r>
        <w:rPr>
          <w:sz w:val="18"/>
        </w:rPr>
        <w:t>7. Kaitseväe siseprotseduurid: personali arendamine ja juhtimiskultuur — siduda pilot Kaitseväe arenguprioriteetidega (täiendada vastava viitega sisekorraldusele).</w:t>
      </w:r>
    </w:p>
    <w:p/>
    <w:p>
      <w:r>
        <w:rPr>
          <w:i/>
          <w:color w:val="666666"/>
          <w:sz w:val="16"/>
        </w:rPr>
        <w:t>Dokument on ettepanekulise iseloomuga memo. Täiendada saatja andmed enne edastamist.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