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Arial" w:hAnsi="Arial" w:eastAsia="Arial"/>
          <w:b/>
          <w:i w:val="0"/>
          <w:color w:val="0A2F5C"/>
          <w:sz w:val="36"/>
        </w:rPr>
        <w:t>RESUMEN DE NORMAS LEGALES</w:t>
      </w:r>
    </w:p>
    <w:p>
      <w:pPr>
        <w:spacing w:before="0" w:after="40" w:line="276" w:lineRule="auto"/>
        <w:jc w:val="center"/>
      </w:pPr>
      <w:r>
        <w:rPr>
          <w:rFonts w:ascii="Arial" w:hAnsi="Arial" w:eastAsia="Arial"/>
          <w:b w:val="0"/>
          <w:i w:val="0"/>
          <w:color w:val="5B6880"/>
          <w:sz w:val="21"/>
        </w:rPr>
        <w:t>Diario Oficial El Peruano · Viernes 30 de octubre de 2026</w:t>
      </w:r>
    </w:p>
    <w:p>
      <w:pPr>
        <w:spacing w:before="0" w:after="200" w:line="276" w:lineRule="auto"/>
        <w:pBdr>
          <w:bottom w:val="single" w:sz="18" w:space="1" w:color="0A2F5C"/>
        </w:pBdr>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2353"/>
        <w:gridCol w:w="2353"/>
        <w:gridCol w:w="2353"/>
        <w:gridCol w:w="2353"/>
      </w:tblGrid>
      <w:tr>
        <w:tc>
          <w:tcPr>
            <w:tcW w:type="dxa" w:w="2041"/>
            <w:shd w:val="clear" w:color="auto" w:fill="F2F5FA"/>
          </w:tcPr>
          <w:p>
            <w:pPr>
              <w:spacing w:before="20" w:after="20" w:line="264" w:lineRule="auto"/>
            </w:pPr>
            <w:r>
              <w:rPr>
                <w:rFonts w:ascii="Arial" w:hAnsi="Arial" w:eastAsia="Arial"/>
                <w:b/>
                <w:i w:val="0"/>
                <w:color w:val="0A2F5C"/>
                <w:sz w:val="17"/>
              </w:rPr>
              <w:t>Periodo revisado</w:t>
            </w:r>
          </w:p>
        </w:tc>
        <w:tc>
          <w:tcPr>
            <w:tcW w:type="dxa" w:w="2665"/>
          </w:tcPr>
          <w:p>
            <w:pPr>
              <w:spacing w:before="20" w:after="20" w:line="264" w:lineRule="auto"/>
            </w:pPr>
            <w:r>
              <w:rPr>
                <w:rFonts w:ascii="Arial" w:hAnsi="Arial" w:eastAsia="Arial"/>
                <w:b w:val="0"/>
                <w:i w:val="0"/>
                <w:sz w:val="19"/>
              </w:rPr>
              <w:t>30/10/2026</w:t>
            </w:r>
          </w:p>
        </w:tc>
        <w:tc>
          <w:tcPr>
            <w:tcW w:type="dxa" w:w="2041"/>
            <w:shd w:val="clear" w:color="auto" w:fill="F2F5FA"/>
          </w:tcPr>
          <w:p>
            <w:pPr>
              <w:spacing w:before="20" w:after="20" w:line="264" w:lineRule="auto"/>
            </w:pPr>
            <w:r>
              <w:rPr>
                <w:rFonts w:ascii="Arial" w:hAnsi="Arial" w:eastAsia="Arial"/>
                <w:b/>
                <w:i w:val="0"/>
                <w:color w:val="0A2F5C"/>
                <w:sz w:val="17"/>
              </w:rPr>
              <w:t>Fecha de elaboración</w:t>
            </w:r>
          </w:p>
        </w:tc>
        <w:tc>
          <w:tcPr>
            <w:tcW w:type="dxa" w:w="2665"/>
          </w:tcPr>
          <w:p>
            <w:pPr>
              <w:spacing w:before="20" w:after="20" w:line="264" w:lineRule="auto"/>
            </w:pPr>
            <w:r>
              <w:rPr>
                <w:rFonts w:ascii="Arial" w:hAnsi="Arial" w:eastAsia="Arial"/>
                <w:b w:val="0"/>
                <w:i w:val="0"/>
                <w:sz w:val="19"/>
              </w:rPr>
              <w:t>30/10/2026 10:46</w:t>
            </w:r>
          </w:p>
        </w:tc>
      </w:tr>
      <w:tr>
        <w:tc>
          <w:tcPr>
            <w:tcW w:type="dxa" w:w="2041"/>
            <w:shd w:val="clear" w:color="auto" w:fill="F2F5FA"/>
          </w:tcPr>
          <w:p>
            <w:pPr>
              <w:spacing w:before="20" w:after="20" w:line="264" w:lineRule="auto"/>
            </w:pPr>
            <w:r>
              <w:rPr>
                <w:rFonts w:ascii="Arial" w:hAnsi="Arial" w:eastAsia="Arial"/>
                <w:b/>
                <w:i w:val="0"/>
                <w:color w:val="0A2F5C"/>
                <w:sz w:val="17"/>
              </w:rPr>
              <w:t>Normas publicadas</w:t>
            </w:r>
          </w:p>
        </w:tc>
        <w:tc>
          <w:tcPr>
            <w:tcW w:type="dxa" w:w="2665"/>
          </w:tcPr>
          <w:p>
            <w:pPr>
              <w:spacing w:before="20" w:after="20" w:line="264" w:lineRule="auto"/>
            </w:pPr>
            <w:r>
              <w:rPr>
                <w:rFonts w:ascii="Arial" w:hAnsi="Arial" w:eastAsia="Arial"/>
                <w:b w:val="0"/>
                <w:i w:val="0"/>
                <w:sz w:val="19"/>
              </w:rPr>
              <w:t>112</w:t>
            </w:r>
          </w:p>
        </w:tc>
        <w:tc>
          <w:tcPr>
            <w:tcW w:type="dxa" w:w="2041"/>
            <w:shd w:val="clear" w:color="auto" w:fill="F2F5FA"/>
          </w:tcPr>
          <w:p>
            <w:pPr>
              <w:spacing w:before="20" w:after="20" w:line="264" w:lineRule="auto"/>
            </w:pPr>
            <w:r>
              <w:rPr>
                <w:rFonts w:ascii="Arial" w:hAnsi="Arial" w:eastAsia="Arial"/>
                <w:b/>
                <w:i w:val="0"/>
                <w:color w:val="0A2F5C"/>
                <w:sz w:val="17"/>
              </w:rPr>
              <w:t>Normas de interés</w:t>
            </w:r>
          </w:p>
        </w:tc>
        <w:tc>
          <w:tcPr>
            <w:tcW w:type="dxa" w:w="2665"/>
          </w:tcPr>
          <w:p>
            <w:pPr>
              <w:spacing w:before="20" w:after="20" w:line="264" w:lineRule="auto"/>
            </w:pPr>
            <w:r>
              <w:rPr>
                <w:rFonts w:ascii="Arial" w:hAnsi="Arial" w:eastAsia="Arial"/>
                <w:b/>
                <w:i w:val="0"/>
                <w:color w:val="0A2F5C"/>
                <w:sz w:val="19"/>
              </w:rPr>
              <w:t>7</w:t>
            </w:r>
          </w:p>
        </w:tc>
      </w:tr>
    </w:tbl>
    <w:p>
      <w:pPr>
        <w:spacing w:before="280" w:after="120" w:line="276" w:lineRule="auto"/>
        <w:keepNext/>
        <w:pBdr>
          <w:bottom w:val="single" w:sz="6" w:space="2" w:color="C9D2DF"/>
        </w:pBdr>
      </w:pPr>
      <w:r>
        <w:rPr>
          <w:rFonts w:ascii="Arial" w:hAnsi="Arial" w:eastAsia="Arial"/>
          <w:b/>
          <w:i w:val="0"/>
          <w:color w:val="0A2F5C"/>
          <w:sz w:val="22"/>
        </w:rPr>
        <w:t>1. RESUMEN EJECUTIVO</w:t>
      </w:r>
    </w:p>
    <w:p>
      <w:pPr>
        <w:spacing w:before="0" w:after="160" w:line="276" w:lineRule="auto"/>
        <w:jc w:val="both"/>
      </w:pPr>
      <w:r>
        <w:rPr>
          <w:rFonts w:ascii="Arial" w:hAnsi="Arial" w:eastAsia="Arial"/>
          <w:b w:val="0"/>
          <w:i w:val="0"/>
          <w:sz w:val="20"/>
        </w:rPr>
        <w:t>De las 112 normas publicadas en el periodo, 7 resultan de interés institucional: 7 de normatividad presupuestal. No se identificaron normas que involucren a la ATU. El Cuadro 1 presenta la relación completa y la sección 2, el detalle de cada norma.</w:t>
      </w:r>
    </w:p>
    <w:p>
      <w:pPr>
        <w:keepNext/>
        <w:spacing w:before="80" w:after="60" w:line="276" w:lineRule="auto"/>
      </w:pPr>
      <w:r>
        <w:rPr>
          <w:rFonts w:ascii="Arial" w:hAnsi="Arial" w:eastAsia="Arial"/>
          <w:b/>
          <w:i w:val="0"/>
          <w:color w:val="0A2F5C"/>
          <w:sz w:val="18"/>
        </w:rPr>
        <w:t>Cuadro 1. Normas de interés identificadas</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2353"/>
        <w:gridCol w:w="2353"/>
        <w:gridCol w:w="2353"/>
        <w:gridCol w:w="2353"/>
      </w:tblGrid>
      <w:tr>
        <w:trPr>
          <w:cantSplit/>
          <w:tblHeader/>
        </w:trPr>
        <w:tc>
          <w:tcPr>
            <w:tcW w:type="dxa" w:w="567"/>
            <w:shd w:val="clear" w:color="auto" w:fill="0A2F5C"/>
          </w:tcPr>
          <w:p>
            <w:pPr>
              <w:spacing w:before="20" w:after="20" w:line="264" w:lineRule="auto"/>
              <w:jc w:val="center"/>
            </w:pPr>
            <w:r>
              <w:rPr>
                <w:rFonts w:ascii="Arial" w:hAnsi="Arial" w:eastAsia="Arial"/>
                <w:b/>
                <w:i w:val="0"/>
                <w:color w:val="FFFFFF"/>
                <w:sz w:val="17"/>
              </w:rPr>
              <w:t>N.°</w:t>
            </w:r>
          </w:p>
        </w:tc>
        <w:tc>
          <w:tcPr>
            <w:tcW w:type="dxa" w:w="2835"/>
            <w:shd w:val="clear" w:color="auto" w:fill="0A2F5C"/>
          </w:tcPr>
          <w:p>
            <w:pPr>
              <w:spacing w:before="20" w:after="20" w:line="264" w:lineRule="auto"/>
              <w:jc w:val="center"/>
            </w:pPr>
            <w:r>
              <w:rPr>
                <w:rFonts w:ascii="Arial" w:hAnsi="Arial" w:eastAsia="Arial"/>
                <w:b/>
                <w:i w:val="0"/>
                <w:color w:val="FFFFFF"/>
                <w:sz w:val="17"/>
              </w:rPr>
              <w:t>Norma y entidad emisora</w:t>
            </w:r>
          </w:p>
        </w:tc>
        <w:tc>
          <w:tcPr>
            <w:tcW w:type="dxa" w:w="4762"/>
            <w:shd w:val="clear" w:color="auto" w:fill="0A2F5C"/>
          </w:tcPr>
          <w:p>
            <w:pPr>
              <w:spacing w:before="20" w:after="20" w:line="264" w:lineRule="auto"/>
              <w:jc w:val="center"/>
            </w:pPr>
            <w:r>
              <w:rPr>
                <w:rFonts w:ascii="Arial" w:hAnsi="Arial" w:eastAsia="Arial"/>
                <w:b/>
                <w:i w:val="0"/>
                <w:color w:val="FFFFFF"/>
                <w:sz w:val="17"/>
              </w:rPr>
              <w:t>Sumilla</w:t>
            </w:r>
          </w:p>
        </w:tc>
        <w:tc>
          <w:tcPr>
            <w:tcW w:type="dxa" w:w="1247"/>
            <w:shd w:val="clear" w:color="auto" w:fill="0A2F5C"/>
          </w:tcPr>
          <w:p>
            <w:pPr>
              <w:spacing w:before="20" w:after="20" w:line="264" w:lineRule="auto"/>
              <w:jc w:val="center"/>
            </w:pPr>
            <w:r>
              <w:rPr>
                <w:rFonts w:ascii="Arial" w:hAnsi="Arial" w:eastAsia="Arial"/>
                <w:b/>
                <w:i w:val="0"/>
                <w:color w:val="FFFFFF"/>
                <w:sz w:val="17"/>
              </w:rPr>
              <w:t>Publicación</w:t>
            </w:r>
          </w:p>
        </w:tc>
      </w:tr>
      <w:tr>
        <w:trPr>
          <w:cantSplit/>
        </w:trPr>
        <w:tc>
          <w:tcPr>
            <w:tcW w:type="dxa" w:w="1247"/>
            <w:gridSpan w:val="4"/>
            <w:shd w:val="clear" w:color="auto" w:fill="F2F5FA"/>
            <w:tcBorders>
              <w:left w:val="single" w:sz="30" w:space="0" w:color="EB6834"/>
            </w:tcBorders>
          </w:tcPr>
          <w:p>
            <w:pPr>
              <w:spacing w:before="20" w:after="20" w:line="264" w:lineRule="auto"/>
            </w:pPr>
            <w:r>
              <w:rPr>
                <w:rFonts w:ascii="Arial" w:hAnsi="Arial" w:eastAsia="Arial"/>
                <w:b/>
                <w:i w:val="0"/>
                <w:color w:val="0A2F5C"/>
                <w:sz w:val="17"/>
              </w:rPr>
              <w:t>NORMATIVIDAD PRESUPUESTAL  (7)</w:t>
            </w:r>
          </w:p>
        </w:tc>
      </w:tr>
      <w:tr>
        <w:trPr>
          <w:cantSplit/>
        </w:trPr>
        <w:tc>
          <w:tcPr>
            <w:tcW w:type="dxa" w:w="567"/>
          </w:tcPr>
          <w:p>
            <w:pPr>
              <w:spacing w:before="20" w:after="20" w:line="264" w:lineRule="auto"/>
              <w:jc w:val="center"/>
            </w:pPr>
            <w:r>
              <w:rPr>
                <w:rFonts w:ascii="Arial" w:hAnsi="Arial" w:eastAsia="Arial"/>
                <w:b/>
                <w:i w:val="0"/>
                <w:color w:val="0A2F5C"/>
                <w:sz w:val="18"/>
              </w:rPr>
              <w:t>1</w:t>
            </w:r>
          </w:p>
        </w:tc>
        <w:tc>
          <w:tcPr>
            <w:tcW w:type="dxa" w:w="2835"/>
          </w:tcPr>
          <w:p>
            <w:pPr>
              <w:spacing w:before="20" w:after="20" w:line="264" w:lineRule="auto"/>
            </w:pPr>
            <w:hyperlink r:id="rId11">
              <w:r>
                <w:rPr>
                  <w:rFonts w:ascii="Arial" w:hAnsi="Arial" w:eastAsia="Arial" w:cs="Arial"/>
                  <w:b/>
                  <w:color w:val="0B5CAD"/>
                  <w:sz w:val="17"/>
                  <w:u w:val="single"/>
                </w:rPr>
                <w:t xml:space="preserve">DECRETO SUPREMO  N° 227-2026-EF</w:t>
              </w:r>
            </w:hyperlink>
          </w:p>
          <w:p>
            <w:pPr>
              <w:spacing w:before="0" w:after="20" w:line="252" w:lineRule="auto"/>
            </w:pPr>
            <w:r>
              <w:rPr>
                <w:rFonts w:ascii="Arial" w:hAnsi="Arial" w:eastAsia="Arial"/>
                <w:b w:val="0"/>
                <w:i w:val="0"/>
                <w:color w:val="5B6880"/>
                <w:sz w:val="15"/>
              </w:rPr>
              <w:t>ECONOMÍA Y FINANZAS</w:t>
            </w:r>
          </w:p>
        </w:tc>
        <w:tc>
          <w:tcPr>
            <w:tcW w:type="dxa" w:w="4762"/>
          </w:tcPr>
          <w:p>
            <w:pPr>
              <w:spacing w:before="20" w:after="20" w:line="264" w:lineRule="auto"/>
            </w:pPr>
            <w:r>
              <w:rPr>
                <w:rFonts w:ascii="Arial" w:hAnsi="Arial" w:eastAsia="Arial"/>
                <w:b w:val="0"/>
                <w:i w:val="0"/>
                <w:sz w:val="17"/>
              </w:rPr>
              <w:t>Decreto Supremo que autoriza Crédito Suplementario en el Presupuesto del Sector Público para el Año Fiscal 2026 a favor del Ministerio de Defensa</w:t>
            </w:r>
          </w:p>
        </w:tc>
        <w:tc>
          <w:tcPr>
            <w:tcW w:type="dxa" w:w="1247"/>
          </w:tcPr>
          <w:p>
            <w:pPr>
              <w:spacing w:before="20" w:after="20" w:line="264" w:lineRule="auto"/>
              <w:jc w:val="center"/>
            </w:pPr>
            <w:r>
              <w:rPr>
                <w:rFonts w:ascii="Arial" w:hAnsi="Arial" w:eastAsia="Arial"/>
                <w:b w:val="0"/>
                <w:i w:val="0"/>
                <w:sz w:val="17"/>
              </w:rPr>
              <w:t>30/10/2026</w:t>
            </w:r>
          </w:p>
        </w:tc>
      </w:tr>
      <w:tr>
        <w:trPr>
          <w:cantSplit/>
        </w:trPr>
        <w:tc>
          <w:tcPr>
            <w:tcW w:type="dxa" w:w="567"/>
          </w:tcPr>
          <w:p>
            <w:pPr>
              <w:spacing w:before="20" w:after="20" w:line="264" w:lineRule="auto"/>
              <w:jc w:val="center"/>
            </w:pPr>
            <w:r>
              <w:rPr>
                <w:rFonts w:ascii="Arial" w:hAnsi="Arial" w:eastAsia="Arial"/>
                <w:b/>
                <w:i w:val="0"/>
                <w:color w:val="0A2F5C"/>
                <w:sz w:val="18"/>
              </w:rPr>
              <w:t>2</w:t>
            </w:r>
          </w:p>
        </w:tc>
        <w:tc>
          <w:tcPr>
            <w:tcW w:type="dxa" w:w="2835"/>
          </w:tcPr>
          <w:p>
            <w:pPr>
              <w:spacing w:before="20" w:after="20" w:line="264" w:lineRule="auto"/>
            </w:pPr>
            <w:hyperlink r:id="rId12">
              <w:r>
                <w:rPr>
                  <w:rFonts w:ascii="Arial" w:hAnsi="Arial" w:eastAsia="Arial" w:cs="Arial"/>
                  <w:b/>
                  <w:color w:val="0B5CAD"/>
                  <w:sz w:val="17"/>
                  <w:u w:val="single"/>
                </w:rPr>
                <w:t xml:space="preserve">DECRETO SUPREMO  N° 228-2026-EF</w:t>
              </w:r>
            </w:hyperlink>
          </w:p>
          <w:p>
            <w:pPr>
              <w:spacing w:before="0" w:after="20" w:line="252" w:lineRule="auto"/>
            </w:pPr>
            <w:r>
              <w:rPr>
                <w:rFonts w:ascii="Arial" w:hAnsi="Arial" w:eastAsia="Arial"/>
                <w:b w:val="0"/>
                <w:i w:val="0"/>
                <w:color w:val="5B6880"/>
                <w:sz w:val="15"/>
              </w:rPr>
              <w:t>ECONOMÍA Y FINANZAS</w:t>
            </w:r>
          </w:p>
        </w:tc>
        <w:tc>
          <w:tcPr>
            <w:tcW w:type="dxa" w:w="4762"/>
          </w:tcPr>
          <w:p>
            <w:pPr>
              <w:spacing w:before="20" w:after="20" w:line="264" w:lineRule="auto"/>
            </w:pPr>
            <w:r>
              <w:rPr>
                <w:rFonts w:ascii="Arial" w:hAnsi="Arial" w:eastAsia="Arial"/>
                <w:b w:val="0"/>
                <w:i w:val="0"/>
                <w:sz w:val="17"/>
              </w:rPr>
              <w:t>Decreto Supremo que autoriza Transferencia de Partidas en el Presupuesto del Sector Público para el Año Fiscal 2026 a favor de la Reserva de Contingencia y del Ministerio de Defensa</w:t>
            </w:r>
          </w:p>
        </w:tc>
        <w:tc>
          <w:tcPr>
            <w:tcW w:type="dxa" w:w="1247"/>
          </w:tcPr>
          <w:p>
            <w:pPr>
              <w:spacing w:before="20" w:after="20" w:line="264" w:lineRule="auto"/>
              <w:jc w:val="center"/>
            </w:pPr>
            <w:r>
              <w:rPr>
                <w:rFonts w:ascii="Arial" w:hAnsi="Arial" w:eastAsia="Arial"/>
                <w:b w:val="0"/>
                <w:i w:val="0"/>
                <w:sz w:val="17"/>
              </w:rPr>
              <w:t>30/10/2026</w:t>
            </w:r>
          </w:p>
        </w:tc>
      </w:tr>
      <w:tr>
        <w:trPr>
          <w:cantSplit/>
        </w:trPr>
        <w:tc>
          <w:tcPr>
            <w:tcW w:type="dxa" w:w="567"/>
          </w:tcPr>
          <w:p>
            <w:pPr>
              <w:spacing w:before="20" w:after="20" w:line="264" w:lineRule="auto"/>
              <w:jc w:val="center"/>
            </w:pPr>
            <w:r>
              <w:rPr>
                <w:rFonts w:ascii="Arial" w:hAnsi="Arial" w:eastAsia="Arial"/>
                <w:b/>
                <w:i w:val="0"/>
                <w:color w:val="0A2F5C"/>
                <w:sz w:val="18"/>
              </w:rPr>
              <w:t>3</w:t>
            </w:r>
          </w:p>
        </w:tc>
        <w:tc>
          <w:tcPr>
            <w:tcW w:type="dxa" w:w="2835"/>
          </w:tcPr>
          <w:p>
            <w:pPr>
              <w:spacing w:before="20" w:after="20" w:line="264" w:lineRule="auto"/>
            </w:pPr>
            <w:hyperlink r:id="rId13">
              <w:r>
                <w:rPr>
                  <w:rFonts w:ascii="Arial" w:hAnsi="Arial" w:eastAsia="Arial" w:cs="Arial"/>
                  <w:b/>
                  <w:color w:val="0B5CAD"/>
                  <w:sz w:val="17"/>
                  <w:u w:val="single"/>
                </w:rPr>
                <w:t xml:space="preserve">DECRETO SUPREMO  N° 229-2026-EF</w:t>
              </w:r>
            </w:hyperlink>
          </w:p>
          <w:p>
            <w:pPr>
              <w:spacing w:before="0" w:after="20" w:line="252" w:lineRule="auto"/>
            </w:pPr>
            <w:r>
              <w:rPr>
                <w:rFonts w:ascii="Arial" w:hAnsi="Arial" w:eastAsia="Arial"/>
                <w:b w:val="0"/>
                <w:i w:val="0"/>
                <w:color w:val="5B6880"/>
                <w:sz w:val="15"/>
              </w:rPr>
              <w:t>ECONOMÍA Y FINANZAS</w:t>
            </w:r>
          </w:p>
        </w:tc>
        <w:tc>
          <w:tcPr>
            <w:tcW w:type="dxa" w:w="4762"/>
          </w:tcPr>
          <w:p>
            <w:pPr>
              <w:spacing w:before="20" w:after="20" w:line="264" w:lineRule="auto"/>
            </w:pPr>
            <w:r>
              <w:rPr>
                <w:rFonts w:ascii="Arial" w:hAnsi="Arial" w:eastAsia="Arial"/>
                <w:b w:val="0"/>
                <w:i w:val="0"/>
                <w:sz w:val="17"/>
              </w:rPr>
              <w:t>Decreto Supremo que autoriza Transferencia de Partidas en el Presupuesto del Sector Público para el Año Fiscal 2026 a favor del Centro Nacional de Planeamiento Estratégico</w:t>
            </w:r>
          </w:p>
        </w:tc>
        <w:tc>
          <w:tcPr>
            <w:tcW w:type="dxa" w:w="1247"/>
          </w:tcPr>
          <w:p>
            <w:pPr>
              <w:spacing w:before="20" w:after="20" w:line="264" w:lineRule="auto"/>
              <w:jc w:val="center"/>
            </w:pPr>
            <w:r>
              <w:rPr>
                <w:rFonts w:ascii="Arial" w:hAnsi="Arial" w:eastAsia="Arial"/>
                <w:b w:val="0"/>
                <w:i w:val="0"/>
                <w:sz w:val="17"/>
              </w:rPr>
              <w:t>30/10/2026</w:t>
            </w:r>
          </w:p>
        </w:tc>
      </w:tr>
      <w:tr>
        <w:trPr>
          <w:cantSplit/>
        </w:trPr>
        <w:tc>
          <w:tcPr>
            <w:tcW w:type="dxa" w:w="567"/>
          </w:tcPr>
          <w:p>
            <w:pPr>
              <w:spacing w:before="20" w:after="20" w:line="264" w:lineRule="auto"/>
              <w:jc w:val="center"/>
            </w:pPr>
            <w:r>
              <w:rPr>
                <w:rFonts w:ascii="Arial" w:hAnsi="Arial" w:eastAsia="Arial"/>
                <w:b/>
                <w:i w:val="0"/>
                <w:color w:val="0A2F5C"/>
                <w:sz w:val="18"/>
              </w:rPr>
              <w:t>4</w:t>
            </w:r>
          </w:p>
        </w:tc>
        <w:tc>
          <w:tcPr>
            <w:tcW w:type="dxa" w:w="2835"/>
          </w:tcPr>
          <w:p>
            <w:pPr>
              <w:spacing w:before="20" w:after="20" w:line="264" w:lineRule="auto"/>
            </w:pPr>
            <w:hyperlink r:id="rId14">
              <w:r>
                <w:rPr>
                  <w:rFonts w:ascii="Arial" w:hAnsi="Arial" w:eastAsia="Arial" w:cs="Arial"/>
                  <w:b/>
                  <w:color w:val="0B5CAD"/>
                  <w:sz w:val="17"/>
                  <w:u w:val="single"/>
                </w:rPr>
                <w:t xml:space="preserve">RESOLUCIÓN  N° 535-2026-GOB</w:t>
              </w:r>
            </w:hyperlink>
          </w:p>
          <w:p>
            <w:pPr>
              <w:spacing w:before="0" w:after="20" w:line="252" w:lineRule="auto"/>
            </w:pPr>
            <w:r>
              <w:rPr>
                <w:rFonts w:ascii="Arial" w:hAnsi="Arial" w:eastAsia="Arial"/>
                <w:b w:val="0"/>
                <w:i w:val="0"/>
                <w:color w:val="5B6880"/>
                <w:sz w:val="15"/>
              </w:rPr>
              <w:t>GOBIERNO REGIONAL DE LIMA</w:t>
            </w:r>
          </w:p>
        </w:tc>
        <w:tc>
          <w:tcPr>
            <w:tcW w:type="dxa" w:w="4762"/>
          </w:tcPr>
          <w:p>
            <w:pPr>
              <w:spacing w:before="20" w:after="20" w:line="264" w:lineRule="auto"/>
            </w:pPr>
            <w:r>
              <w:rPr>
                <w:rFonts w:ascii="Arial" w:hAnsi="Arial" w:eastAsia="Arial"/>
                <w:b w:val="0"/>
                <w:i w:val="0"/>
                <w:sz w:val="17"/>
              </w:rPr>
              <w:t>Aprueban transferencia financiera a favor de la Contraloría General de la República</w:t>
            </w:r>
          </w:p>
        </w:tc>
        <w:tc>
          <w:tcPr>
            <w:tcW w:type="dxa" w:w="1247"/>
          </w:tcPr>
          <w:p>
            <w:pPr>
              <w:spacing w:before="20" w:after="20" w:line="264" w:lineRule="auto"/>
              <w:jc w:val="center"/>
            </w:pPr>
            <w:r>
              <w:rPr>
                <w:rFonts w:ascii="Arial" w:hAnsi="Arial" w:eastAsia="Arial"/>
                <w:b w:val="0"/>
                <w:i w:val="0"/>
                <w:sz w:val="17"/>
              </w:rPr>
              <w:t>30/10/2026</w:t>
            </w:r>
          </w:p>
        </w:tc>
      </w:tr>
      <w:tr>
        <w:trPr>
          <w:cantSplit/>
        </w:trPr>
        <w:tc>
          <w:tcPr>
            <w:tcW w:type="dxa" w:w="567"/>
          </w:tcPr>
          <w:p>
            <w:pPr>
              <w:spacing w:before="20" w:after="20" w:line="264" w:lineRule="auto"/>
              <w:jc w:val="center"/>
            </w:pPr>
            <w:r>
              <w:rPr>
                <w:rFonts w:ascii="Arial" w:hAnsi="Arial" w:eastAsia="Arial"/>
                <w:b/>
                <w:i w:val="0"/>
                <w:color w:val="0A2F5C"/>
                <w:sz w:val="18"/>
              </w:rPr>
              <w:t>5</w:t>
            </w:r>
          </w:p>
        </w:tc>
        <w:tc>
          <w:tcPr>
            <w:tcW w:type="dxa" w:w="2835"/>
          </w:tcPr>
          <w:p>
            <w:pPr>
              <w:spacing w:before="20" w:after="20" w:line="264" w:lineRule="auto"/>
            </w:pPr>
            <w:hyperlink r:id="rId15">
              <w:r>
                <w:rPr>
                  <w:rFonts w:ascii="Arial" w:hAnsi="Arial" w:eastAsia="Arial" w:cs="Arial"/>
                  <w:b/>
                  <w:color w:val="0B5CAD"/>
                  <w:sz w:val="17"/>
                  <w:u w:val="single"/>
                </w:rPr>
                <w:t xml:space="preserve">RESOLUCIÓN  N° 000053-2026-ITP/GG</w:t>
              </w:r>
            </w:hyperlink>
          </w:p>
          <w:p>
            <w:pPr>
              <w:spacing w:before="0" w:after="20" w:line="252" w:lineRule="auto"/>
            </w:pPr>
            <w:r>
              <w:rPr>
                <w:rFonts w:ascii="Arial" w:hAnsi="Arial" w:eastAsia="Arial"/>
                <w:b w:val="0"/>
                <w:i w:val="0"/>
                <w:color w:val="5B6880"/>
                <w:sz w:val="15"/>
              </w:rPr>
              <w:t>INSTITUTO TECNOLÓGICO DE LA PRODUCCIÓN</w:t>
            </w:r>
          </w:p>
        </w:tc>
        <w:tc>
          <w:tcPr>
            <w:tcW w:type="dxa" w:w="4762"/>
          </w:tcPr>
          <w:p>
            <w:pPr>
              <w:spacing w:before="20" w:after="20" w:line="264" w:lineRule="auto"/>
            </w:pPr>
            <w:r>
              <w:rPr>
                <w:rFonts w:ascii="Arial" w:hAnsi="Arial" w:eastAsia="Arial"/>
                <w:b w:val="0"/>
                <w:i w:val="0"/>
                <w:sz w:val="17"/>
              </w:rPr>
              <w:t>Delegar en el/la Jefe/a de la Oficina de Planeamiento Presupuesto y Modernización del ITP la facultad de asegurar la implementación y cumplimiento de la Norma Técnica para la Gestión de la Calidad de Servicios del Sector Público</w:t>
            </w:r>
          </w:p>
        </w:tc>
        <w:tc>
          <w:tcPr>
            <w:tcW w:type="dxa" w:w="1247"/>
          </w:tcPr>
          <w:p>
            <w:pPr>
              <w:spacing w:before="20" w:after="20" w:line="264" w:lineRule="auto"/>
              <w:jc w:val="center"/>
            </w:pPr>
            <w:r>
              <w:rPr>
                <w:rFonts w:ascii="Arial" w:hAnsi="Arial" w:eastAsia="Arial"/>
                <w:b w:val="0"/>
                <w:i w:val="0"/>
                <w:sz w:val="17"/>
              </w:rPr>
              <w:t>30/10/2026</w:t>
            </w:r>
          </w:p>
        </w:tc>
      </w:tr>
      <w:tr>
        <w:trPr>
          <w:cantSplit/>
        </w:trPr>
        <w:tc>
          <w:tcPr>
            <w:tcW w:type="dxa" w:w="567"/>
          </w:tcPr>
          <w:p>
            <w:pPr>
              <w:spacing w:before="20" w:after="20" w:line="264" w:lineRule="auto"/>
              <w:jc w:val="center"/>
            </w:pPr>
            <w:r>
              <w:rPr>
                <w:rFonts w:ascii="Arial" w:hAnsi="Arial" w:eastAsia="Arial"/>
                <w:b/>
                <w:i w:val="0"/>
                <w:color w:val="0A2F5C"/>
                <w:sz w:val="18"/>
              </w:rPr>
              <w:t>6</w:t>
            </w:r>
          </w:p>
        </w:tc>
        <w:tc>
          <w:tcPr>
            <w:tcW w:type="dxa" w:w="2835"/>
          </w:tcPr>
          <w:p>
            <w:pPr>
              <w:spacing w:before="20" w:after="20" w:line="264" w:lineRule="auto"/>
            </w:pPr>
            <w:hyperlink r:id="rId16">
              <w:r>
                <w:rPr>
                  <w:rFonts w:ascii="Arial" w:hAnsi="Arial" w:eastAsia="Arial" w:cs="Arial"/>
                  <w:b/>
                  <w:color w:val="0B5CAD"/>
                  <w:sz w:val="17"/>
                  <w:u w:val="single"/>
                </w:rPr>
                <w:t xml:space="preserve">DECRETO SUPREMO  N° 045-2026-RE</w:t>
              </w:r>
            </w:hyperlink>
          </w:p>
          <w:p>
            <w:pPr>
              <w:spacing w:before="0" w:after="20" w:line="252" w:lineRule="auto"/>
            </w:pPr>
            <w:r>
              <w:rPr>
                <w:rFonts w:ascii="Arial" w:hAnsi="Arial" w:eastAsia="Arial"/>
                <w:b w:val="0"/>
                <w:i w:val="0"/>
                <w:color w:val="5B6880"/>
                <w:sz w:val="15"/>
              </w:rPr>
              <w:t>RELACIONES EXTERIORES</w:t>
            </w:r>
          </w:p>
        </w:tc>
        <w:tc>
          <w:tcPr>
            <w:tcW w:type="dxa" w:w="4762"/>
          </w:tcPr>
          <w:p>
            <w:pPr>
              <w:spacing w:before="20" w:after="20" w:line="264" w:lineRule="auto"/>
            </w:pPr>
            <w:r>
              <w:rPr>
                <w:rFonts w:ascii="Arial" w:hAnsi="Arial" w:eastAsia="Arial"/>
                <w:b w:val="0"/>
                <w:i w:val="0"/>
                <w:sz w:val="17"/>
              </w:rPr>
              <w:t>Decreto Supremo que autoriza al Ministerio de Salud a efectuar el pago de la cuota internacional no contemplada en el Anexo B de la Ley N° 32513 Ley de Presupuesto del Sector Público para el Año Fiscal 2026</w:t>
            </w:r>
          </w:p>
        </w:tc>
        <w:tc>
          <w:tcPr>
            <w:tcW w:type="dxa" w:w="1247"/>
          </w:tcPr>
          <w:p>
            <w:pPr>
              <w:spacing w:before="20" w:after="20" w:line="264" w:lineRule="auto"/>
              <w:jc w:val="center"/>
            </w:pPr>
            <w:r>
              <w:rPr>
                <w:rFonts w:ascii="Arial" w:hAnsi="Arial" w:eastAsia="Arial"/>
                <w:b w:val="0"/>
                <w:i w:val="0"/>
                <w:sz w:val="17"/>
              </w:rPr>
              <w:t>30/10/2026</w:t>
            </w:r>
          </w:p>
        </w:tc>
      </w:tr>
      <w:tr>
        <w:trPr>
          <w:cantSplit/>
        </w:trPr>
        <w:tc>
          <w:tcPr>
            <w:tcW w:type="dxa" w:w="567"/>
          </w:tcPr>
          <w:p>
            <w:pPr>
              <w:spacing w:before="20" w:after="20" w:line="264" w:lineRule="auto"/>
              <w:jc w:val="center"/>
            </w:pPr>
            <w:r>
              <w:rPr>
                <w:rFonts w:ascii="Arial" w:hAnsi="Arial" w:eastAsia="Arial"/>
                <w:b/>
                <w:i w:val="0"/>
                <w:color w:val="0A2F5C"/>
                <w:sz w:val="18"/>
              </w:rPr>
              <w:t>7</w:t>
            </w:r>
          </w:p>
        </w:tc>
        <w:tc>
          <w:tcPr>
            <w:tcW w:type="dxa" w:w="2835"/>
          </w:tcPr>
          <w:p>
            <w:pPr>
              <w:spacing w:before="20" w:after="20" w:line="264" w:lineRule="auto"/>
            </w:pPr>
            <w:hyperlink r:id="rId17">
              <w:r>
                <w:rPr>
                  <w:rFonts w:ascii="Arial" w:hAnsi="Arial" w:eastAsia="Arial" w:cs="Arial"/>
                  <w:b/>
                  <w:color w:val="0B5CAD"/>
                  <w:sz w:val="17"/>
                  <w:u w:val="single"/>
                </w:rPr>
                <w:t xml:space="preserve">RESOLUCIÓN MINISTERIAL  N° 415-2026-VIVIENDA</w:t>
              </w:r>
            </w:hyperlink>
          </w:p>
          <w:p>
            <w:pPr>
              <w:spacing w:before="0" w:after="20" w:line="252" w:lineRule="auto"/>
            </w:pPr>
            <w:r>
              <w:rPr>
                <w:rFonts w:ascii="Arial" w:hAnsi="Arial" w:eastAsia="Arial"/>
                <w:b w:val="0"/>
                <w:i w:val="0"/>
                <w:color w:val="5B6880"/>
                <w:sz w:val="15"/>
              </w:rPr>
              <w:t>VIVIENDA, CONSTRUCCIÓN Y SANEAMIENTO</w:t>
            </w:r>
          </w:p>
        </w:tc>
        <w:tc>
          <w:tcPr>
            <w:tcW w:type="dxa" w:w="4762"/>
          </w:tcPr>
          <w:p>
            <w:pPr>
              <w:spacing w:before="20" w:after="20" w:line="264" w:lineRule="auto"/>
            </w:pPr>
            <w:r>
              <w:rPr>
                <w:rFonts w:ascii="Arial" w:hAnsi="Arial" w:eastAsia="Arial"/>
                <w:b w:val="0"/>
                <w:i w:val="0"/>
                <w:sz w:val="17"/>
              </w:rPr>
              <w:t>Autorizan Transferencia Financiera a favor del Instituto Geofísico del Perú para financiar la elaboración de diversos estudios de zonificación geofísica - geotécnica en el departamento de Junín</w:t>
            </w:r>
          </w:p>
        </w:tc>
        <w:tc>
          <w:tcPr>
            <w:tcW w:type="dxa" w:w="1247"/>
          </w:tcPr>
          <w:p>
            <w:pPr>
              <w:spacing w:before="20" w:after="20" w:line="264" w:lineRule="auto"/>
              <w:jc w:val="center"/>
            </w:pPr>
            <w:r>
              <w:rPr>
                <w:rFonts w:ascii="Arial" w:hAnsi="Arial" w:eastAsia="Arial"/>
                <w:b w:val="0"/>
                <w:i w:val="0"/>
                <w:sz w:val="17"/>
              </w:rPr>
              <w:t>30/10/2026</w:t>
            </w:r>
          </w:p>
        </w:tc>
      </w:tr>
    </w:tbl>
    <w:p>
      <w:pPr>
        <w:spacing w:before="280" w:after="120" w:line="276" w:lineRule="auto"/>
        <w:keepNext/>
        <w:pBdr>
          <w:bottom w:val="single" w:sz="6" w:space="2" w:color="C9D2DF"/>
        </w:pBdr>
      </w:pPr>
      <w:r>
        <w:rPr>
          <w:rFonts w:ascii="Arial" w:hAnsi="Arial" w:eastAsia="Arial"/>
          <w:b/>
          <w:i w:val="0"/>
          <w:color w:val="0A2F5C"/>
          <w:sz w:val="22"/>
        </w:rPr>
        <w:t>2. DETALLE DE LAS NORMAS</w:t>
      </w:r>
    </w:p>
    <w:p>
      <w:pPr>
        <w:keepNext/>
        <w:spacing w:before="160" w:after="80" w:line="276" w:lineRule="auto"/>
      </w:pPr>
      <w:r>
        <w:rPr>
          <w:rFonts w:ascii="Arial" w:hAnsi="Arial" w:eastAsia="Arial"/>
          <w:b/>
          <w:i w:val="0"/>
          <w:color w:val="0B5CAD"/>
          <w:sz w:val="21"/>
        </w:rPr>
        <w:t>2.1  Normatividad presupuestal</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1.  DECRETO SUPREMO  N° 227-2026-EF</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ECONOMÍA Y FINANZAS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30/10/2026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Decreto Supremo que autoriza Crédito Suplementario en el Presupuesto del Sector Público para el Año Fiscal 2026 a favor del Ministerio de Defensa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Objeto Se autoriza la incorporación de recursos vía Crédito Suplementario en el Presupuesto del Sector Público para el Año Fiscal 2026, hasta por la suma de S/ 3 474 995,00 (TRES MILLONES CUATROCIENTOS SETENTA Y CUATRO MIL NOVECIENTOS NOVENTA Y CINCO Y 00/100 SOLES), en la fuente de financiamiento Recursos Ordinarios, a favor del Ministerio de Defensa, para financiar el cumplimiento de las competencias de la Autoridad Marítima en la defensa, seguridad y protección ambiental en las aguas jurisdiccionales del país, con cargo a los recursos depositados por la Autoridad Portuaria Nacional en la cuenta del Tesoro Público, correspondiente al 30% de las retribuciones pagadas por la…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Montos citados</w:t>
            </w:r>
          </w:p>
        </w:tc>
        <w:tc>
          <w:tcPr>
            <w:tcW w:type="dxa" w:w="7370"/>
          </w:tcPr>
          <w:p>
            <w:pPr>
              <w:spacing w:before="20" w:after="20" w:line="264" w:lineRule="auto"/>
            </w:pPr>
            <w:r>
              <w:rPr>
                <w:rFonts w:ascii="Arial" w:hAnsi="Arial" w:eastAsia="Arial"/>
                <w:b w:val="0"/>
                <w:i w:val="0"/>
                <w:sz w:val="18"/>
              </w:rPr>
              <w:t>S/ 3 474 995,00 · S/ 5 412 702,95</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1">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18">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19">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2.  DECRETO SUPREMO  N° 228-2026-EF</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ECONOMÍA Y FINANZAS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30/10/2026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Decreto Supremo que autoriza Transferencia de Partidas en el Presupuesto del Sector Público para el Año Fiscal 2026 a favor de la Reserva de Contingencia y del Ministerio de Defensa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Transferencia de Partidas a favor de la Reserva de Contingencia Se autoriza una Transferencia de Partidas en el Presupuesto del Sector Público para el Año Fiscal 2026, hasta por la suma de S/ 52 198 955,00 (CINCUENTA Y DOS MILLONES CIENTO NOVENTA Y OCHO MIL NOVECIENTOS CINCUENTA Y CINCO Y 00/100 SOLES), por la fuente de financiamiento Recursos Ordinarios, a favor de la Reserva de Contingencia del Ministerio de Economía y Finanzas, con cargo a los recursos del presupuesto institucional de la Autoridad Nacional del Agua, en el marco de lo dispuesto en la Décima Cuarta Disposición Complementaria Final de la Ley Nº 32513, Ley de Presupuesto del Sector Público para el Año Fiscal…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Montos citados</w:t>
            </w:r>
          </w:p>
        </w:tc>
        <w:tc>
          <w:tcPr>
            <w:tcW w:type="dxa" w:w="7370"/>
          </w:tcPr>
          <w:p>
            <w:pPr>
              <w:spacing w:before="20" w:after="20" w:line="264" w:lineRule="auto"/>
            </w:pPr>
            <w:r>
              <w:rPr>
                <w:rFonts w:ascii="Arial" w:hAnsi="Arial" w:eastAsia="Arial"/>
                <w:b w:val="0"/>
                <w:i w:val="0"/>
                <w:sz w:val="18"/>
              </w:rPr>
              <w:t>S/ 52 198 955,00 · S/ 21 853 366,00</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2">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20">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21">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3.  DECRETO SUPREMO  N° 229-2026-EF</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ECONOMÍA Y FINANZAS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30/10/2026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Decreto Supremo que autoriza Transferencia de Partidas en el Presupuesto del Sector Público para el Año Fiscal 2026 a favor del Centro Nacional de Planeamiento Estratégico</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Objeto Se autoriza una Transferencia de Partidas en el Presupuesto del Sector Público para el Año Fiscal 2026, hasta por la suma de S/ 1 295 188,00 (UN MILLÓN DOSCIENTOS NOVENTA Y CINCO MIL CIENTO OCHENTA Y OCHO Y 00/100 SOLES), por la fuente de financiamiento Recursos por Operaciones Oficiales de Crédito, a favor del Centro Nacional de Planeamiento Estratégico, para financiar la ejecución del proyecto de inversión “Mejoramiento y Ampliación de los Servicios Operativos o Misionales Institucionales en Centro Nacional de Planeamiento Estratégico Distrito de San Isidro de la Provincia de Lima del Departamento de Lima”, con Código Único de Inversiones (CUI) Nº 2690555, vinculado 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Montos citados</w:t>
            </w:r>
          </w:p>
        </w:tc>
        <w:tc>
          <w:tcPr>
            <w:tcW w:type="dxa" w:w="7370"/>
          </w:tcPr>
          <w:p>
            <w:pPr>
              <w:spacing w:before="20" w:after="20" w:line="264" w:lineRule="auto"/>
            </w:pPr>
            <w:r>
              <w:rPr>
                <w:rFonts w:ascii="Arial" w:hAnsi="Arial" w:eastAsia="Arial"/>
                <w:b w:val="0"/>
                <w:i w:val="0"/>
                <w:sz w:val="18"/>
              </w:rPr>
              <w:t>S/ 1 295 188,00</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3">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22">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23">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4.  RESOLUCIÓN  N° 535-2026-GOB</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GOBIERNO REGIONAL DE LIMA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30/10/2026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Aprueban transferencia financiera a favor de la Contraloría General de la República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Primero.- APROBAR la Transferencia Financiera por el monto total de S/ 311 120,00 (Trescientos once mil ciento veinte y 00/100 soles), con cargo a los recursos del Pliego 463: Gobierno Regional del Departamento de Lima, a favor del Pliego 019: Contraloría General, Unidad Ejecutora 001-196: Contraloría General de la República, destinada al financiamiento de las acciones de control concurrente correspondientes a nueve (09) proyectos de inversión priorizados por la Contraloría General de la República, en el marco de la Ley N° 31358, Ley que establece medidas para la expansión del control concurrente, y sus modificatorias, conforme al detalle de los proyectos consignados en el Anexo N°…</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Montos citados</w:t>
            </w:r>
          </w:p>
        </w:tc>
        <w:tc>
          <w:tcPr>
            <w:tcW w:type="dxa" w:w="7370"/>
          </w:tcPr>
          <w:p>
            <w:pPr>
              <w:spacing w:before="20" w:after="20" w:line="264" w:lineRule="auto"/>
            </w:pPr>
            <w:r>
              <w:rPr>
                <w:rFonts w:ascii="Arial" w:hAnsi="Arial" w:eastAsia="Arial"/>
                <w:b w:val="0"/>
                <w:i w:val="0"/>
                <w:sz w:val="18"/>
              </w:rPr>
              <w:t>S/ 311,120.00 · S/ 201 715,00 · S/ 109 405,00</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4">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24">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25">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5.  RESOLUCIÓN  N° 000053-2026-ITP/GG</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INSTITUTO TECNOLÓGICO DE LA PRODUCCIÓN</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30/10/2026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Delegar en el/la Jefe/a de la Oficina de Planeamiento Presupuesto y Modernización del ITP la facultad de asegurar la implementación y cumplimiento de la Norma Técnica para la Gestión de la Calidad de Servicios del Sector Público</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Delegación de facultades en el/la Jefe/a de la Oficina de Planeamiento, Presupuesto y Modernización Delegar en el/la Jefe/a de la Oficina de Planeamiento, Presupuesto y Modernización del Instituto Tecnológico de la Producción (ITP) la facultad de asegurar la implementación y cumplimiento de la Norma Técnica N° 001-2022-PCM-SGP, Norma Técnica para la Gestión de la Calidad de Servicios del Sector Público, aprobada mediante Resolución de Secretaría de Gestión Pública N° 011-2022-PCM/SGP, conforme a lo establecido en el numeral 6.2 del acápite VI de la citada Norma Técnica, comprendiendo las siguientes atribuciones: a) Priorizar el bien o servicio sobre el cual se realiza la…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5">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26">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27">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6.  DECRETO SUPREMO  N° 045-2026-RE</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RELACIONES EXTERIORES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30/10/2026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Decreto Supremo que autoriza al Ministerio de Salud a efectuar el pago de la cuota internacional no contemplada en el Anexo B de la Ley N° 32513 Ley de Presupuesto del Sector Público para el Año Fiscal 2026</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Aprobación Se aprueba la cuota internacional a favor del Fondo de Cooperación Técnica del Organismo Internacional de Energía Atómica – OIEA. Artículo 2.- Autorización Se autoriza al Ministerio de Salud a efectuar el pago de la cuota internacional no contemplada en el Anexo B de la Ley Nº 32513, Ley de Presupuesto del Sector Público para el Año Fiscal 2026, con cargo a la Fuente de Financiamiento Recursos Ordinarios, de acuerdo al siguiente detalle: PLIEGO PRESUPUESTAL MONEDA MONTO PERSONA JURÍDICA 011: Ministerio de Salud Euros € 21 847,00 Fondo de Cooperación Técnica del Organismo Internacional de Energía Atómica - OIEA Artículo 3.- Afectación presupuestal Se dispone que los…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6">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28">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29">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7.  RESOLUCIÓN MINISTERIAL  N° 415-2026-VIVIENDA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VIVIENDA, CONSTRUCCIÓN Y SANEAMIENTO</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30/10/2026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Autorizan Transferencia Financiera a favor del Instituto Geofísico del Perú para financiar la elaboración de diversos estudios de zonificación geofísica - geotécnica en el departamento de Junín</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Transferencia Financiera a favor del Instituto Geofísico del Perú Autorizar la Transferencia Financiera del Pliego 037: Ministerio de Vivienda, Construcción y Saneamiento, Unidad Ejecutora 001: Ministerio de Vivienda, Construcción y Saneamiento - Administración General, hasta por la suma de S/ 10 680,00 (DIEZ MIL SEISCIENTOS OCHENTA Y 00/100 SOLES), a favor del Pliego 112: Instituto Geofísico del Perú, para financiar la elaboración de los estudios de Zonificación Geofísica - Geotécnica en las áreas de los distritos de San Juan de Iscos, Chongos Bajo y Chupaca, provincia de Chupaca, Chupuro, Huayucachi y Viques provincia de Huancayo, departamento de Junín, en cumplimiento de los…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Montos citados</w:t>
            </w:r>
          </w:p>
        </w:tc>
        <w:tc>
          <w:tcPr>
            <w:tcW w:type="dxa" w:w="7370"/>
          </w:tcPr>
          <w:p>
            <w:pPr>
              <w:spacing w:before="20" w:after="20" w:line="264" w:lineRule="auto"/>
            </w:pPr>
            <w:r>
              <w:rPr>
                <w:rFonts w:ascii="Arial" w:hAnsi="Arial" w:eastAsia="Arial"/>
                <w:b w:val="0"/>
                <w:i w:val="0"/>
                <w:sz w:val="18"/>
              </w:rPr>
              <w:t>S/ 3 930 661 286,00 · S/ 93 430,00 · S/ 104 110,00 · S/ 10 680,00</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7">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30">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31">
              <w:r>
                <w:rPr>
                  <w:rFonts w:ascii="Arial" w:hAnsi="Arial" w:eastAsia="Arial" w:cs="Arial"/>
                  <w:color w:val="0B5CAD"/>
                  <w:sz w:val="17"/>
                  <w:u w:val="single"/>
                </w:rPr>
                <w:t xml:space="preserve">PDF</w:t>
              </w:r>
            </w:hyperlink>
          </w:p>
        </w:tc>
      </w:tr>
    </w:tbl>
    <w:p>
      <w:pPr>
        <w:spacing w:before="0" w:after="120" w:line="276" w:lineRule="auto"/>
      </w:pPr>
    </w:p>
    <w:p>
      <w:pPr>
        <w:spacing w:before="200" w:after="0" w:line="276" w:lineRule="auto"/>
        <w:jc w:val="both"/>
        <w:pBdr>
          <w:top w:val="single" w:sz="4" w:space="4" w:color="C9D2DF"/>
        </w:pBdr>
      </w:pPr>
      <w:r>
        <w:rPr>
          <w:rFonts w:ascii="Arial" w:hAnsi="Arial" w:eastAsia="Arial"/>
          <w:b/>
          <w:i w:val="0"/>
          <w:color w:val="5B6880"/>
          <w:sz w:val="15"/>
        </w:rPr>
        <w:t xml:space="preserve">Nota metodológica: </w:t>
      </w:r>
      <w:r>
        <w:rPr>
          <w:rFonts w:ascii="Arial" w:hAnsi="Arial" w:eastAsia="Arial"/>
          <w:b w:val="0"/>
          <w:i w:val="0"/>
          <w:color w:val="5B6880"/>
          <w:sz w:val="15"/>
        </w:rPr>
        <w:t xml:space="preserve">se revisan todas las normas publicadas en el Diario Oficial El Peruano en el periodo. Una norma se selecciona cuando su entidad, título o sumilla contiene alguno de los términos definidos para cada tema, o cuando su texto completo menciona a la ATU. Los criterios pueden consultarse y editarse en el panel: </w:t>
      </w:r>
      <w:hyperlink r:id="rId32">
        <w:r>
          <w:rPr>
            <w:rFonts w:ascii="Arial" w:hAnsi="Arial" w:eastAsia="Arial" w:cs="Arial"/>
            <w:color w:val="0B5CAD"/>
            <w:sz w:val="15"/>
            <w:u w:val="single"/>
          </w:rPr>
          <w:t xml:space="preserve">reneearmasr.github.io/monitor-normas-elperuano</w:t>
        </w:r>
      </w:hyperlink>
    </w:p>
    <w:sectPr w:rsidR="00FC693F" w:rsidRPr="0006063C" w:rsidSect="00034616">
      <w:headerReference w:type="default" r:id="rId9"/>
      <w:footerReference w:type="default" r:id="rId10"/>
      <w:pgSz w:w="11906" w:h="16838"/>
      <w:pgMar w:top="1361"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411" w:val="right"/>
      </w:tabs>
      <w:pBdr>
        <w:top w:val="single" w:sz="6" w:space="4" w:color="C9D2DF"/>
      </w:pBdr>
    </w:pPr>
    <w:r>
      <w:rPr>
        <w:rFonts w:ascii="Arial" w:hAnsi="Arial" w:eastAsia="Arial"/>
        <w:b w:val="0"/>
        <w:i w:val="0"/>
        <w:color w:val="5B6880"/>
        <w:sz w:val="15"/>
      </w:rPr>
      <w:t>Fuente: Diario Oficial El Peruano · Elaboración automática</w:t>
    </w:r>
    <w:r>
      <w:rPr>
        <w:rFonts w:ascii="Arial" w:hAnsi="Arial" w:eastAsia="Arial"/>
        <w:b w:val="0"/>
        <w:i w:val="0"/>
        <w:color w:val="5B6880"/>
        <w:sz w:val="15"/>
      </w:rPr>
      <w:tab/>
      <w:t xml:space="preserve">Página </w:t>
    </w:r>
    <w:r>
      <w:rPr>
        <w:rFonts w:ascii="Arial" w:hAnsi="Arial" w:eastAsia="Arial"/>
        <w:b w:val="0"/>
        <w:i w:val="0"/>
        <w:color w:val="5B6880"/>
        <w:sz w:val="15"/>
      </w:rPr>
      <w:fldChar w:fldCharType="begin"/>
      <w:instrText xml:space="preserve"> PAGE </w:instrText>
      <w:fldChar w:fldCharType="separate"/>
      <w:t>1</w:t>
      <w:fldChar w:fldCharType="end"/>
    </w:r>
    <w:r>
      <w:rPr>
        <w:rFonts w:ascii="Arial" w:hAnsi="Arial" w:eastAsia="Arial"/>
        <w:b w:val="0"/>
        <w:i w:val="0"/>
        <w:color w:val="5B6880"/>
        <w:sz w:val="15"/>
      </w:rPr>
      <w:t xml:space="preserve"> de </w:t>
    </w:r>
    <w:r>
      <w:rPr>
        <w:rFonts w:ascii="Arial" w:hAnsi="Arial" w:eastAsia="Arial"/>
        <w:b w:val="0"/>
        <w:i w:val="0"/>
        <w:color w:val="5B6880"/>
        <w:sz w:val="15"/>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411" w:val="right"/>
      </w:tabs>
      <w:pBdr>
        <w:bottom w:val="single" w:sz="8" w:space="4" w:color="0A2F5C"/>
      </w:pBdr>
    </w:pPr>
    <w:r>
      <w:rPr>
        <w:rFonts w:ascii="Arial" w:hAnsi="Arial" w:eastAsia="Arial"/>
        <w:b/>
        <w:i w:val="0"/>
        <w:color w:val="0A2F5C"/>
        <w:sz w:val="15"/>
      </w:rPr>
      <w:t>AUTORIDAD DE TRANSPORTE URBANO PARA LIMA Y CALLAO</w:t>
    </w:r>
    <w:r>
      <w:rPr>
        <w:rFonts w:ascii="Arial" w:hAnsi="Arial" w:eastAsia="Arial"/>
        <w:b w:val="0"/>
        <w:i w:val="0"/>
        <w:color w:val="5B6880"/>
        <w:sz w:val="15"/>
      </w:rPr>
      <w:tab/>
      <w:t>Monitor de Normas Legales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usquedas.elperuano.pe/api/visor_html/2569932-1" TargetMode="External"/><Relationship Id="rId12" Type="http://schemas.openxmlformats.org/officeDocument/2006/relationships/hyperlink" Target="https://busquedas.elperuano.pe/api/visor_html/2569932-2" TargetMode="External"/><Relationship Id="rId13" Type="http://schemas.openxmlformats.org/officeDocument/2006/relationships/hyperlink" Target="https://busquedas.elperuano.pe/api/visor_html/2569932-3" TargetMode="External"/><Relationship Id="rId14" Type="http://schemas.openxmlformats.org/officeDocument/2006/relationships/hyperlink" Target="https://busquedas.elperuano.pe/api/visor_html/2558562-1" TargetMode="External"/><Relationship Id="rId15" Type="http://schemas.openxmlformats.org/officeDocument/2006/relationships/hyperlink" Target="https://busquedas.elperuano.pe/api/visor_html/2569649-1" TargetMode="External"/><Relationship Id="rId16" Type="http://schemas.openxmlformats.org/officeDocument/2006/relationships/hyperlink" Target="https://busquedas.elperuano.pe/api/visor_html/2569932-4" TargetMode="External"/><Relationship Id="rId17" Type="http://schemas.openxmlformats.org/officeDocument/2006/relationships/hyperlink" Target="https://busquedas.elperuano.pe/api/visor_html/2569846-1" TargetMode="External"/><Relationship Id="rId18" Type="http://schemas.openxmlformats.org/officeDocument/2006/relationships/hyperlink" Target="https://busquedas.elperuano.pe/dispositivo/NL/2569932-1" TargetMode="External"/><Relationship Id="rId19" Type="http://schemas.openxmlformats.org/officeDocument/2006/relationships/hyperlink" Target="https://busquedas.elperuano.pe/dispositivo/NL/2569932-1/pdf" TargetMode="External"/><Relationship Id="rId20" Type="http://schemas.openxmlformats.org/officeDocument/2006/relationships/hyperlink" Target="https://busquedas.elperuano.pe/dispositivo/NL/2569932-2" TargetMode="External"/><Relationship Id="rId21" Type="http://schemas.openxmlformats.org/officeDocument/2006/relationships/hyperlink" Target="https://busquedas.elperuano.pe/dispositivo/NL/2569932-2/pdf" TargetMode="External"/><Relationship Id="rId22" Type="http://schemas.openxmlformats.org/officeDocument/2006/relationships/hyperlink" Target="https://busquedas.elperuano.pe/dispositivo/NL/2569932-3" TargetMode="External"/><Relationship Id="rId23" Type="http://schemas.openxmlformats.org/officeDocument/2006/relationships/hyperlink" Target="https://busquedas.elperuano.pe/dispositivo/NL/2569932-3/pdf" TargetMode="External"/><Relationship Id="rId24" Type="http://schemas.openxmlformats.org/officeDocument/2006/relationships/hyperlink" Target="https://busquedas.elperuano.pe/dispositivo/NL/2558562-1" TargetMode="External"/><Relationship Id="rId25" Type="http://schemas.openxmlformats.org/officeDocument/2006/relationships/hyperlink" Target="https://busquedas.elperuano.pe/dispositivo/NL/2558562-1/pdf" TargetMode="External"/><Relationship Id="rId26" Type="http://schemas.openxmlformats.org/officeDocument/2006/relationships/hyperlink" Target="https://busquedas.elperuano.pe/dispositivo/NL/2569649-1" TargetMode="External"/><Relationship Id="rId27" Type="http://schemas.openxmlformats.org/officeDocument/2006/relationships/hyperlink" Target="https://busquedas.elperuano.pe/dispositivo/NL/2569649-1/pdf" TargetMode="External"/><Relationship Id="rId28" Type="http://schemas.openxmlformats.org/officeDocument/2006/relationships/hyperlink" Target="https://busquedas.elperuano.pe/dispositivo/NL/2569932-4" TargetMode="External"/><Relationship Id="rId29" Type="http://schemas.openxmlformats.org/officeDocument/2006/relationships/hyperlink" Target="https://busquedas.elperuano.pe/dispositivo/NL/2569932-4/pdf" TargetMode="External"/><Relationship Id="rId30" Type="http://schemas.openxmlformats.org/officeDocument/2006/relationships/hyperlink" Target="https://busquedas.elperuano.pe/dispositivo/NL/2569846-1" TargetMode="External"/><Relationship Id="rId31" Type="http://schemas.openxmlformats.org/officeDocument/2006/relationships/hyperlink" Target="https://busquedas.elperuano.pe/dispositivo/NL/2569846-1/pdf" TargetMode="External"/><Relationship Id="rId32" Type="http://schemas.openxmlformats.org/officeDocument/2006/relationships/hyperlink" Target="https://reneearmasr.github.io/monitor-normas-elperua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