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Viernes 4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04/09/2026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16:56</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101</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8</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101 normas publicadas en el periodo, 8 resultan de interés institucional: 1 sobre la ATU y el transporte urbano, 5 de normatividad presupuestal y 2 de inversiones.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1 norma involucra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206-2026-ATU/PE</w:t>
            </w:r>
            <w:r>
              <w:rPr>
                <w:rFonts w:ascii="Arial" w:hAnsi="Arial" w:eastAsia="Arial"/>
                <w:b w:val="0"/>
                <w:i w:val="0"/>
                <w:sz w:val="18"/>
              </w:rPr>
              <w:t xml:space="preserve"> (Autoridad de Transporte Urbano para Lima y Callao): Modifican delegación de funciones en el/la Jefe/a de la Oficina de Administración de la ATU durante el Año Fiscal 2026</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206-2026-ATU/PE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Modifican delegación de funciones en el/la Jefe/a de la Oficina de Administración de la ATU durante el Año Fiscal 2026</w:t>
            </w:r>
          </w:p>
        </w:tc>
        <w:tc>
          <w:tcPr>
            <w:tcW w:type="dxa" w:w="1247"/>
          </w:tcPr>
          <w:p>
            <w:pPr>
              <w:spacing w:before="20" w:after="20" w:line="264" w:lineRule="auto"/>
              <w:jc w:val="center"/>
            </w:pPr>
            <w:r>
              <w:rPr>
                <w:rFonts w:ascii="Arial" w:hAnsi="Arial" w:eastAsia="Arial"/>
                <w:b w:val="0"/>
                <w:i w:val="0"/>
                <w:sz w:val="17"/>
              </w:rPr>
              <w:t>04/09/2026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(5)</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SEPARATA ESPECIAL  Proposiciones Legislativas N° 00002-2026-2031-CR, N° 00003-2026-2031-CR y N° 00004-2026-2031-CR</w:t>
              </w:r>
            </w:hyperlink>
          </w:p>
          <w:p>
            <w:pPr>
              <w:spacing w:before="0" w:after="20" w:line="252" w:lineRule="auto"/>
            </w:pPr>
            <w:r>
              <w:rPr>
                <w:rFonts w:ascii="Arial" w:hAnsi="Arial" w:eastAsia="Arial"/>
                <w:b w:val="0"/>
                <w:i w:val="0"/>
                <w:color w:val="5B6880"/>
                <w:sz w:val="15"/>
              </w:rPr>
              <w:t>CONGRESO DE LA REPÚBLICA</w:t>
            </w:r>
          </w:p>
        </w:tc>
        <w:tc>
          <w:tcPr>
            <w:tcW w:type="dxa" w:w="4762"/>
          </w:tcPr>
          <w:p>
            <w:pPr>
              <w:spacing w:before="20" w:after="20" w:line="264" w:lineRule="auto"/>
            </w:pPr>
            <w:r>
              <w:rPr>
                <w:rFonts w:ascii="Arial" w:hAnsi="Arial" w:eastAsia="Arial"/>
                <w:b w:val="0"/>
                <w:i w:val="0"/>
                <w:sz w:val="17"/>
              </w:rPr>
              <w:t>Proposición Legislativa de Presupuesto del Sector Público para el Año Fiscal 2027 - Proposición Legislativa de Equilibrio Financiero del Presupuesto del Sector Público para el Año Fiscal 2027 - Proposición Legislativa de Endeudamiento del Sector Público para el Año Fiscal 2027</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DECRETO SUPREMO  N° 173-2026-EF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un gobierno regional y de diversos gobiernos locales</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DECRETO SUPREMO  N° 174-2026-EF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locales</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DECRETO SUPREMO  N° 175-2026-EF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regionales</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DECRETO SUPREMO  N° 012-2026-TR</w:t>
              </w:r>
            </w:hyperlink>
          </w:p>
          <w:p>
            <w:pPr>
              <w:spacing w:before="0" w:after="20" w:line="252" w:lineRule="auto"/>
            </w:pPr>
            <w:r>
              <w:rPr>
                <w:rFonts w:ascii="Arial" w:hAnsi="Arial" w:eastAsia="Arial"/>
                <w:b w:val="0"/>
                <w:i w:val="0"/>
                <w:color w:val="5B6880"/>
                <w:sz w:val="15"/>
              </w:rPr>
              <w:t>TRABAJO Y PROMOCIÓN DEL EMPLEO</w:t>
            </w:r>
          </w:p>
        </w:tc>
        <w:tc>
          <w:tcPr>
            <w:tcW w:type="dxa" w:w="4762"/>
          </w:tcPr>
          <w:p>
            <w:pPr>
              <w:spacing w:before="20" w:after="20" w:line="264" w:lineRule="auto"/>
            </w:pPr>
            <w:r>
              <w:rPr>
                <w:rFonts w:ascii="Arial" w:hAnsi="Arial" w:eastAsia="Arial"/>
                <w:b w:val="0"/>
                <w:i w:val="0"/>
                <w:sz w:val="17"/>
              </w:rPr>
              <w:t>Decreto Supremo que aprueba la transferencia financiera del aporte total del Programa Llamkasun Perú a favor de la Municipalidad Distrital de Villa El Salvador en virtud del Convenio de Ejecución de Actividad de Intervención Inmediata (AII-93) y en el marco del Decreto Supremo N° 117-2026-PCM</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(2)</w:t>
            </w:r>
          </w:p>
        </w:tc>
      </w:tr>
      <w:tr>
        <w:trPr>
          <w:cantSplit/>
        </w:trPr>
        <w:tc>
          <w:tcPr>
            <w:tcW w:type="dxa" w:w="567"/>
          </w:tcPr>
          <w:p>
            <w:pPr>
              <w:spacing w:before="20" w:after="20" w:line="264" w:lineRule="auto"/>
              <w:jc w:val="center"/>
            </w:pPr>
            <w:r>
              <w:rPr>
                <w:rFonts w:ascii="Arial" w:hAnsi="Arial" w:eastAsia="Arial"/>
                <w:b/>
                <w:i w:val="0"/>
                <w:color w:val="0A2F5C"/>
                <w:sz w:val="18"/>
              </w:rPr>
              <w:t>7</w:t>
            </w:r>
          </w:p>
        </w:tc>
        <w:tc>
          <w:tcPr>
            <w:tcW w:type="dxa" w:w="2835"/>
          </w:tcPr>
          <w:p>
            <w:pPr>
              <w:spacing w:before="20" w:after="20" w:line="264" w:lineRule="auto"/>
            </w:pPr>
            <w:hyperlink r:id="rId17">
              <w:r>
                <w:rPr>
                  <w:rFonts w:ascii="Arial" w:hAnsi="Arial" w:eastAsia="Arial" w:cs="Arial"/>
                  <w:b/>
                  <w:color w:val="0B5CAD"/>
                  <w:sz w:val="17"/>
                  <w:u w:val="single"/>
                </w:rPr>
                <w:t xml:space="preserve">ACUERDO  N° 000394-2026-GR.LAMB/CR [516097481 - 87]</w:t>
              </w:r>
            </w:hyperlink>
          </w:p>
          <w:p>
            <w:pPr>
              <w:spacing w:before="0" w:after="20" w:line="252" w:lineRule="auto"/>
            </w:pPr>
            <w:r>
              <w:rPr>
                <w:rFonts w:ascii="Arial" w:hAnsi="Arial" w:eastAsia="Arial"/>
                <w:b w:val="0"/>
                <w:i w:val="0"/>
                <w:color w:val="5B6880"/>
                <w:sz w:val="15"/>
              </w:rPr>
              <w:t>GOBIERNO REGIONAL DE LAMBAYEQUE</w:t>
            </w:r>
          </w:p>
        </w:tc>
        <w:tc>
          <w:tcPr>
            <w:tcW w:type="dxa" w:w="4762"/>
          </w:tcPr>
          <w:p>
            <w:pPr>
              <w:spacing w:before="20" w:after="20" w:line="264" w:lineRule="auto"/>
            </w:pPr>
            <w:r>
              <w:rPr>
                <w:rFonts w:ascii="Arial" w:hAnsi="Arial" w:eastAsia="Arial"/>
                <w:b w:val="0"/>
                <w:i w:val="0"/>
                <w:sz w:val="17"/>
              </w:rPr>
              <w:t>Aprueban la Actualización del Informe Multianual de Inversiones en Asociaciones Público Privadas (IMIAPP) 2026 - 2028 del Gobierno Regional Lambayeque</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8</w:t>
            </w:r>
          </w:p>
        </w:tc>
        <w:tc>
          <w:tcPr>
            <w:tcW w:type="dxa" w:w="2835"/>
          </w:tcPr>
          <w:p>
            <w:pPr>
              <w:spacing w:before="20" w:after="20" w:line="264" w:lineRule="auto"/>
            </w:pPr>
            <w:hyperlink r:id="rId18">
              <w:r>
                <w:rPr>
                  <w:rFonts w:ascii="Arial" w:hAnsi="Arial" w:eastAsia="Arial" w:cs="Arial"/>
                  <w:b/>
                  <w:color w:val="0B5CAD"/>
                  <w:sz w:val="17"/>
                  <w:u w:val="single"/>
                </w:rPr>
                <w:t xml:space="preserve">RESOLUCIÓN MINISTERIAL N° 359-2026-VIVIENDA</w:t>
              </w:r>
            </w:hyperlink>
          </w:p>
          <w:p>
            <w:pPr>
              <w:spacing w:before="0" w:after="20" w:line="252" w:lineRule="auto"/>
            </w:pPr>
            <w:r>
              <w:rPr>
                <w:rFonts w:ascii="Arial" w:hAnsi="Arial" w:eastAsia="Arial"/>
                <w:b w:val="0"/>
                <w:i w:val="0"/>
                <w:color w:val="5B6880"/>
                <w:sz w:val="15"/>
              </w:rPr>
              <w:t>VIVIENDA, CONSTRUCCIÓN Y SANEAMIENTO</w:t>
            </w:r>
          </w:p>
        </w:tc>
        <w:tc>
          <w:tcPr>
            <w:tcW w:type="dxa" w:w="4762"/>
          </w:tcPr>
          <w:p>
            <w:pPr>
              <w:spacing w:before="20" w:after="20" w:line="264" w:lineRule="auto"/>
            </w:pPr>
            <w:r>
              <w:rPr>
                <w:rFonts w:ascii="Arial" w:hAnsi="Arial" w:eastAsia="Arial"/>
                <w:b w:val="0"/>
                <w:i w:val="0"/>
                <w:sz w:val="17"/>
              </w:rPr>
              <w:t>Aprueban Disposiciones sectoriales para el Servicio de Implementación Integral de Módulos Temporales de Vivienda mediante el mecanismo de Obras por Impuestos en el marco del Decreto de Urgencia N° 009-2026 Decreto de Urgencia que dicta medidas extraordinarias y temporales para la ejecución de intervenciones de mejoramiento de viviendas rurales y Obras por Impuestos a consecuencia del sismo ocurrido en diversos distritos de las provincias de Chupaca y Huancayo en el departamento de Junín</w:t>
            </w:r>
          </w:p>
        </w:tc>
        <w:tc>
          <w:tcPr>
            <w:tcW w:type="dxa" w:w="1247"/>
          </w:tcPr>
          <w:p>
            <w:pPr>
              <w:spacing w:before="20" w:after="20" w:line="264" w:lineRule="auto"/>
              <w:jc w:val="center"/>
            </w:pPr>
            <w:r>
              <w:rPr>
                <w:rFonts w:ascii="Arial" w:hAnsi="Arial" w:eastAsia="Arial"/>
                <w:b w:val="0"/>
                <w:i w:val="0"/>
                <w:sz w:val="17"/>
              </w:rPr>
              <w:t>04/09/2026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206-2026-ATU/PE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delegación de funciones en el/la Jefe/a de la Oficina de Administración de la ATU durante el Año Fiscal 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Modificar el literal g) del numeral 2.3 del artículo 2 de la Resolución de Presidencia Ejecutiva Nº 409-2025-ATU/PE, modificada por la Resolución de Presidencia Ejecutiva Nº 179-2026-ATU/PE, en los siguientes términos: Artículo 2.- Delegar en el/la Jefe/a de la Oficina de Administración de la Autoridad de Transporte Urbano para Lima y Callao - ATU, durante el periodo que comprende el Año Fiscal 2026, las siguientes funciones: 2.3 En materia de acciones administrativas: g) Suscribir en representación de la Autoridad de Transporte Urbano para Lima y Callao - ATU, los contratos, adendas, convenios, documentos y formatos con las entidades financieras y otras entidades 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SEPARATA ESPECIAL  Proposiciones Legislativas N° 00002-2026-2031-CR, N° 00003-2026-2031-CR y N° 00004-2026-2031-CR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CONGRESO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Proposición Legislativa de Presupuesto del Sector Público para el Año Fiscal 2027 - Proposición Legislativa de Equilibrio Financiero del Presupuesto del Sector Público para el Año Fiscal 2027 - Proposición Legislativa de Endeudamiento del Sector Público para el Año Fiscal 2027</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2">
              <w:r>
                <w:rPr>
                  <w:rFonts w:ascii="Arial" w:hAnsi="Arial" w:eastAsia="Arial" w:cs="Arial"/>
                  <w:color w:val="0B5CAD"/>
                  <w:sz w:val="17"/>
                  <w:u w:val="single"/>
                </w:rPr>
                <w:t xml:space="preserve">El Peruano</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DECRETO SUPREMO  N° 173-2026-EF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un gobierno regional y de diversos gobiernos locales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16 200 000,00 (DIECISÉIS MILLONES DOSCIENTOS MIL Y 00/100 SOLES), por la fuente de financiamiento Recursos Ordinarios, a favor de ciento cincuenta y siete (157) gobiernos locales y un (01) gobierno regional, para financiar ciento cincuenta y ocho (158) intervenciones priorizadas en el Acta Nº 57 de la Comisión Multisectorial del Fondo para intervenciones ante la ocurrencia de desastres naturales (FONDES), con cargo a los recursos del presupuesto institucional del Instituto Nacional de Defensa Civil (INDECI), en el marco de lo dispuesto en…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359 257 869,00 · S/ 16 200 000,00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DECRETO SUPREMO  N° 174-2026-EF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locales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7 169 994,00 (SIETE MILLONES CIENTO SESENTA Y NUEVE MIL NOVECIENTOS NOVENTA Y CUATRO Y 00/100 SOLES), por la fuente de financiamiento Recursos Ordinarios, con cargo a los recursos del presupuesto institucional del Ministerio de Vivienda, Construcción y Saneamiento, a favor de novecientos cuarenta y cuatro (944) gobiernos locales, para financiar la adquisición de insumos de cloración (hipoclorito de calcio y reactivos DPD) para trece mil setecientos noventa y cuatro (13 794) Sistemas de Agua Potable (SAP) de los departamentos de Amazonas,…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7 169 994,00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5.  DECRETO SUPREMO  N° 175-2026-EF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regionales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876 000,00 (OCHOCIENTOS SETENTA Y SEIS MIL Y 00/100 SOLES) , a favor de diversos gobiernos regionales, para financiar la sostenibilidad del pago de la bonificación económica por otorgamiento correspondiente a los condecorados con las Palmas Magisteriales hasta el año 2024, en el marco del literal f) del numeral 82.1 del artículo 82 de la Ley Nº 32513, Ley de Presupuesto del Sector Público para el Año Fiscal 2026, con cargo a los recursos del presupuesto institucional del Ministerio de Educación, de acuerdo con el siguiente detalle: DE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587 272 027,00 · S/ 876 000,00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6.  DECRETO SUPREMO  N° 012-2026-TR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TRABAJO Y PROMOCIÓN DEL EMPLEO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aprueba la transferencia financiera del aporte total del Programa Llamkasun Perú a favor de la Municipalidad Distrital de Villa El Salvador en virtud del Convenio de Ejecución de Actividad de Intervención Inmediata (AII-93) y en el marco del Decreto Supremo N° 117-2026-PCM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Autorizar la transferencia financiera del Programa de Empleo Temporal “Llamkasun Perú” a favor de la Municipalidad Distrital de Villa El Salvador, con quien se ha suscrito un (01) convenio con el objeto de financiar la ejecución de una actividad de intervención inmediata (AII-93), en el marco del Decreto Supremo Nº117-2026-PCM, Decreto Supremo que declara el Estado de Emergencia en los distritos de Villa El Salvador y de Villa María del Triunfo de la provincia y departamento de Lima, por impacto de daños a consecuencia de aniegos por lloviznas persistentes; por el importe total de S/ 147 418,00 (Ciento Cuarenta y Siete Mil Cuatrocientos Dieciocho y 00/100 Soles),…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147 418,00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2.3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7.  ACUERDO  N° 000394-2026-GR.LAMB/CR [516097481 - 87]</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LAMBAYEQUE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la Actualización del Informe Multianual de Inversiones en Asociaciones Público Privadas (IMIAPP) 2026 - 2028 del Gobierno Regional Lambayeque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Actualización del Informe Multianual de Inversiones en Asociaciones Público Privadas (IMIAPP) 2026 - 2028 del Gobierno Regional Lambayeque, el mismo que en detalle se encuentran en los informes técnicos que obran en el expediente con registro SISGEDO 516097481. Artículo Segundo.- REMITIR copia del presente Acuerdo Regional y sus anexos que forman parte del presente a la Dirección General de Política de Promoción de la Inversión Privada del Ministerio de Economía y Finanzas dentro del plazo de cinco (5) días hábiles posteriores a la aprobación del presente acuerdo. Artículo Tercero.- NOTIFICAR al Gobernador Regional Lambayeque, Gerencia General Regional y a las…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7">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8.  RESOLUCIÓN MINISTERIAL N° 359-2026-VIVIENDA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VIVIENDA, CONSTRUCCIÓN Y SANEAMIENTO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Disposiciones sectoriales para el Servicio de Implementación Integral de Módulos Temporales de Vivienda mediante el mecanismo de Obras por Impuestos en el marco del Decreto de Urgencia N° 009-2026 Decreto de Urgencia que dicta medidas extraordinarias y temporales para la ejecución de intervenciones de mejoramiento de viviendas rurales y Obras por Impuestos a consecuencia del sismo ocurrido en diversos distritos de las provincias de Chupaca y Huancayo en el departamento de Junín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Aprobar las “Disposiciones sectoriales para el Servicio de Implementación Integral de Módulos Temporales de Vivienda mediante el mecanismo de Obras por Impuestos, en el marco del Decreto de Urgencia N° 009-2026, Decreto de Urgencia que dicta medidas extraordinarias y temporales para la ejecución de intervenciones de mejoramiento de viviendas rurales y Obras por Impuestos, a consecuencia del sismo ocurrido en diversos distritos de las provincias de Chupaca y Huancayo en el departamento de Junín”, que como Anexo forman parte integrante de la presente Resolución Ministerial. Artículo 2.- Ámbito de aplicación Las disposiciones aprobadas en el artículo precedente son…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8">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2">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33">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1023-1" TargetMode="External"/><Relationship Id="rId12" Type="http://schemas.openxmlformats.org/officeDocument/2006/relationships/hyperlink" Target="https://epdoc2.elperuano.pe/EpPo/VistaNLSE.asp?Referencias=MjU1MDYyNS0xMjAyNjA5MDQ=" TargetMode="External"/><Relationship Id="rId13" Type="http://schemas.openxmlformats.org/officeDocument/2006/relationships/hyperlink" Target="https://busquedas.elperuano.pe/api/visor_html/2550846-1" TargetMode="External"/><Relationship Id="rId14" Type="http://schemas.openxmlformats.org/officeDocument/2006/relationships/hyperlink" Target="https://busquedas.elperuano.pe/api/visor_html/2550846-2" TargetMode="External"/><Relationship Id="rId15" Type="http://schemas.openxmlformats.org/officeDocument/2006/relationships/hyperlink" Target="https://busquedas.elperuano.pe/api/visor_html/2550846-3" TargetMode="External"/><Relationship Id="rId16" Type="http://schemas.openxmlformats.org/officeDocument/2006/relationships/hyperlink" Target="https://busquedas.elperuano.pe/api/visor_html/2550846-4" TargetMode="External"/><Relationship Id="rId17" Type="http://schemas.openxmlformats.org/officeDocument/2006/relationships/hyperlink" Target="https://busquedas.elperuano.pe/api/visor_html/2550492-1" TargetMode="External"/><Relationship Id="rId18" Type="http://schemas.openxmlformats.org/officeDocument/2006/relationships/hyperlink" Target="https://busquedas.elperuano.pe/api/visor_html/2551219-1" TargetMode="External"/><Relationship Id="rId19" Type="http://schemas.openxmlformats.org/officeDocument/2006/relationships/hyperlink" Target="https://busquedas.elperuano.pe/dispositivo/EX/2551023-1" TargetMode="External"/><Relationship Id="rId20" Type="http://schemas.openxmlformats.org/officeDocument/2006/relationships/hyperlink" Target="https://busquedas.elperuano.pe/dispositivo/EX/2551023-1/pdf" TargetMode="External"/><Relationship Id="rId21" Type="http://schemas.openxmlformats.org/officeDocument/2006/relationships/hyperlink" Target="https://busquedas.elperuano.pe/dispositivo/NL/2550846-1" TargetMode="External"/><Relationship Id="rId22" Type="http://schemas.openxmlformats.org/officeDocument/2006/relationships/hyperlink" Target="https://busquedas.elperuano.pe/dispositivo/NL/2550846-1/pdf" TargetMode="External"/><Relationship Id="rId23" Type="http://schemas.openxmlformats.org/officeDocument/2006/relationships/hyperlink" Target="https://busquedas.elperuano.pe/dispositivo/NL/2550846-2" TargetMode="External"/><Relationship Id="rId24" Type="http://schemas.openxmlformats.org/officeDocument/2006/relationships/hyperlink" Target="https://busquedas.elperuano.pe/dispositivo/NL/2550846-2/pdf" TargetMode="External"/><Relationship Id="rId25" Type="http://schemas.openxmlformats.org/officeDocument/2006/relationships/hyperlink" Target="https://busquedas.elperuano.pe/dispositivo/NL/2550846-3" TargetMode="External"/><Relationship Id="rId26" Type="http://schemas.openxmlformats.org/officeDocument/2006/relationships/hyperlink" Target="https://busquedas.elperuano.pe/dispositivo/NL/2550846-3/pdf" TargetMode="External"/><Relationship Id="rId27" Type="http://schemas.openxmlformats.org/officeDocument/2006/relationships/hyperlink" Target="https://busquedas.elperuano.pe/dispositivo/NL/2550846-4" TargetMode="External"/><Relationship Id="rId28" Type="http://schemas.openxmlformats.org/officeDocument/2006/relationships/hyperlink" Target="https://busquedas.elperuano.pe/dispositivo/NL/2550846-4/pdf" TargetMode="External"/><Relationship Id="rId29" Type="http://schemas.openxmlformats.org/officeDocument/2006/relationships/hyperlink" Target="https://busquedas.elperuano.pe/dispositivo/NL/2550492-1" TargetMode="External"/><Relationship Id="rId30" Type="http://schemas.openxmlformats.org/officeDocument/2006/relationships/hyperlink" Target="https://busquedas.elperuano.pe/dispositivo/NL/2550492-1/pdf" TargetMode="External"/><Relationship Id="rId31" Type="http://schemas.openxmlformats.org/officeDocument/2006/relationships/hyperlink" Target="https://busquedas.elperuano.pe/dispositivo/EX/2551219-1" TargetMode="External"/><Relationship Id="rId32" Type="http://schemas.openxmlformats.org/officeDocument/2006/relationships/hyperlink" Target="https://busquedas.elperuano.pe/dispositivo/EX/2551219-1/pdf" TargetMode="External"/><Relationship Id="rId33"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