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Lunes 7 de septiembre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07/09/2026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26/10/2026 16:57</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31</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2</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31 normas publicadas en el periodo, 2 resultan de interés institucional: 1 sobre la ATU y el transporte urbano y 1 de normatividad presupuestal. El Cuadro 1 presenta la relación completa y la sección 2, el detalle de cada norma.</w:t>
      </w:r>
    </w:p>
    <w:tbl>
      <w:tblPr>
        <w:tblW w:type="auto" w:w="0"/>
        <w:tblLook w:firstColumn="1" w:firstRow="1" w:lastColumn="0" w:lastRow="0" w:noHBand="0" w:noVBand="1" w:val="04A0"/>
        <w:tblBorders>
          <w:top w:val="single" w:sz="4" w:space="0" w:color="F4C7C3"/>
          <w:left w:val="single" w:sz="4" w:space="0" w:color="F4C7C3"/>
          <w:bottom w:val="single" w:sz="4" w:space="0" w:color="F4C7C3"/>
          <w:right w:val="single" w:sz="4" w:space="0" w:color="F4C7C3"/>
        </w:tblBorders>
        <w:tblLayout w:type="fixed"/>
        <w:tblCellMar>
          <w:top w:w="50" w:type="dxa"/>
          <w:bottom w:w="50" w:type="dxa"/>
          <w:left w:w="100" w:type="dxa"/>
          <w:right w:w="100" w:type="dxa"/>
        </w:tblCellMar>
      </w:tblPr>
      <w:tblGrid>
        <w:gridCol w:w="9412"/>
      </w:tblGrid>
      <w:tr>
        <w:tc>
          <w:tcPr>
            <w:tcW w:type="dxa" w:w="9411"/>
            <w:shd w:val="clear" w:color="auto" w:fill="FDF3F2"/>
            <w:tcBorders>
              <w:left w:val="single" w:sz="24" w:space="0" w:color="B42318"/>
            </w:tcBorders>
          </w:tcPr>
          <w:p>
            <w:pPr>
              <w:spacing w:before="20" w:after="20" w:line="264" w:lineRule="auto"/>
            </w:pPr>
            <w:r>
              <w:rPr>
                <w:rFonts w:ascii="Arial" w:hAnsi="Arial" w:eastAsia="Arial"/>
                <w:b/>
                <w:i w:val="0"/>
                <w:color w:val="B42318"/>
                <w:sz w:val="18"/>
              </w:rPr>
              <w:t>ATENCIÓN: 1 norma involucra directamente a la ATU</w:t>
            </w:r>
          </w:p>
          <w:p>
            <w:pPr>
              <w:spacing w:before="0" w:after="20" w:line="264" w:lineRule="auto"/>
            </w:pPr>
            <w:r>
              <w:rPr>
                <w:rFonts w:ascii="Arial" w:hAnsi="Arial" w:eastAsia="Arial"/>
                <w:b w:val="0"/>
                <w:i w:val="0"/>
                <w:color w:val="B42318"/>
                <w:sz w:val="18"/>
              </w:rPr>
              <w:t xml:space="preserve">▪ </w:t>
            </w:r>
            <w:r>
              <w:rPr>
                <w:rFonts w:ascii="Arial" w:hAnsi="Arial" w:eastAsia="Arial"/>
                <w:b/>
                <w:i w:val="0"/>
                <w:sz w:val="18"/>
              </w:rPr>
              <w:t>RESOLUCIÓN  N° 208-2026-ATU/PE</w:t>
            </w:r>
            <w:r>
              <w:rPr>
                <w:rFonts w:ascii="Arial" w:hAnsi="Arial" w:eastAsia="Arial"/>
                <w:b w:val="0"/>
                <w:i w:val="0"/>
                <w:sz w:val="18"/>
              </w:rPr>
              <w:t xml:space="preserve"> (Autoridad de Transporte Urbano para Lima y Callao): Designan Jefe de la Unidad de Tecnologías de la Información de la Oficina de Administración</w:t>
            </w:r>
          </w:p>
        </w:tc>
      </w:tr>
    </w:tbl>
    <w:p>
      <w:pPr>
        <w:spacing w:before="0" w:after="80" w:line="276" w:lineRule="auto"/>
      </w:pP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2A78D6"/>
            </w:tcBorders>
          </w:tcPr>
          <w:p>
            <w:pPr>
              <w:spacing w:before="20" w:after="20" w:line="264" w:lineRule="auto"/>
            </w:pPr>
            <w:r>
              <w:rPr>
                <w:rFonts w:ascii="Arial" w:hAnsi="Arial" w:eastAsia="Arial"/>
                <w:b/>
                <w:i w:val="0"/>
                <w:color w:val="0A2F5C"/>
                <w:sz w:val="17"/>
              </w:rPr>
              <w:t>ATU Y TRANSPORTE URBANO  (1)</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RESOLUCIÓN  N° 208-2026-ATU/PE</w:t>
              </w:r>
            </w:hyperlink>
          </w:p>
          <w:p>
            <w:pPr>
              <w:spacing w:before="0" w:after="20" w:line="252" w:lineRule="auto"/>
            </w:pPr>
            <w:r>
              <w:rPr>
                <w:rFonts w:ascii="Arial" w:hAnsi="Arial" w:eastAsia="Arial"/>
                <w:b w:val="0"/>
                <w:i w:val="0"/>
                <w:color w:val="5B6880"/>
                <w:sz w:val="15"/>
              </w:rPr>
              <w:t>AUTORIDAD DE TRANSPORTE URBANO PARA LIMA Y CALLAO</w:t>
            </w:r>
          </w:p>
        </w:tc>
        <w:tc>
          <w:tcPr>
            <w:tcW w:type="dxa" w:w="4762"/>
          </w:tcPr>
          <w:p>
            <w:pPr>
              <w:spacing w:before="20" w:after="20" w:line="264" w:lineRule="auto"/>
            </w:pPr>
            <w:r>
              <w:rPr>
                <w:rFonts w:ascii="Arial" w:hAnsi="Arial" w:eastAsia="Arial"/>
                <w:b w:val="0"/>
                <w:i w:val="0"/>
                <w:sz w:val="17"/>
              </w:rPr>
              <w:t>Designan Jefe de la Unidad de Tecnologías de la Información de la Oficina de Administración</w:t>
            </w:r>
          </w:p>
        </w:tc>
        <w:tc>
          <w:tcPr>
            <w:tcW w:type="dxa" w:w="1247"/>
          </w:tcPr>
          <w:p>
            <w:pPr>
              <w:spacing w:before="20" w:after="20" w:line="264" w:lineRule="auto"/>
              <w:jc w:val="center"/>
            </w:pPr>
            <w:r>
              <w:rPr>
                <w:rFonts w:ascii="Arial" w:hAnsi="Arial" w:eastAsia="Arial"/>
                <w:b w:val="0"/>
                <w:i w:val="0"/>
                <w:sz w:val="17"/>
              </w:rPr>
              <w:t>07/09/2026</w:t>
            </w:r>
          </w:p>
        </w:tc>
      </w:tr>
      <w:tr>
        <w:trPr>
          <w:cantSplit/>
        </w:trPr>
        <w:tc>
          <w:tcPr>
            <w:tcW w:type="dxa" w:w="1247"/>
            <w:gridSpan w:val="4"/>
            <w:shd w:val="clear" w:color="auto" w:fill="F2F5FA"/>
            <w:tcBorders>
              <w:left w:val="single" w:sz="30" w:space="0" w:color="EB6834"/>
            </w:tcBorders>
          </w:tcPr>
          <w:p>
            <w:pPr>
              <w:spacing w:before="20" w:after="20" w:line="264" w:lineRule="auto"/>
            </w:pPr>
            <w:r>
              <w:rPr>
                <w:rFonts w:ascii="Arial" w:hAnsi="Arial" w:eastAsia="Arial"/>
                <w:b/>
                <w:i w:val="0"/>
                <w:color w:val="0A2F5C"/>
                <w:sz w:val="17"/>
              </w:rPr>
              <w:t>NORMATIVIDAD PRESUPUESTAL  (1)</w:t>
            </w:r>
          </w:p>
        </w:tc>
      </w:tr>
      <w:tr>
        <w:trPr>
          <w:cantSplit/>
        </w:trPr>
        <w:tc>
          <w:tcPr>
            <w:tcW w:type="dxa" w:w="567"/>
          </w:tcPr>
          <w:p>
            <w:pPr>
              <w:spacing w:before="20" w:after="20" w:line="264" w:lineRule="auto"/>
              <w:jc w:val="center"/>
            </w:pPr>
            <w:r>
              <w:rPr>
                <w:rFonts w:ascii="Arial" w:hAnsi="Arial" w:eastAsia="Arial"/>
                <w:b/>
                <w:i w:val="0"/>
                <w:color w:val="0A2F5C"/>
                <w:sz w:val="18"/>
              </w:rPr>
              <w:t>2</w:t>
            </w:r>
          </w:p>
        </w:tc>
        <w:tc>
          <w:tcPr>
            <w:tcW w:type="dxa" w:w="2835"/>
          </w:tcPr>
          <w:p>
            <w:pPr>
              <w:spacing w:before="20" w:after="20" w:line="264" w:lineRule="auto"/>
            </w:pPr>
            <w:hyperlink r:id="rId12">
              <w:r>
                <w:rPr>
                  <w:rFonts w:ascii="Arial" w:hAnsi="Arial" w:eastAsia="Arial" w:cs="Arial"/>
                  <w:b/>
                  <w:color w:val="0B5CAD"/>
                  <w:sz w:val="17"/>
                  <w:u w:val="single"/>
                </w:rPr>
                <w:t xml:space="preserve">RESOLUCIÓN MINISTERIAL  N° 523-2026-MINEDU</w:t>
              </w:r>
            </w:hyperlink>
          </w:p>
          <w:p>
            <w:pPr>
              <w:spacing w:before="0" w:after="20" w:line="252" w:lineRule="auto"/>
            </w:pPr>
            <w:r>
              <w:rPr>
                <w:rFonts w:ascii="Arial" w:hAnsi="Arial" w:eastAsia="Arial"/>
                <w:b w:val="0"/>
                <w:i w:val="0"/>
                <w:color w:val="5B6880"/>
                <w:sz w:val="15"/>
              </w:rPr>
              <w:t>EDUCACIÓN</w:t>
            </w:r>
          </w:p>
        </w:tc>
        <w:tc>
          <w:tcPr>
            <w:tcW w:type="dxa" w:w="4762"/>
          </w:tcPr>
          <w:p>
            <w:pPr>
              <w:spacing w:before="20" w:after="20" w:line="264" w:lineRule="auto"/>
            </w:pPr>
            <w:r>
              <w:rPr>
                <w:rFonts w:ascii="Arial" w:hAnsi="Arial" w:eastAsia="Arial"/>
                <w:b w:val="0"/>
                <w:i w:val="0"/>
                <w:sz w:val="17"/>
              </w:rPr>
              <w:t>Delegan temporalmente en la Unidad de Planificación y Presupuesto de la Oficina de Planificación Estratégica y Presupuesto el ejercicio de la función de otorgar la certificación del crédito presupuestario correspondiente a las Unidades Ejecutoras que se encuentren en el ámbito de competencia atribuida a la Oficina de Contabilidad y Control Previo de la Oficina General de Administración</w:t>
            </w:r>
          </w:p>
        </w:tc>
        <w:tc>
          <w:tcPr>
            <w:tcW w:type="dxa" w:w="1247"/>
          </w:tcPr>
          <w:p>
            <w:pPr>
              <w:spacing w:before="20" w:after="20" w:line="264" w:lineRule="auto"/>
              <w:jc w:val="center"/>
            </w:pPr>
            <w:r>
              <w:rPr>
                <w:rFonts w:ascii="Arial" w:hAnsi="Arial" w:eastAsia="Arial"/>
                <w:b w:val="0"/>
                <w:i w:val="0"/>
                <w:sz w:val="17"/>
              </w:rPr>
              <w:t>07/09/2026</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ATU y transporte urbano</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2A78D6"/>
            </w:tcBorders>
          </w:tcPr>
          <w:p>
            <w:pPr>
              <w:spacing w:before="20" w:after="20" w:line="264" w:lineRule="auto"/>
            </w:pPr>
            <w:r>
              <w:rPr>
                <w:rFonts w:ascii="Arial" w:hAnsi="Arial" w:eastAsia="Arial"/>
                <w:b/>
                <w:i w:val="0"/>
                <w:color w:val="0A2F5C"/>
                <w:sz w:val="19"/>
              </w:rPr>
              <w:t>1.  RESOLUCIÓN  N° 208-2026-ATU/PE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AUTORIDAD DE TRANSPORTE URBANO PARA LIMA Y CALLAO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07/09/2026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ATU y transporte urbano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Designan Jefe de la Unidad de Tecnologías de la Información de la Oficina de Administración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 Designar, a partir del 07 de setiembre de 2026, al señor RICHARD MANUEL FLORES CABELLO en el puesto de Jefe de la Unidad de Tecnologías de la Información de la Oficina de Administración, con Código AIRHSP N° 002847 de la Autoridad de Transporte Urbano para Lima y Callao - ATU. Artículo 2 .- Notificar la presente resolución al señor RICHARD MANUEL FLORES CABELLO y a la Oficina de Gestión de Recursos Humanos, para los fines pertinentes. Artículo 3 .- Disponer la publicación de la presente resolución en el Diario Oficial “El Peruano” y en la sede digital de la Autoridad de Transporte Urbano para Lima y Callao - ATU ( https://www.gob.pe/atu ). Regístrese, comuníquese y publíquese.…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3">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4">
              <w:r>
                <w:rPr>
                  <w:rFonts w:ascii="Arial" w:hAnsi="Arial" w:eastAsia="Arial" w:cs="Arial"/>
                  <w:color w:val="0B5CAD"/>
                  <w:sz w:val="17"/>
                  <w:u w:val="single"/>
                </w:rPr>
                <w:t xml:space="preserve">PDF</w:t>
              </w:r>
            </w:hyperlink>
          </w:p>
        </w:tc>
      </w:tr>
    </w:tbl>
    <w:p>
      <w:pPr>
        <w:spacing w:before="0" w:after="120" w:line="276" w:lineRule="auto"/>
      </w:pPr>
    </w:p>
    <w:p>
      <w:pPr>
        <w:keepNext/>
        <w:spacing w:before="160" w:after="80" w:line="276" w:lineRule="auto"/>
      </w:pPr>
      <w:r>
        <w:rPr>
          <w:rFonts w:ascii="Arial" w:hAnsi="Arial" w:eastAsia="Arial"/>
          <w:b/>
          <w:i w:val="0"/>
          <w:color w:val="0B5CAD"/>
          <w:sz w:val="21"/>
        </w:rPr>
        <w:t>2.2  Normatividad presupuestal</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2.  RESOLUCIÓN MINISTERIAL  N° 523-2026-MINEDU</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EDUCACIÓN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07/09/2026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Delegan temporalmente en la Unidad de Planificación y Presupuesto de la Oficina de Planificación Estratégica y Presupuesto el ejercicio de la función de otorgar la certificación del crédito presupuestario correspondiente a las Unidades Ejecutoras que se encuentren en el ámbito de competencia atribuida a la Oficina de Contabilidad y Control Previo de la Oficina General de Administración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Delegación temporal del ejercicio de la función de otorgar la certificación del crédito presupuestario 1.1 Delegar temporalmente en la Unidad de Planificación y Presupuesto de la Oficina de Planificación Estratégica y Presupuesto el ejercicio de la función de otorgar la certificación del crédito presupuestario correspondiente a las Unidades Ejecutoras que se encuentren en el ámbito de competencia atribuida a la Oficina de Contabilidad y Control Previo de la Oficina General de Administración conforme al literal d) del artículo 76 del Reglamento de Organización y Funciones del Ministerio de Educación, aprobado mediante Decreto Supremo N° 001-2015-MINEDU. 1.2 La delegación no…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5">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6">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17">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51454-1" TargetMode="External"/><Relationship Id="rId12" Type="http://schemas.openxmlformats.org/officeDocument/2006/relationships/hyperlink" Target="https://busquedas.elperuano.pe/api/visor_html/2551006-1" TargetMode="External"/><Relationship Id="rId13" Type="http://schemas.openxmlformats.org/officeDocument/2006/relationships/hyperlink" Target="https://busquedas.elperuano.pe/dispositivo/NL/2551454-1" TargetMode="External"/><Relationship Id="rId14" Type="http://schemas.openxmlformats.org/officeDocument/2006/relationships/hyperlink" Target="https://busquedas.elperuano.pe/dispositivo/NL/2551454-1/pdf" TargetMode="External"/><Relationship Id="rId15" Type="http://schemas.openxmlformats.org/officeDocument/2006/relationships/hyperlink" Target="https://busquedas.elperuano.pe/dispositivo/NL/2551006-1" TargetMode="External"/><Relationship Id="rId16" Type="http://schemas.openxmlformats.org/officeDocument/2006/relationships/hyperlink" Target="https://busquedas.elperuano.pe/dispositivo/NL/2551006-1/pdf" TargetMode="External"/><Relationship Id="rId17"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