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eastAsia="Arial"/>
          <w:b/>
          <w:i w:val="0"/>
          <w:color w:val="0A2F5C"/>
          <w:sz w:val="36"/>
        </w:rPr>
        <w:t>RESUMEN DE NORMAS LEGALES</w:t>
      </w:r>
    </w:p>
    <w:p>
      <w:pPr>
        <w:spacing w:before="0" w:after="40" w:line="276" w:lineRule="auto"/>
        <w:jc w:val="center"/>
      </w:pPr>
      <w:r>
        <w:rPr>
          <w:rFonts w:ascii="Arial" w:hAnsi="Arial" w:eastAsia="Arial"/>
          <w:b w:val="0"/>
          <w:i w:val="0"/>
          <w:color w:val="5B6880"/>
          <w:sz w:val="21"/>
        </w:rPr>
        <w:t>Diario Oficial El Peruano · Viernes 11 de septiembre de 2026</w:t>
      </w:r>
    </w:p>
    <w:p>
      <w:pPr>
        <w:spacing w:before="0" w:after="200" w:line="276" w:lineRule="auto"/>
        <w:pBdr>
          <w:bottom w:val="single" w:sz="18" w:space="1" w:color="0A2F5C"/>
        </w:pBdr>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c>
          <w:tcPr>
            <w:tcW w:type="dxa" w:w="2041"/>
            <w:shd w:val="clear" w:color="auto" w:fill="F2F5FA"/>
          </w:tcPr>
          <w:p>
            <w:pPr>
              <w:spacing w:before="20" w:after="20" w:line="264" w:lineRule="auto"/>
            </w:pPr>
            <w:r>
              <w:rPr>
                <w:rFonts w:ascii="Arial" w:hAnsi="Arial" w:eastAsia="Arial"/>
                <w:b/>
                <w:i w:val="0"/>
                <w:color w:val="0A2F5C"/>
                <w:sz w:val="17"/>
              </w:rPr>
              <w:t>Periodo revisado</w:t>
            </w:r>
          </w:p>
        </w:tc>
        <w:tc>
          <w:tcPr>
            <w:tcW w:type="dxa" w:w="2665"/>
          </w:tcPr>
          <w:p>
            <w:pPr>
              <w:spacing w:before="20" w:after="20" w:line="264" w:lineRule="auto"/>
            </w:pPr>
            <w:r>
              <w:rPr>
                <w:rFonts w:ascii="Arial" w:hAnsi="Arial" w:eastAsia="Arial"/>
                <w:b w:val="0"/>
                <w:i w:val="0"/>
                <w:sz w:val="19"/>
              </w:rPr>
              <w:t>11/09/2026</w:t>
            </w:r>
          </w:p>
        </w:tc>
        <w:tc>
          <w:tcPr>
            <w:tcW w:type="dxa" w:w="2041"/>
            <w:shd w:val="clear" w:color="auto" w:fill="F2F5FA"/>
          </w:tcPr>
          <w:p>
            <w:pPr>
              <w:spacing w:before="20" w:after="20" w:line="264" w:lineRule="auto"/>
            </w:pPr>
            <w:r>
              <w:rPr>
                <w:rFonts w:ascii="Arial" w:hAnsi="Arial" w:eastAsia="Arial"/>
                <w:b/>
                <w:i w:val="0"/>
                <w:color w:val="0A2F5C"/>
                <w:sz w:val="17"/>
              </w:rPr>
              <w:t>Fecha de elaboración</w:t>
            </w:r>
          </w:p>
        </w:tc>
        <w:tc>
          <w:tcPr>
            <w:tcW w:type="dxa" w:w="2665"/>
          </w:tcPr>
          <w:p>
            <w:pPr>
              <w:spacing w:before="20" w:after="20" w:line="264" w:lineRule="auto"/>
            </w:pPr>
            <w:r>
              <w:rPr>
                <w:rFonts w:ascii="Arial" w:hAnsi="Arial" w:eastAsia="Arial"/>
                <w:b w:val="0"/>
                <w:i w:val="0"/>
                <w:sz w:val="19"/>
              </w:rPr>
              <w:t>26/10/2026 16:59</w:t>
            </w:r>
          </w:p>
        </w:tc>
      </w:tr>
      <w:tr>
        <w:tc>
          <w:tcPr>
            <w:tcW w:type="dxa" w:w="2041"/>
            <w:shd w:val="clear" w:color="auto" w:fill="F2F5FA"/>
          </w:tcPr>
          <w:p>
            <w:pPr>
              <w:spacing w:before="20" w:after="20" w:line="264" w:lineRule="auto"/>
            </w:pPr>
            <w:r>
              <w:rPr>
                <w:rFonts w:ascii="Arial" w:hAnsi="Arial" w:eastAsia="Arial"/>
                <w:b/>
                <w:i w:val="0"/>
                <w:color w:val="0A2F5C"/>
                <w:sz w:val="17"/>
              </w:rPr>
              <w:t>Normas publicadas</w:t>
            </w:r>
          </w:p>
        </w:tc>
        <w:tc>
          <w:tcPr>
            <w:tcW w:type="dxa" w:w="2665"/>
          </w:tcPr>
          <w:p>
            <w:pPr>
              <w:spacing w:before="20" w:after="20" w:line="264" w:lineRule="auto"/>
            </w:pPr>
            <w:r>
              <w:rPr>
                <w:rFonts w:ascii="Arial" w:hAnsi="Arial" w:eastAsia="Arial"/>
                <w:b w:val="0"/>
                <w:i w:val="0"/>
                <w:sz w:val="19"/>
              </w:rPr>
              <w:t>133</w:t>
            </w:r>
          </w:p>
        </w:tc>
        <w:tc>
          <w:tcPr>
            <w:tcW w:type="dxa" w:w="2041"/>
            <w:shd w:val="clear" w:color="auto" w:fill="F2F5FA"/>
          </w:tcPr>
          <w:p>
            <w:pPr>
              <w:spacing w:before="20" w:after="20" w:line="264" w:lineRule="auto"/>
            </w:pPr>
            <w:r>
              <w:rPr>
                <w:rFonts w:ascii="Arial" w:hAnsi="Arial" w:eastAsia="Arial"/>
                <w:b/>
                <w:i w:val="0"/>
                <w:color w:val="0A2F5C"/>
                <w:sz w:val="17"/>
              </w:rPr>
              <w:t>Normas de interés</w:t>
            </w:r>
          </w:p>
        </w:tc>
        <w:tc>
          <w:tcPr>
            <w:tcW w:type="dxa" w:w="2665"/>
          </w:tcPr>
          <w:p>
            <w:pPr>
              <w:spacing w:before="20" w:after="20" w:line="264" w:lineRule="auto"/>
            </w:pPr>
            <w:r>
              <w:rPr>
                <w:rFonts w:ascii="Arial" w:hAnsi="Arial" w:eastAsia="Arial"/>
                <w:b/>
                <w:i w:val="0"/>
                <w:color w:val="0A2F5C"/>
                <w:sz w:val="19"/>
              </w:rPr>
              <w:t>4</w:t>
            </w:r>
          </w:p>
        </w:tc>
      </w:tr>
    </w:tbl>
    <w:p>
      <w:pPr>
        <w:spacing w:before="280" w:after="120" w:line="276" w:lineRule="auto"/>
        <w:keepNext/>
        <w:pBdr>
          <w:bottom w:val="single" w:sz="6" w:space="2" w:color="C9D2DF"/>
        </w:pBdr>
      </w:pPr>
      <w:r>
        <w:rPr>
          <w:rFonts w:ascii="Arial" w:hAnsi="Arial" w:eastAsia="Arial"/>
          <w:b/>
          <w:i w:val="0"/>
          <w:color w:val="0A2F5C"/>
          <w:sz w:val="22"/>
        </w:rPr>
        <w:t>1. RESUMEN EJECUTIVO</w:t>
      </w:r>
    </w:p>
    <w:p>
      <w:pPr>
        <w:spacing w:before="0" w:after="160" w:line="276" w:lineRule="auto"/>
        <w:jc w:val="both"/>
      </w:pPr>
      <w:r>
        <w:rPr>
          <w:rFonts w:ascii="Arial" w:hAnsi="Arial" w:eastAsia="Arial"/>
          <w:b w:val="0"/>
          <w:i w:val="0"/>
          <w:sz w:val="20"/>
        </w:rPr>
        <w:t>De las 133 normas publicadas en el periodo, 4 resultan de interés institucional: 2 de normatividad presupuestal y 2 de inversiones. No se identificaron normas que involucren a la ATU. El Cuadro 1 presenta la relación completa y la sección 2, el detalle de cada norma.</w:t>
      </w:r>
    </w:p>
    <w:p>
      <w:pPr>
        <w:keepNext/>
        <w:spacing w:before="80" w:after="60" w:line="276" w:lineRule="auto"/>
      </w:pPr>
      <w:r>
        <w:rPr>
          <w:rFonts w:ascii="Arial" w:hAnsi="Arial" w:eastAsia="Arial"/>
          <w:b/>
          <w:i w:val="0"/>
          <w:color w:val="0A2F5C"/>
          <w:sz w:val="18"/>
        </w:rPr>
        <w:t>Cuadro 1. Normas de interés identificadas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rPr>
          <w:cantSplit/>
          <w:tblHeader/>
        </w:trPr>
        <w:tc>
          <w:tcPr>
            <w:tcW w:type="dxa" w:w="567"/>
            <w:shd w:val="clear" w:color="auto" w:fill="0A2F5C"/>
          </w:tcPr>
          <w:p>
            <w:pPr>
              <w:spacing w:before="20" w:after="20" w:line="264" w:lineRule="auto"/>
              <w:jc w:val="center"/>
            </w:pPr>
            <w:r>
              <w:rPr>
                <w:rFonts w:ascii="Arial" w:hAnsi="Arial" w:eastAsia="Arial"/>
                <w:b/>
                <w:i w:val="0"/>
                <w:color w:val="FFFFFF"/>
                <w:sz w:val="17"/>
              </w:rPr>
              <w:t>N.°</w:t>
            </w:r>
          </w:p>
        </w:tc>
        <w:tc>
          <w:tcPr>
            <w:tcW w:type="dxa" w:w="2835"/>
            <w:shd w:val="clear" w:color="auto" w:fill="0A2F5C"/>
          </w:tcPr>
          <w:p>
            <w:pPr>
              <w:spacing w:before="20" w:after="20" w:line="264" w:lineRule="auto"/>
              <w:jc w:val="center"/>
            </w:pPr>
            <w:r>
              <w:rPr>
                <w:rFonts w:ascii="Arial" w:hAnsi="Arial" w:eastAsia="Arial"/>
                <w:b/>
                <w:i w:val="0"/>
                <w:color w:val="FFFFFF"/>
                <w:sz w:val="17"/>
              </w:rPr>
              <w:t>Norma y entidad emisora</w:t>
            </w:r>
          </w:p>
        </w:tc>
        <w:tc>
          <w:tcPr>
            <w:tcW w:type="dxa" w:w="4762"/>
            <w:shd w:val="clear" w:color="auto" w:fill="0A2F5C"/>
          </w:tcPr>
          <w:p>
            <w:pPr>
              <w:spacing w:before="20" w:after="20" w:line="264" w:lineRule="auto"/>
              <w:jc w:val="center"/>
            </w:pPr>
            <w:r>
              <w:rPr>
                <w:rFonts w:ascii="Arial" w:hAnsi="Arial" w:eastAsia="Arial"/>
                <w:b/>
                <w:i w:val="0"/>
                <w:color w:val="FFFFFF"/>
                <w:sz w:val="17"/>
              </w:rPr>
              <w:t>Sumilla</w:t>
            </w:r>
          </w:p>
        </w:tc>
        <w:tc>
          <w:tcPr>
            <w:tcW w:type="dxa" w:w="1247"/>
            <w:shd w:val="clear" w:color="auto" w:fill="0A2F5C"/>
          </w:tcPr>
          <w:p>
            <w:pPr>
              <w:spacing w:before="20" w:after="20" w:line="264" w:lineRule="auto"/>
              <w:jc w:val="center"/>
            </w:pPr>
            <w:r>
              <w:rPr>
                <w:rFonts w:ascii="Arial" w:hAnsi="Arial" w:eastAsia="Arial"/>
                <w:b/>
                <w:i w:val="0"/>
                <w:color w:val="FFFFFF"/>
                <w:sz w:val="17"/>
              </w:rPr>
              <w:t>Publicación</w:t>
            </w:r>
          </w:p>
        </w:tc>
      </w:tr>
      <w:tr>
        <w:trPr>
          <w:cantSplit/>
        </w:trPr>
        <w:tc>
          <w:tcPr>
            <w:tcW w:type="dxa" w:w="1247"/>
            <w:gridSpan w:val="4"/>
            <w:shd w:val="clear" w:color="auto" w:fill="F2F5FA"/>
            <w:tcBorders>
              <w:left w:val="single" w:sz="30" w:space="0" w:color="EB6834"/>
            </w:tcBorders>
          </w:tcPr>
          <w:p>
            <w:pPr>
              <w:spacing w:before="20" w:after="20" w:line="264" w:lineRule="auto"/>
            </w:pPr>
            <w:r>
              <w:rPr>
                <w:rFonts w:ascii="Arial" w:hAnsi="Arial" w:eastAsia="Arial"/>
                <w:b/>
                <w:i w:val="0"/>
                <w:color w:val="0A2F5C"/>
                <w:sz w:val="17"/>
              </w:rPr>
              <w:t>NORMATIVIDAD PRESUPUESTAL  (2)</w:t>
            </w:r>
          </w:p>
        </w:tc>
      </w:tr>
      <w:tr>
        <w:trPr>
          <w:cantSplit/>
        </w:trPr>
        <w:tc>
          <w:tcPr>
            <w:tcW w:type="dxa" w:w="567"/>
          </w:tcPr>
          <w:p>
            <w:pPr>
              <w:spacing w:before="20" w:after="20" w:line="264" w:lineRule="auto"/>
              <w:jc w:val="center"/>
            </w:pPr>
            <w:r>
              <w:rPr>
                <w:rFonts w:ascii="Arial" w:hAnsi="Arial" w:eastAsia="Arial"/>
                <w:b/>
                <w:i w:val="0"/>
                <w:color w:val="0A2F5C"/>
                <w:sz w:val="18"/>
              </w:rPr>
              <w:t>1</w:t>
            </w:r>
          </w:p>
        </w:tc>
        <w:tc>
          <w:tcPr>
            <w:tcW w:type="dxa" w:w="2835"/>
          </w:tcPr>
          <w:p>
            <w:pPr>
              <w:spacing w:before="20" w:after="20" w:line="264" w:lineRule="auto"/>
            </w:pPr>
            <w:hyperlink r:id="rId11">
              <w:r>
                <w:rPr>
                  <w:rFonts w:ascii="Arial" w:hAnsi="Arial" w:eastAsia="Arial" w:cs="Arial"/>
                  <w:b/>
                  <w:color w:val="0B5CAD"/>
                  <w:sz w:val="17"/>
                  <w:u w:val="single"/>
                </w:rPr>
                <w:t xml:space="preserve">RESOLUCIÓN ADMINISTRATIVA  N° 000224-2026-P-PJ</w:t>
              </w:r>
            </w:hyperlink>
          </w:p>
          <w:p>
            <w:pPr>
              <w:spacing w:before="0" w:after="20" w:line="252" w:lineRule="auto"/>
            </w:pPr>
            <w:r>
              <w:rPr>
                <w:rFonts w:ascii="Arial" w:hAnsi="Arial" w:eastAsia="Arial"/>
                <w:b w:val="0"/>
                <w:i w:val="0"/>
                <w:color w:val="5B6880"/>
                <w:sz w:val="15"/>
              </w:rPr>
              <w:t>CORTE SUPREMA DE JUSTICIA</w:t>
            </w:r>
          </w:p>
        </w:tc>
        <w:tc>
          <w:tcPr>
            <w:tcW w:type="dxa" w:w="4762"/>
          </w:tcPr>
          <w:p>
            <w:pPr>
              <w:spacing w:before="20" w:after="20" w:line="264" w:lineRule="auto"/>
            </w:pPr>
            <w:r>
              <w:rPr>
                <w:rFonts w:ascii="Arial" w:hAnsi="Arial" w:eastAsia="Arial"/>
                <w:b w:val="0"/>
                <w:i w:val="0"/>
                <w:sz w:val="17"/>
              </w:rPr>
              <w:t>Autorizan Transferencia Financiera del Poder Judicial a favor de la Contraloría General de la República</w:t>
            </w:r>
          </w:p>
        </w:tc>
        <w:tc>
          <w:tcPr>
            <w:tcW w:type="dxa" w:w="1247"/>
          </w:tcPr>
          <w:p>
            <w:pPr>
              <w:spacing w:before="20" w:after="20" w:line="264" w:lineRule="auto"/>
              <w:jc w:val="center"/>
            </w:pPr>
            <w:r>
              <w:rPr>
                <w:rFonts w:ascii="Arial" w:hAnsi="Arial" w:eastAsia="Arial"/>
                <w:b w:val="0"/>
                <w:i w:val="0"/>
                <w:sz w:val="17"/>
              </w:rPr>
              <w:t>11/09/2026</w:t>
            </w:r>
          </w:p>
        </w:tc>
      </w:tr>
      <w:tr>
        <w:trPr>
          <w:cantSplit/>
        </w:trPr>
        <w:tc>
          <w:tcPr>
            <w:tcW w:type="dxa" w:w="567"/>
          </w:tcPr>
          <w:p>
            <w:pPr>
              <w:spacing w:before="20" w:after="20" w:line="264" w:lineRule="auto"/>
              <w:jc w:val="center"/>
            </w:pPr>
            <w:r>
              <w:rPr>
                <w:rFonts w:ascii="Arial" w:hAnsi="Arial" w:eastAsia="Arial"/>
                <w:b/>
                <w:i w:val="0"/>
                <w:color w:val="0A2F5C"/>
                <w:sz w:val="18"/>
              </w:rPr>
              <w:t>2</w:t>
            </w:r>
          </w:p>
        </w:tc>
        <w:tc>
          <w:tcPr>
            <w:tcW w:type="dxa" w:w="2835"/>
          </w:tcPr>
          <w:p>
            <w:pPr>
              <w:spacing w:before="20" w:after="20" w:line="264" w:lineRule="auto"/>
            </w:pPr>
            <w:hyperlink r:id="rId12">
              <w:r>
                <w:rPr>
                  <w:rFonts w:ascii="Arial" w:hAnsi="Arial" w:eastAsia="Arial" w:cs="Arial"/>
                  <w:b/>
                  <w:color w:val="0B5CAD"/>
                  <w:sz w:val="17"/>
                  <w:u w:val="single"/>
                </w:rPr>
                <w:t xml:space="preserve">RESOLUCIÓN  N° 000118-2026-OTASS-PE</w:t>
              </w:r>
            </w:hyperlink>
          </w:p>
          <w:p>
            <w:pPr>
              <w:spacing w:before="0" w:after="20" w:line="252" w:lineRule="auto"/>
            </w:pPr>
            <w:r>
              <w:rPr>
                <w:rFonts w:ascii="Arial" w:hAnsi="Arial" w:eastAsia="Arial"/>
                <w:b w:val="0"/>
                <w:i w:val="0"/>
                <w:color w:val="5B6880"/>
                <w:sz w:val="15"/>
              </w:rPr>
              <w:t>ORGANISMO TÉCNICO DE LA ADMINISTRACIÓN DE LOS SERVICIOS DE SANEAMIENTO</w:t>
            </w:r>
          </w:p>
        </w:tc>
        <w:tc>
          <w:tcPr>
            <w:tcW w:type="dxa" w:w="4762"/>
          </w:tcPr>
          <w:p>
            <w:pPr>
              <w:spacing w:before="20" w:after="20" w:line="264" w:lineRule="auto"/>
            </w:pPr>
            <w:r>
              <w:rPr>
                <w:rFonts w:ascii="Arial" w:hAnsi="Arial" w:eastAsia="Arial"/>
                <w:b w:val="0"/>
                <w:i w:val="0"/>
                <w:sz w:val="17"/>
              </w:rPr>
              <w:t>Delegan facultades en diversos funcionarios del OTASS durante el ejercicio presupuestal 2026</w:t>
            </w:r>
          </w:p>
        </w:tc>
        <w:tc>
          <w:tcPr>
            <w:tcW w:type="dxa" w:w="1247"/>
          </w:tcPr>
          <w:p>
            <w:pPr>
              <w:spacing w:before="20" w:after="20" w:line="264" w:lineRule="auto"/>
              <w:jc w:val="center"/>
            </w:pPr>
            <w:r>
              <w:rPr>
                <w:rFonts w:ascii="Arial" w:hAnsi="Arial" w:eastAsia="Arial"/>
                <w:b w:val="0"/>
                <w:i w:val="0"/>
                <w:sz w:val="17"/>
              </w:rPr>
              <w:t>11/09/2026</w:t>
            </w:r>
          </w:p>
        </w:tc>
      </w:tr>
      <w:tr>
        <w:trPr>
          <w:cantSplit/>
        </w:trPr>
        <w:tc>
          <w:tcPr>
            <w:tcW w:type="dxa" w:w="1247"/>
            <w:gridSpan w:val="4"/>
            <w:shd w:val="clear" w:color="auto" w:fill="F2F5FA"/>
            <w:tcBorders>
              <w:left w:val="single" w:sz="30" w:space="0" w:color="1BAF7A"/>
            </w:tcBorders>
          </w:tcPr>
          <w:p>
            <w:pPr>
              <w:spacing w:before="20" w:after="20" w:line="264" w:lineRule="auto"/>
            </w:pPr>
            <w:r>
              <w:rPr>
                <w:rFonts w:ascii="Arial" w:hAnsi="Arial" w:eastAsia="Arial"/>
                <w:b/>
                <w:i w:val="0"/>
                <w:color w:val="0A2F5C"/>
                <w:sz w:val="17"/>
              </w:rPr>
              <w:t>INVERSIONES  (2)</w:t>
            </w:r>
          </w:p>
        </w:tc>
      </w:tr>
      <w:tr>
        <w:trPr>
          <w:cantSplit/>
        </w:trPr>
        <w:tc>
          <w:tcPr>
            <w:tcW w:type="dxa" w:w="567"/>
          </w:tcPr>
          <w:p>
            <w:pPr>
              <w:spacing w:before="20" w:after="20" w:line="264" w:lineRule="auto"/>
              <w:jc w:val="center"/>
            </w:pPr>
            <w:r>
              <w:rPr>
                <w:rFonts w:ascii="Arial" w:hAnsi="Arial" w:eastAsia="Arial"/>
                <w:b/>
                <w:i w:val="0"/>
                <w:color w:val="0A2F5C"/>
                <w:sz w:val="18"/>
              </w:rPr>
              <w:t>3</w:t>
            </w:r>
          </w:p>
        </w:tc>
        <w:tc>
          <w:tcPr>
            <w:tcW w:type="dxa" w:w="2835"/>
          </w:tcPr>
          <w:p>
            <w:pPr>
              <w:spacing w:before="20" w:after="20" w:line="264" w:lineRule="auto"/>
            </w:pPr>
            <w:hyperlink r:id="rId13">
              <w:r>
                <w:rPr>
                  <w:rFonts w:ascii="Arial" w:hAnsi="Arial" w:eastAsia="Arial" w:cs="Arial"/>
                  <w:b/>
                  <w:color w:val="0B5CAD"/>
                  <w:sz w:val="17"/>
                  <w:u w:val="single"/>
                </w:rPr>
                <w:t xml:space="preserve">RESOLUCIÓN MINISTERIAL  N° D000295-2026-MINAM</w:t>
              </w:r>
            </w:hyperlink>
          </w:p>
          <w:p>
            <w:pPr>
              <w:spacing w:before="0" w:after="20" w:line="252" w:lineRule="auto"/>
            </w:pPr>
            <w:r>
              <w:rPr>
                <w:rFonts w:ascii="Arial" w:hAnsi="Arial" w:eastAsia="Arial"/>
                <w:b w:val="0"/>
                <w:i w:val="0"/>
                <w:color w:val="5B6880"/>
                <w:sz w:val="15"/>
              </w:rPr>
              <w:t>AMBIENTE</w:t>
            </w:r>
          </w:p>
        </w:tc>
        <w:tc>
          <w:tcPr>
            <w:tcW w:type="dxa" w:w="4762"/>
          </w:tcPr>
          <w:p>
            <w:pPr>
              <w:spacing w:before="20" w:after="20" w:line="264" w:lineRule="auto"/>
            </w:pPr>
            <w:r>
              <w:rPr>
                <w:rFonts w:ascii="Arial" w:hAnsi="Arial" w:eastAsia="Arial"/>
                <w:b w:val="0"/>
                <w:i w:val="0"/>
                <w:sz w:val="17"/>
              </w:rPr>
              <w:t>Aprueban Relación de Servicios del Sector Ambiente susceptibles de ser ejecutados bajo el régimen excepcional del mecanismo de Obras por Impuestos y sus contenidos mínimos</w:t>
            </w:r>
          </w:p>
        </w:tc>
        <w:tc>
          <w:tcPr>
            <w:tcW w:type="dxa" w:w="1247"/>
          </w:tcPr>
          <w:p>
            <w:pPr>
              <w:spacing w:before="20" w:after="20" w:line="264" w:lineRule="auto"/>
              <w:jc w:val="center"/>
            </w:pPr>
            <w:r>
              <w:rPr>
                <w:rFonts w:ascii="Arial" w:hAnsi="Arial" w:eastAsia="Arial"/>
                <w:b w:val="0"/>
                <w:i w:val="0"/>
                <w:sz w:val="17"/>
              </w:rPr>
              <w:t>11/09/2026</w:t>
            </w:r>
          </w:p>
        </w:tc>
      </w:tr>
      <w:tr>
        <w:trPr>
          <w:cantSplit/>
        </w:trPr>
        <w:tc>
          <w:tcPr>
            <w:tcW w:type="dxa" w:w="567"/>
          </w:tcPr>
          <w:p>
            <w:pPr>
              <w:spacing w:before="20" w:after="20" w:line="264" w:lineRule="auto"/>
              <w:jc w:val="center"/>
            </w:pPr>
            <w:r>
              <w:rPr>
                <w:rFonts w:ascii="Arial" w:hAnsi="Arial" w:eastAsia="Arial"/>
                <w:b/>
                <w:i w:val="0"/>
                <w:color w:val="0A2F5C"/>
                <w:sz w:val="18"/>
              </w:rPr>
              <w:t>4</w:t>
            </w:r>
          </w:p>
        </w:tc>
        <w:tc>
          <w:tcPr>
            <w:tcW w:type="dxa" w:w="2835"/>
          </w:tcPr>
          <w:p>
            <w:pPr>
              <w:spacing w:before="20" w:after="20" w:line="264" w:lineRule="auto"/>
            </w:pPr>
            <w:hyperlink r:id="rId14">
              <w:r>
                <w:rPr>
                  <w:rFonts w:ascii="Arial" w:hAnsi="Arial" w:eastAsia="Arial" w:cs="Arial"/>
                  <w:b/>
                  <w:color w:val="0B5CAD"/>
                  <w:sz w:val="17"/>
                  <w:u w:val="single"/>
                </w:rPr>
                <w:t xml:space="preserve">RESOLUCIÓN MINISTERIAL  N° 00319-2026-PRODUCE</w:t>
              </w:r>
            </w:hyperlink>
          </w:p>
          <w:p>
            <w:pPr>
              <w:spacing w:before="0" w:after="20" w:line="252" w:lineRule="auto"/>
            </w:pPr>
            <w:r>
              <w:rPr>
                <w:rFonts w:ascii="Arial" w:hAnsi="Arial" w:eastAsia="Arial"/>
                <w:b w:val="0"/>
                <w:i w:val="0"/>
                <w:color w:val="5B6880"/>
                <w:sz w:val="15"/>
              </w:rPr>
              <w:t>PRODUCE</w:t>
            </w:r>
          </w:p>
        </w:tc>
        <w:tc>
          <w:tcPr>
            <w:tcW w:type="dxa" w:w="4762"/>
          </w:tcPr>
          <w:p>
            <w:pPr>
              <w:spacing w:before="20" w:after="20" w:line="264" w:lineRule="auto"/>
            </w:pPr>
            <w:r>
              <w:rPr>
                <w:rFonts w:ascii="Arial" w:hAnsi="Arial" w:eastAsia="Arial"/>
                <w:b w:val="0"/>
                <w:i w:val="0"/>
                <w:sz w:val="17"/>
              </w:rPr>
              <w:t>Aprueban la Relación de Servicios del Sector Producción para la atención del Fenómeno El Niño 2026-2027 a ser ejecutados mediante el mecanismo de Obras por Impuestos</w:t>
            </w:r>
          </w:p>
        </w:tc>
        <w:tc>
          <w:tcPr>
            <w:tcW w:type="dxa" w:w="1247"/>
          </w:tcPr>
          <w:p>
            <w:pPr>
              <w:spacing w:before="20" w:after="20" w:line="264" w:lineRule="auto"/>
              <w:jc w:val="center"/>
            </w:pPr>
            <w:r>
              <w:rPr>
                <w:rFonts w:ascii="Arial" w:hAnsi="Arial" w:eastAsia="Arial"/>
                <w:b w:val="0"/>
                <w:i w:val="0"/>
                <w:sz w:val="17"/>
              </w:rPr>
              <w:t>11/09/2026</w:t>
            </w:r>
          </w:p>
        </w:tc>
      </w:tr>
    </w:tbl>
    <w:p>
      <w:pPr>
        <w:spacing w:before="280" w:after="120" w:line="276" w:lineRule="auto"/>
        <w:keepNext/>
        <w:pBdr>
          <w:bottom w:val="single" w:sz="6" w:space="2" w:color="C9D2DF"/>
        </w:pBdr>
      </w:pPr>
      <w:r>
        <w:rPr>
          <w:rFonts w:ascii="Arial" w:hAnsi="Arial" w:eastAsia="Arial"/>
          <w:b/>
          <w:i w:val="0"/>
          <w:color w:val="0A2F5C"/>
          <w:sz w:val="22"/>
        </w:rPr>
        <w:t>2. DETALLE DE LAS NORMAS</w:t>
      </w:r>
    </w:p>
    <w:p>
      <w:pPr>
        <w:keepNext/>
        <w:spacing w:before="160" w:after="80" w:line="276" w:lineRule="auto"/>
      </w:pPr>
      <w:r>
        <w:rPr>
          <w:rFonts w:ascii="Arial" w:hAnsi="Arial" w:eastAsia="Arial"/>
          <w:b/>
          <w:i w:val="0"/>
          <w:color w:val="0B5CAD"/>
          <w:sz w:val="21"/>
        </w:rPr>
        <w:t>2.1  Normatividad presupuestal</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1.  RESOLUCIÓN ADMINISTRATIVA  N° 000224-2026-P-PJ</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CORTE SUPREMA DE JUSTICIA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11/09/2026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Autorizan Transferencia Financiera del Poder Judicial a favor de la Contraloría General de la República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Autorización de Transferencia Financiera Autorizar la Transferencia Financiera del Pliego 004 Poder Judicial, con cargo al Presupuesto Institucional 2026, hasta por la suma de S/ 169 512,00 (CIENTO SESENTA Y NUEVE MIL QUINIENTOS DOCE Y 00/100 SOLES), a favor de la Contraloría General de la República, para financiar la retribución económica y el pago del derecho de designación de la Sociedad de Auditoría que efectuará la Auditoría Financiera Gubernamental correspondiente a los periodos 2024, 2025 y 2026, en el marco del Acuerdo entre la República del Perú, la Confederación Suiza y el Gran Ducado de Luxemburgo, de acuerdo al siguiente detalle: PLIEGO : 004 PODER JUDICIAL UNIDAD…</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169 512,00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1">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15">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16">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2.  RESOLUCIÓN  N° 000118-2026-OTASS-PE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ORGANISMO TÉCNICO DE LA ADMINISTRACIÓN DE LOS SERVICIOS DE SANEAMIENTO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11/09/2026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Delegan facultades en diversos funcionarios del OTASS durante el ejercicio presupuestal 2026</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Delegación de facultades en el Gerente General Delegar en el Gerente General, durante el ejercicio presupuestal 2026, las siguientes facultades: 1.1 En materia de gestión: a) Proponer, aprobar, modificar y/o revocar normas, manuales y directivas que regulan la administración y funcionamiento interno de la entidad, en concordancia con las políticas institucionales establecidas. b) Suscribir convenios, contratos y otros documentos de naturaleza similar de carácter institucional con entidades públicas y/o privadas, nacionales o extranjeras, de conformidad con la normatividad vigente, así como sus modificatorias; inclusive los convenios relacionados con las transferencias…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2">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17">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18">
              <w:r>
                <w:rPr>
                  <w:rFonts w:ascii="Arial" w:hAnsi="Arial" w:eastAsia="Arial" w:cs="Arial"/>
                  <w:color w:val="0B5CAD"/>
                  <w:sz w:val="17"/>
                  <w:u w:val="single"/>
                </w:rPr>
                <w:t xml:space="preserve">PDF</w:t>
              </w:r>
            </w:hyperlink>
          </w:p>
        </w:tc>
      </w:tr>
    </w:tbl>
    <w:p>
      <w:pPr>
        <w:spacing w:before="0" w:after="120" w:line="276" w:lineRule="auto"/>
      </w:pPr>
    </w:p>
    <w:p>
      <w:pPr>
        <w:keepNext/>
        <w:spacing w:before="160" w:after="80" w:line="276" w:lineRule="auto"/>
      </w:pPr>
      <w:r>
        <w:rPr>
          <w:rFonts w:ascii="Arial" w:hAnsi="Arial" w:eastAsia="Arial"/>
          <w:b/>
          <w:i w:val="0"/>
          <w:color w:val="0B5CAD"/>
          <w:sz w:val="21"/>
        </w:rPr>
        <w:t>2.2  Inversiones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3.  RESOLUCIÓN MINISTERIAL  N° D000295-2026-MINAM</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AMBIENTE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11/09/2026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Relación de Servicios del Sector Ambiente susceptibles de ser ejecutados bajo el régimen excepcional del mecanismo de Obras por Impuestos y sus contenidos mínimos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Aprobación de la Relación de Servicios del Sector Ambiente Aprobar la Relación de Servicios del Sector Ambiente susceptibles de ser ejecutados bajo el régimen excepcional del mecanismo de Obras por Impuestos en el marco del Decreto de Urgencia Nº 010-2026, conforme se detalla a continuación. Código Relación de Servicios del Sector Ambiente susceptibles de ser ejecutados bajo el régimen excepcional del mecanismo de Obras por Impuestos en el marco del Decreto de Urgencia Nº 010-2026 S.1 Servicio extraordinario de barrido y limpieza de espacios públicos afectados por el Fenómeno El Niño. S.2 Servicio temporal de protección de ecosistemas de bosques ribereños frente a inundaciones…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3">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19">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0">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4.  RESOLUCIÓN MINISTERIAL  N° 00319-2026-PRODUCE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PRODUCE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11/09/2026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la Relación de Servicios del Sector Producción para la atención del Fenómeno El Niño 2026-2027 a ser ejecutados mediante el mecanismo de Obras por Impuestos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Aprobación de la relación de servicios a ser ejecutados mediante el mecanismo de Obras por Impuestos Aprobar la “Relación de Servicios del Sector Producción para la atención del Fenómeno El Niño 2026-2027 a ser ejecutados mediante el mecanismo de Obras por Impuestos”, que como Anexo forma parte integrante de la presente Resolución Ministerial. Artículo 2.- Notificación Remitir copia de la presente Resolución Ministerial a la Agencia de Promoción de la Inversión Privada - PROINVERSIÓN. Artículo 3.- Publicación Publicar la presente Resolución Ministerial y su Anexo en la sede digital del Ministerio de la Producción ( www.gob.pe/produce ) y en el diario oficial El Peruano.…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4">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1">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2">
              <w:r>
                <w:rPr>
                  <w:rFonts w:ascii="Arial" w:hAnsi="Arial" w:eastAsia="Arial" w:cs="Arial"/>
                  <w:color w:val="0B5CAD"/>
                  <w:sz w:val="17"/>
                  <w:u w:val="single"/>
                </w:rPr>
                <w:t xml:space="preserve">PDF</w:t>
              </w:r>
            </w:hyperlink>
          </w:p>
        </w:tc>
      </w:tr>
    </w:tbl>
    <w:p>
      <w:pPr>
        <w:spacing w:before="0" w:after="120" w:line="276" w:lineRule="auto"/>
      </w:pPr>
    </w:p>
    <w:p>
      <w:pPr>
        <w:spacing w:before="200" w:after="0" w:line="276" w:lineRule="auto"/>
        <w:jc w:val="both"/>
        <w:pBdr>
          <w:top w:val="single" w:sz="4" w:space="4" w:color="C9D2DF"/>
        </w:pBdr>
      </w:pPr>
      <w:r>
        <w:rPr>
          <w:rFonts w:ascii="Arial" w:hAnsi="Arial" w:eastAsia="Arial"/>
          <w:b/>
          <w:i w:val="0"/>
          <w:color w:val="5B6880"/>
          <w:sz w:val="15"/>
        </w:rPr>
        <w:t xml:space="preserve">Nota metodológica: </w:t>
      </w:r>
      <w:r>
        <w:rPr>
          <w:rFonts w:ascii="Arial" w:hAnsi="Arial" w:eastAsia="Arial"/>
          <w:b w:val="0"/>
          <w:i w:val="0"/>
          <w:color w:val="5B6880"/>
          <w:sz w:val="15"/>
        </w:rPr>
        <w:t xml:space="preserve">se revisan todas las normas publicadas en el Diario Oficial El Peruano en el periodo. Una norma se selecciona cuando su entidad, título o sumilla contiene alguno de los términos definidos para cada tema, o cuando su texto completo menciona a la ATU. Los criterios pueden consultarse y editarse en el panel: </w:t>
      </w:r>
      <w:hyperlink r:id="rId23">
        <w:r>
          <w:rPr>
            <w:rFonts w:ascii="Arial" w:hAnsi="Arial" w:eastAsia="Arial" w:cs="Arial"/>
            <w:color w:val="0B5CAD"/>
            <w:sz w:val="15"/>
            <w:u w:val="single"/>
          </w:rPr>
          <w:t xml:space="preserve">reneearmasr.github.io/monitor-normas-elperuano</w:t>
        </w:r>
      </w:hyperlink>
    </w:p>
    <w:sectPr w:rsidR="00FC693F" w:rsidRPr="0006063C" w:rsidSect="00034616">
      <w:headerReference w:type="default" r:id="rId9"/>
      <w:footerReference w:type="default" r:id="rId10"/>
      <w:pgSz w:w="11906" w:h="16838"/>
      <w:pgMar w:top="1361"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411" w:val="right"/>
      </w:tabs>
      <w:pBdr>
        <w:top w:val="single" w:sz="6" w:space="4" w:color="C9D2DF"/>
      </w:pBdr>
    </w:pPr>
    <w:r>
      <w:rPr>
        <w:rFonts w:ascii="Arial" w:hAnsi="Arial" w:eastAsia="Arial"/>
        <w:b w:val="0"/>
        <w:i w:val="0"/>
        <w:color w:val="5B6880"/>
        <w:sz w:val="15"/>
      </w:rPr>
      <w:t>Fuente: Diario Oficial El Peruano · Elaboración automática</w:t>
    </w:r>
    <w:r>
      <w:rPr>
        <w:rFonts w:ascii="Arial" w:hAnsi="Arial" w:eastAsia="Arial"/>
        <w:b w:val="0"/>
        <w:i w:val="0"/>
        <w:color w:val="5B6880"/>
        <w:sz w:val="15"/>
      </w:rPr>
      <w:tab/>
      <w:t xml:space="preserve">Página </w:t>
    </w:r>
    <w:r>
      <w:rPr>
        <w:rFonts w:ascii="Arial" w:hAnsi="Arial" w:eastAsia="Arial"/>
        <w:b w:val="0"/>
        <w:i w:val="0"/>
        <w:color w:val="5B6880"/>
        <w:sz w:val="15"/>
      </w:rPr>
      <w:fldChar w:fldCharType="begin"/>
      <w:instrText xml:space="preserve"> PAGE </w:instrText>
      <w:fldChar w:fldCharType="separate"/>
      <w:t>1</w:t>
      <w:fldChar w:fldCharType="end"/>
    </w:r>
    <w:r>
      <w:rPr>
        <w:rFonts w:ascii="Arial" w:hAnsi="Arial" w:eastAsia="Arial"/>
        <w:b w:val="0"/>
        <w:i w:val="0"/>
        <w:color w:val="5B6880"/>
        <w:sz w:val="15"/>
      </w:rPr>
      <w:t xml:space="preserve"> de </w:t>
    </w:r>
    <w:r>
      <w:rPr>
        <w:rFonts w:ascii="Arial" w:hAnsi="Arial" w:eastAsia="Arial"/>
        <w:b w:val="0"/>
        <w:i w:val="0"/>
        <w:color w:val="5B6880"/>
        <w:sz w:val="15"/>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8" w:space="4" w:color="0A2F5C"/>
      </w:pBdr>
    </w:pPr>
    <w:r>
      <w:rPr>
        <w:rFonts w:ascii="Arial" w:hAnsi="Arial" w:eastAsia="Arial"/>
        <w:b/>
        <w:i w:val="0"/>
        <w:color w:val="0A2F5C"/>
        <w:sz w:val="15"/>
      </w:rPr>
      <w:t>AUTORIDAD DE TRANSPORTE URBANO PARA LIMA Y CALLAO</w:t>
    </w:r>
    <w:r>
      <w:rPr>
        <w:rFonts w:ascii="Arial" w:hAnsi="Arial" w:eastAsia="Arial"/>
        <w:b w:val="0"/>
        <w:i w:val="0"/>
        <w:color w:val="5B6880"/>
        <w:sz w:val="15"/>
      </w:rPr>
      <w:tab/>
      <w:t>Monitor de Normas Legales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usquedas.elperuano.pe/api/visor_html/2553253-1" TargetMode="External"/><Relationship Id="rId12" Type="http://schemas.openxmlformats.org/officeDocument/2006/relationships/hyperlink" Target="https://busquedas.elperuano.pe/api/visor_html/2553235-1" TargetMode="External"/><Relationship Id="rId13" Type="http://schemas.openxmlformats.org/officeDocument/2006/relationships/hyperlink" Target="https://busquedas.elperuano.pe/api/visor_html/2552994-1" TargetMode="External"/><Relationship Id="rId14" Type="http://schemas.openxmlformats.org/officeDocument/2006/relationships/hyperlink" Target="https://busquedas.elperuano.pe/api/visor_html/2553062-1" TargetMode="External"/><Relationship Id="rId15" Type="http://schemas.openxmlformats.org/officeDocument/2006/relationships/hyperlink" Target="https://busquedas.elperuano.pe/dispositivo/NL/2553253-1" TargetMode="External"/><Relationship Id="rId16" Type="http://schemas.openxmlformats.org/officeDocument/2006/relationships/hyperlink" Target="https://busquedas.elperuano.pe/dispositivo/NL/2553253-1/pdf" TargetMode="External"/><Relationship Id="rId17" Type="http://schemas.openxmlformats.org/officeDocument/2006/relationships/hyperlink" Target="https://busquedas.elperuano.pe/dispositivo/NL/2553235-1" TargetMode="External"/><Relationship Id="rId18" Type="http://schemas.openxmlformats.org/officeDocument/2006/relationships/hyperlink" Target="https://busquedas.elperuano.pe/dispositivo/NL/2553235-1/pdf" TargetMode="External"/><Relationship Id="rId19" Type="http://schemas.openxmlformats.org/officeDocument/2006/relationships/hyperlink" Target="https://busquedas.elperuano.pe/dispositivo/NL/2552994-1" TargetMode="External"/><Relationship Id="rId20" Type="http://schemas.openxmlformats.org/officeDocument/2006/relationships/hyperlink" Target="https://busquedas.elperuano.pe/dispositivo/NL/2552994-1/pdf" TargetMode="External"/><Relationship Id="rId21" Type="http://schemas.openxmlformats.org/officeDocument/2006/relationships/hyperlink" Target="https://busquedas.elperuano.pe/dispositivo/NL/2553062-1" TargetMode="External"/><Relationship Id="rId22" Type="http://schemas.openxmlformats.org/officeDocument/2006/relationships/hyperlink" Target="https://busquedas.elperuano.pe/dispositivo/NL/2553062-1/pdf" TargetMode="External"/><Relationship Id="rId23" Type="http://schemas.openxmlformats.org/officeDocument/2006/relationships/hyperlink" Target="https://reneearmasr.github.io/monitor-normas-elperua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