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Sábado 12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12/09/2026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26/10/2026 16:59</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82</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5</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82 normas publicadas en el periodo, 5 resultan de interés institucional: 4 de normatividad presupuestal y 1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(4)</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DECRETO SUPREMO  N° 184-2026-EF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del Ministerio de Defensa</w:t>
            </w:r>
          </w:p>
        </w:tc>
        <w:tc>
          <w:tcPr>
            <w:tcW w:type="dxa" w:w="1247"/>
          </w:tcPr>
          <w:p>
            <w:pPr>
              <w:spacing w:before="20" w:after="20" w:line="264" w:lineRule="auto"/>
              <w:jc w:val="center"/>
            </w:pPr>
            <w:r>
              <w:rPr>
                <w:rFonts w:ascii="Arial" w:hAnsi="Arial" w:eastAsia="Arial"/>
                <w:b w:val="0"/>
                <w:i w:val="0"/>
                <w:sz w:val="17"/>
              </w:rPr>
              <w:t>12/09/2026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DECRETO SUPREMO  N° 185-2026-EF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la Autoridad Nacional de Infraestructura</w:t>
            </w:r>
          </w:p>
        </w:tc>
        <w:tc>
          <w:tcPr>
            <w:tcW w:type="dxa" w:w="1247"/>
          </w:tcPr>
          <w:p>
            <w:pPr>
              <w:spacing w:before="20" w:after="20" w:line="264" w:lineRule="auto"/>
              <w:jc w:val="center"/>
            </w:pPr>
            <w:r>
              <w:rPr>
                <w:rFonts w:ascii="Arial" w:hAnsi="Arial" w:eastAsia="Arial"/>
                <w:b w:val="0"/>
                <w:i w:val="0"/>
                <w:sz w:val="17"/>
              </w:rPr>
              <w:t>12/09/2026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DECRETO SUPREMO  N° 187-2026-EF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autoriza Transferencia de Partidas en el Presupuesto del Sector Público para el Año Fiscal 2026 a favor de la Reserva de Contingencia y de la Municipalidad Distrital de La Victoria</w:t>
            </w:r>
          </w:p>
        </w:tc>
        <w:tc>
          <w:tcPr>
            <w:tcW w:type="dxa" w:w="1247"/>
          </w:tcPr>
          <w:p>
            <w:pPr>
              <w:spacing w:before="20" w:after="20" w:line="264" w:lineRule="auto"/>
              <w:jc w:val="center"/>
            </w:pPr>
            <w:r>
              <w:rPr>
                <w:rFonts w:ascii="Arial" w:hAnsi="Arial" w:eastAsia="Arial"/>
                <w:b w:val="0"/>
                <w:i w:val="0"/>
                <w:sz w:val="17"/>
              </w:rPr>
              <w:t>12/09/2026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DECRETO DE ALCALDÍA  N° 012-2026/MDSMP</w:t>
              </w:r>
            </w:hyperlink>
          </w:p>
          <w:p>
            <w:pPr>
              <w:spacing w:before="0" w:after="20" w:line="252" w:lineRule="auto"/>
            </w:pPr>
            <w:r>
              <w:rPr>
                <w:rFonts w:ascii="Arial" w:hAnsi="Arial" w:eastAsia="Arial"/>
                <w:b w:val="0"/>
                <w:i w:val="0"/>
                <w:color w:val="5B6880"/>
                <w:sz w:val="15"/>
              </w:rPr>
              <w:t>MUNICIPALIDAD DE SAN MARTÍN DE PORRES</w:t>
            </w:r>
          </w:p>
        </w:tc>
        <w:tc>
          <w:tcPr>
            <w:tcW w:type="dxa" w:w="4762"/>
          </w:tcPr>
          <w:p>
            <w:pPr>
              <w:spacing w:before="20" w:after="20" w:line="264" w:lineRule="auto"/>
            </w:pPr>
            <w:r>
              <w:rPr>
                <w:rFonts w:ascii="Arial" w:hAnsi="Arial" w:eastAsia="Arial"/>
                <w:b w:val="0"/>
                <w:i w:val="0"/>
                <w:sz w:val="17"/>
              </w:rPr>
              <w:t>Aprueban ampliación del plazo para que los Agentes Participantes efectúen el aporte de cofinanciamiento de proyectos priorizados del Presupuesto Participativo Basado en Resultados 2027</w:t>
            </w:r>
          </w:p>
        </w:tc>
        <w:tc>
          <w:tcPr>
            <w:tcW w:type="dxa" w:w="1247"/>
          </w:tcPr>
          <w:p>
            <w:pPr>
              <w:spacing w:before="20" w:after="20" w:line="264" w:lineRule="auto"/>
              <w:jc w:val="center"/>
            </w:pPr>
            <w:r>
              <w:rPr>
                <w:rFonts w:ascii="Arial" w:hAnsi="Arial" w:eastAsia="Arial"/>
                <w:b w:val="0"/>
                <w:i w:val="0"/>
                <w:sz w:val="17"/>
              </w:rPr>
              <w:t>12/09/2026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ORDENANZA  N° 559-AREQUIPA</w:t>
              </w:r>
            </w:hyperlink>
          </w:p>
          <w:p>
            <w:pPr>
              <w:spacing w:before="0" w:after="20" w:line="252" w:lineRule="auto"/>
            </w:pPr>
            <w:r>
              <w:rPr>
                <w:rFonts w:ascii="Arial" w:hAnsi="Arial" w:eastAsia="Arial"/>
                <w:b w:val="0"/>
                <w:i w:val="0"/>
                <w:color w:val="5B6880"/>
                <w:sz w:val="15"/>
              </w:rPr>
              <w:t>GOBIERNO REGIONAL DE AREQUIPA</w:t>
            </w:r>
          </w:p>
        </w:tc>
        <w:tc>
          <w:tcPr>
            <w:tcW w:type="dxa" w:w="4762"/>
          </w:tcPr>
          <w:p>
            <w:pPr>
              <w:spacing w:before="20" w:after="20" w:line="264" w:lineRule="auto"/>
            </w:pPr>
            <w:r>
              <w:rPr>
                <w:rFonts w:ascii="Arial" w:hAnsi="Arial" w:eastAsia="Arial"/>
                <w:b w:val="0"/>
                <w:i w:val="0"/>
                <w:sz w:val="17"/>
              </w:rPr>
              <w:t>Ordenanza Regional que aprueba los Lineamientos de Articulación y Priorización de la Inversión Pública Turística en la región Arequipa para la formulación y actualización de los Planes de Desarrollo Turístico Local (PDTL) en las provincias de la Región Arequipa</w:t>
            </w:r>
          </w:p>
        </w:tc>
        <w:tc>
          <w:tcPr>
            <w:tcW w:type="dxa" w:w="1247"/>
          </w:tcPr>
          <w:p>
            <w:pPr>
              <w:spacing w:before="20" w:after="20" w:line="264" w:lineRule="auto"/>
              <w:jc w:val="center"/>
            </w:pPr>
            <w:r>
              <w:rPr>
                <w:rFonts w:ascii="Arial" w:hAnsi="Arial" w:eastAsia="Arial"/>
                <w:b w:val="0"/>
                <w:i w:val="0"/>
                <w:sz w:val="17"/>
              </w:rPr>
              <w:t>12/09/2026</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DECRETO SUPREMO  N° 184-2026-EF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12/09/2026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del Ministerio de Defensa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Objeto 1.1 Se autoriza una Transferencia de Partidas en el Presupuesto del Sector Público para el Año Fiscal 2026, hasta por la suma de S/ 283 501 992,00 (DOSCIENTOS OCHENTA Y TRES MILLONES QUINIENTOS UN MIL NOVECIENTOS NOVENTA Y DOS Y 00/100 SOLES), por la fuente de financiamiento Recursos Ordinarios, a favor del Ministerio de Defensa, para financiar el fortalecimiento de capacidades operativas de las Instituciones Armadas para la preparación, respuesta y rehabilitación frente a emergencias y desastres en el marco del Sistema Nacional de Gestión del Riesgo de Desastres (SINAGERD), mediante los gastos asociados a la operatividad de los vehículos aéreos, terrestres, marítimos y…</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283 501 992,00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DECRETO SUPREMO  N° 185-2026-EF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12/09/2026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 · 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la Autoridad Nacional de Infraestructura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de Partidas a favor de la Autoridad Nacional de Infraestructura 1.1 Se autoriza una Transferencia de Partidas en el Presupuesto del Sector Público para el Año Fiscal 2026, hasta por la suma de S/ 375 000 000,00 (TRESCIENTOS SETENTA Y CINCO MILLONES Y 00/100 SOLES), por la fuente de financiamiento Recursos Ordinarios, a favor de la Autoridad Nacional de Infraestructura, para financiar la continuidad de la ejecución física y la protección de los proyectos de inversión con Código Único de Inversiones (CUI) N° 2446345, N° 2501225 y N° 2524692 frente al peligro inminente por las intensas precipitaciones pluviales asociadas al Fenómeno El Niño 2026-2027, con cargo a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375 000 000,00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DECRETO SUPREMO  N° 187-2026-EF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12/09/2026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autoriza Transferencia de Partidas en el Presupuesto del Sector Público para el Año Fiscal 2026 a favor de la Reserva de Contingencia y de la Municipalidad Distrital de La Victoria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Transferencia de Partidas a favor de la Reserva de Contingencia Se autoriza una Transferencia de Partidas en el Presupuesto del Sector Público para el Año Fiscal 2026, hasta por la suma de S/ 1 311 778,00 (UN MILLÓN TRESCIENTOS ONCE MIL SETECIENTOS SETENTA Y OCHO Y 00/100 SOLES), por la fuente de financiamiento de Recursos Ordinarios, a favor de la Reserva de Contingencia del Ministerio de Economía y Finanzas, con cargo a los recursos del presupuesto institucional de la Municipalidad Distrital de La Victoria, en el marco de lo establecido en la Décima Cuarta Disposición Complementaria Final de la Ley Nº 32513, Ley de Presupuesto del Sector Público para el Año Fiscal 2026,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1 311 778,00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DECRETO DE ALCALDÍA  N° 012-2026/MDSMP</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MUNICIPALIDAD DE SAN MARTÍN DE PORRES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12/09/2026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ampliación del plazo para que los Agentes Participantes efectúen el aporte de cofinanciamiento de proyectos priorizados del Presupuesto Participativo Basado en Resultados 2027</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ampliación, con eficacia anticipada al 29 de agosto de 2026, del plazo para que los Agentes Participantes efectúen el aporte de cofinanciamiento de los proyectos priorizados del Presupuesto Participativo Basado en Resultados 2027; estableciéndose como nueva fecha máxima el 15 de octubre de 2026. Artículo Segundo.- ENCARGAR a la Gerencia Municipal, Oficina General de Planeamiento y Presupuesto, Oficina General de Asesoría Jurídica y a las demás áreas competentes, el estricto cumplimiento de lo dispuesto en el presente Decreto de Alcaldía, en el marco de sus respectivas competencias. Artículo Tercero.- DEJAR SIN EFECTO las disposiciones que se opongan a lo…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5.  ORDENANZA  N° 559-AREQUIPA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12/09/2026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Ordenanza Regional que aprueba los Lineamientos de Articulación y Priorización de la Inversión Pública Turística en la región Arequipa para la formulación y actualización de los Planes de Desarrollo Turístico Local (PDTL) en las provincias de la Región Arequipa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los “Lineamientos de Articulación y Priorización de la Inversión Pública Turística en la región Arequipa” para la formulación y actualización de los planes de desarrollo turístico local (PDTL) en las provincias de la Región Arequipa, los mismos que son de cumplimiento obligatorio para la evaluación de solicitudes de cofinanciamiento presentadas por los gobiernos locales. Artículo Segundo.- REQUISITOS DE ADMISIBILIDAD. Los gobiernos locales de la Región Arequipa que soliciten el financiamiento o cofinanciamiento de proyectos de inversión pública turística por parte del Gobierno Regional de Arequipa deberán cumplir con los siguientes requisitos de admisibilidad:…</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26">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4042-1" TargetMode="External"/><Relationship Id="rId12" Type="http://schemas.openxmlformats.org/officeDocument/2006/relationships/hyperlink" Target="https://busquedas.elperuano.pe/api/visor_html/2554042-2" TargetMode="External"/><Relationship Id="rId13" Type="http://schemas.openxmlformats.org/officeDocument/2006/relationships/hyperlink" Target="https://busquedas.elperuano.pe/api/visor_html/2554043-1" TargetMode="External"/><Relationship Id="rId14" Type="http://schemas.openxmlformats.org/officeDocument/2006/relationships/hyperlink" Target="https://busquedas.elperuano.pe/api/visor_html/2553566-1" TargetMode="External"/><Relationship Id="rId15" Type="http://schemas.openxmlformats.org/officeDocument/2006/relationships/hyperlink" Target="https://busquedas.elperuano.pe/api/visor_html/2553533-1" TargetMode="External"/><Relationship Id="rId16" Type="http://schemas.openxmlformats.org/officeDocument/2006/relationships/hyperlink" Target="https://busquedas.elperuano.pe/dispositivo/NL/2554042-1" TargetMode="External"/><Relationship Id="rId17" Type="http://schemas.openxmlformats.org/officeDocument/2006/relationships/hyperlink" Target="https://busquedas.elperuano.pe/dispositivo/NL/2554042-1/pdf" TargetMode="External"/><Relationship Id="rId18" Type="http://schemas.openxmlformats.org/officeDocument/2006/relationships/hyperlink" Target="https://busquedas.elperuano.pe/dispositivo/NL/2554042-2" TargetMode="External"/><Relationship Id="rId19" Type="http://schemas.openxmlformats.org/officeDocument/2006/relationships/hyperlink" Target="https://busquedas.elperuano.pe/dispositivo/NL/2554042-2/pdf" TargetMode="External"/><Relationship Id="rId20" Type="http://schemas.openxmlformats.org/officeDocument/2006/relationships/hyperlink" Target="https://busquedas.elperuano.pe/dispositivo/NL/2554043-1" TargetMode="External"/><Relationship Id="rId21" Type="http://schemas.openxmlformats.org/officeDocument/2006/relationships/hyperlink" Target="https://busquedas.elperuano.pe/dispositivo/NL/2554043-1/pdf" TargetMode="External"/><Relationship Id="rId22" Type="http://schemas.openxmlformats.org/officeDocument/2006/relationships/hyperlink" Target="https://busquedas.elperuano.pe/dispositivo/NL/2553566-1" TargetMode="External"/><Relationship Id="rId23" Type="http://schemas.openxmlformats.org/officeDocument/2006/relationships/hyperlink" Target="https://busquedas.elperuano.pe/dispositivo/NL/2553566-1/pdf" TargetMode="External"/><Relationship Id="rId24" Type="http://schemas.openxmlformats.org/officeDocument/2006/relationships/hyperlink" Target="https://busquedas.elperuano.pe/dispositivo/NL/2553533-1" TargetMode="External"/><Relationship Id="rId25" Type="http://schemas.openxmlformats.org/officeDocument/2006/relationships/hyperlink" Target="https://busquedas.elperuano.pe/dispositivo/NL/2553533-1/pdf" TargetMode="External"/><Relationship Id="rId26"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