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Lunes 14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14/09/2026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16:59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22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0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22 normas publicadas en el periodo, ninguna corresponde a la ATU, a la normatividad presupuestal ni a inversiones.</w:t>
      </w: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1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