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17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17/09/2026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17:00</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82</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82 normas publicadas en el periodo, 2 resultan de interés institucional: 2 de normatividad presupuestal.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191-2026-EF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Transportes y Comunicaciones</w:t>
            </w:r>
          </w:p>
        </w:tc>
        <w:tc>
          <w:tcPr>
            <w:tcW w:type="dxa" w:w="1247"/>
          </w:tcPr>
          <w:p>
            <w:pPr>
              <w:spacing w:before="20" w:after="20" w:line="264" w:lineRule="auto"/>
              <w:jc w:val="center"/>
            </w:pPr>
            <w:r>
              <w:rPr>
                <w:rFonts w:ascii="Arial" w:hAnsi="Arial" w:eastAsia="Arial"/>
                <w:b w:val="0"/>
                <w:i w:val="0"/>
                <w:sz w:val="17"/>
              </w:rPr>
              <w:t>17/09/2026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000259-2026-GRP/CR</w:t>
              </w:r>
            </w:hyperlink>
          </w:p>
          <w:p>
            <w:pPr>
              <w:spacing w:before="0" w:after="20" w:line="252" w:lineRule="auto"/>
            </w:pPr>
            <w:r>
              <w:rPr>
                <w:rFonts w:ascii="Arial" w:hAnsi="Arial" w:eastAsia="Arial"/>
                <w:b w:val="0"/>
                <w:i w:val="0"/>
                <w:color w:val="5B6880"/>
                <w:sz w:val="15"/>
              </w:rPr>
              <w:t>GOBIERNO REGIONAL DE PUNO</w:t>
            </w:r>
          </w:p>
        </w:tc>
        <w:tc>
          <w:tcPr>
            <w:tcW w:type="dxa" w:w="4762"/>
          </w:tcPr>
          <w:p>
            <w:pPr>
              <w:spacing w:before="20" w:after="20" w:line="264" w:lineRule="auto"/>
            </w:pPr>
            <w:r>
              <w:rPr>
                <w:rFonts w:ascii="Arial" w:hAnsi="Arial" w:eastAsia="Arial"/>
                <w:b w:val="0"/>
                <w:i w:val="0"/>
                <w:sz w:val="17"/>
              </w:rPr>
              <w:t>Autorizan transferencia financiera a favor de la Municipalidad Distrital de Conduriri destinada al financiamiento de la ejecución de proyecto de inversión</w:t>
            </w:r>
          </w:p>
        </w:tc>
        <w:tc>
          <w:tcPr>
            <w:tcW w:type="dxa" w:w="1247"/>
          </w:tcPr>
          <w:p>
            <w:pPr>
              <w:spacing w:before="20" w:after="20" w:line="264" w:lineRule="auto"/>
              <w:jc w:val="center"/>
            </w:pPr>
            <w:r>
              <w:rPr>
                <w:rFonts w:ascii="Arial" w:hAnsi="Arial" w:eastAsia="Arial"/>
                <w:b w:val="0"/>
                <w:i w:val="0"/>
                <w:sz w:val="17"/>
              </w:rPr>
              <w:t>17/09/2026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191-2026-EF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Transportes y 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205 263 400,00 (DOSCIENTOS CINCO MILLONES DOSCIENTOS SESENTA Y TRES MIL CUATROCIENTOS Y 00/100 SOLES), por la fuente de financiamiento Recursos Ordinarios, a favor del Ministerio de Transportes y Comunicaciones, para financiar intervenciones de preparación y respuesta ante el peligro inminente de intensas precipitaciones asociadas al Fenómeno El Niño 2026-2027, con cargo a la Reserva de Contingencia del Ministerio de Economía y Finanzas, de acuerdo con el siguiente detalle: DE LA En Soles SECCIÓN PRIMERA : Gobierno Central PLIEGO 009 : M.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205 263 400,00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000259-2026-GRP/CR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Distrital de Conduriri destinada al financiamiento de la ejecución de proyecto de inversión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del Pliego 458: Gobierno Regional de Puno, a favor de la Municipalidad Distrital de Conduriri, hasta por la suma de S/ 1 077 972,00 (Un millón setenta y siete mil novecientos setenta y dos con 00/100 soles), con cargo a la fuente de financiamiento Recursos Determinados, destinada al financiamiento de la ejecución del proyecto de inversión denominado “Creación del servicio de transitabilidad vial interurbana en puente carrozable de la Comunidad Campesina de Payrumani del C.P. Yarihuani, distrito de Conduriri, provincia de El Collao, departamento de Puno”, con CUI N° 2602510, previa suscripción del convenio de transferencia financiera…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1 077 972,00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5485-1" TargetMode="External"/><Relationship Id="rId12" Type="http://schemas.openxmlformats.org/officeDocument/2006/relationships/hyperlink" Target="https://busquedas.elperuano.pe/api/visor_html/2554288-1" TargetMode="External"/><Relationship Id="rId13" Type="http://schemas.openxmlformats.org/officeDocument/2006/relationships/hyperlink" Target="https://busquedas.elperuano.pe/dispositivo/NL/2555485-1" TargetMode="External"/><Relationship Id="rId14" Type="http://schemas.openxmlformats.org/officeDocument/2006/relationships/hyperlink" Target="https://busquedas.elperuano.pe/dispositivo/NL/2555485-1/pdf" TargetMode="External"/><Relationship Id="rId15" Type="http://schemas.openxmlformats.org/officeDocument/2006/relationships/hyperlink" Target="https://busquedas.elperuano.pe/dispositivo/NL/2554288-1" TargetMode="External"/><Relationship Id="rId16" Type="http://schemas.openxmlformats.org/officeDocument/2006/relationships/hyperlink" Target="https://busquedas.elperuano.pe/dispositivo/NL/2554288-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