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Lunes 21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21/09/2026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17:01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20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0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20 normas publicadas en el periodo, ninguna corresponde a la ATU, a la normatividad presupuestal ni a inversiones.</w:t>
      </w: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1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