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Jueves 24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24/09/2026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17:02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91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0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91 normas publicadas en el periodo, ninguna corresponde a la ATU, a la normatividad presupuestal ni a inversiones.</w:t>
      </w: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1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