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Sábado 26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26/09/2026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26/10/2026 17:02</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78</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15</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78 normas publicadas en el periodo, 15 resultan de interés institucional: 1 sobre la ATU y el transporte urbano, 13 de normatividad presupuestal y 1 de inversiones. El Cuadro 1 presenta la relación completa y la sección 2, el detalle de cada norma.</w:t>
      </w:r>
    </w:p>
    <w:tbl>
      <w:tblPr>
        <w:tblW w:type="auto" w:w="0"/>
        <w:tblLook w:firstColumn="1" w:firstRow="1" w:lastColumn="0" w:lastRow="0" w:noHBand="0" w:noVBand="1" w:val="04A0"/>
        <w:tblBorders>
          <w:top w:val="single" w:sz="4" w:space="0" w:color="F4C7C3"/>
          <w:left w:val="single" w:sz="4" w:space="0" w:color="F4C7C3"/>
          <w:bottom w:val="single" w:sz="4" w:space="0" w:color="F4C7C3"/>
          <w:right w:val="single" w:sz="4" w:space="0" w:color="F4C7C3"/>
        </w:tblBorders>
        <w:tblLayout w:type="fixed"/>
        <w:tblCellMar>
          <w:top w:w="50" w:type="dxa"/>
          <w:bottom w:w="50" w:type="dxa"/>
          <w:left w:w="100" w:type="dxa"/>
          <w:right w:w="100" w:type="dxa"/>
        </w:tblCellMar>
      </w:tblPr>
      <w:tblGrid>
        <w:gridCol w:w="9412"/>
      </w:tblGrid>
      <w:tr>
        <w:tc>
          <w:tcPr>
            <w:tcW w:type="dxa" w:w="9411"/>
            <w:shd w:val="clear" w:color="auto" w:fill="FDF3F2"/>
            <w:tcBorders>
              <w:left w:val="single" w:sz="24" w:space="0" w:color="B42318"/>
            </w:tcBorders>
          </w:tcPr>
          <w:p>
            <w:pPr>
              <w:spacing w:before="20" w:after="20" w:line="264" w:lineRule="auto"/>
            </w:pPr>
            <w:r>
              <w:rPr>
                <w:rFonts w:ascii="Arial" w:hAnsi="Arial" w:eastAsia="Arial"/>
                <w:b/>
                <w:i w:val="0"/>
                <w:color w:val="B42318"/>
                <w:sz w:val="18"/>
              </w:rPr>
              <w:t>ATENCIÓN: 1 norma involucra directamente a la ATU</w:t>
            </w:r>
          </w:p>
          <w:p>
            <w:pPr>
              <w:spacing w:before="0" w:after="20" w:line="264" w:lineRule="auto"/>
            </w:pPr>
            <w:r>
              <w:rPr>
                <w:rFonts w:ascii="Arial" w:hAnsi="Arial" w:eastAsia="Arial"/>
                <w:b w:val="0"/>
                <w:i w:val="0"/>
                <w:color w:val="B42318"/>
                <w:sz w:val="18"/>
              </w:rPr>
              <w:t xml:space="preserve">▪ </w:t>
            </w:r>
            <w:r>
              <w:rPr>
                <w:rFonts w:ascii="Arial" w:hAnsi="Arial" w:eastAsia="Arial"/>
                <w:b/>
                <w:i w:val="0"/>
                <w:sz w:val="18"/>
              </w:rPr>
              <w:t>RESOLUCIÓN  N° 221-2026-ATU/PE</w:t>
            </w:r>
            <w:r>
              <w:rPr>
                <w:rFonts w:ascii="Arial" w:hAnsi="Arial" w:eastAsia="Arial"/>
                <w:b w:val="0"/>
                <w:i w:val="0"/>
                <w:sz w:val="18"/>
              </w:rPr>
              <w:t xml:space="preserve"> (Autoridad de Transporte Urbano para Lima y Callao): Autorizan transferencia financiera a favor de municipalidades distritales de la provincia de Lima con las que se celebraron convenios para la fiscalización del servicio público de transporte terrestre de personas</w:t>
            </w:r>
          </w:p>
        </w:tc>
      </w:tr>
    </w:tbl>
    <w:p>
      <w:pPr>
        <w:spacing w:before="0" w:after="80" w:line="276" w:lineRule="auto"/>
      </w:pP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2A78D6"/>
            </w:tcBorders>
          </w:tcPr>
          <w:p>
            <w:pPr>
              <w:spacing w:before="20" w:after="20" w:line="264" w:lineRule="auto"/>
            </w:pPr>
            <w:r>
              <w:rPr>
                <w:rFonts w:ascii="Arial" w:hAnsi="Arial" w:eastAsia="Arial"/>
                <w:b/>
                <w:i w:val="0"/>
                <w:color w:val="0A2F5C"/>
                <w:sz w:val="17"/>
              </w:rPr>
              <w:t>ATU Y TRANSPORTE URBANO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221-2026-ATU/PE</w:t>
              </w:r>
            </w:hyperlink>
          </w:p>
          <w:p>
            <w:pPr>
              <w:spacing w:before="0" w:after="20" w:line="252" w:lineRule="auto"/>
            </w:pPr>
            <w:r>
              <w:rPr>
                <w:rFonts w:ascii="Arial" w:hAnsi="Arial" w:eastAsia="Arial"/>
                <w:b w:val="0"/>
                <w:i w:val="0"/>
                <w:color w:val="5B6880"/>
                <w:sz w:val="15"/>
              </w:rPr>
              <w:t>AUTORIDAD DE TRANSPORTE URBANO PARA LIMA Y CALLAO</w:t>
            </w:r>
          </w:p>
        </w:tc>
        <w:tc>
          <w:tcPr>
            <w:tcW w:type="dxa" w:w="4762"/>
          </w:tcPr>
          <w:p>
            <w:pPr>
              <w:spacing w:before="20" w:after="20" w:line="264" w:lineRule="auto"/>
            </w:pPr>
            <w:r>
              <w:rPr>
                <w:rFonts w:ascii="Arial" w:hAnsi="Arial" w:eastAsia="Arial"/>
                <w:b w:val="0"/>
                <w:i w:val="0"/>
                <w:sz w:val="17"/>
              </w:rPr>
              <w:t>Autorizan transferencia financiera a favor de municipalidades distritales de la provincia de Lima con las que se celebraron convenios para la fiscalización del servicio público de transporte terrestre de personas</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(13)</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RESOLUCIÓN VICE MINISTERIAL N° 0011-2026-EF/11.01</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Resolución Viceministerial que modifica el Anexo 03 de la Resolución Viceministerial N° 0005-2025-EF/11.01 Resolución Viceministerial que aprueba el Cronograma Anual Mensualizado para el Pago de las Remuneraciones y Pensiones en la Administración Pública así como de las Pensiones correspondientes al Decreto Ley N° 19990 financiadas con cargo al presupuesto institucional de la ONP a aplicarse durante el Año Fiscal 2026</w:t>
            </w:r>
          </w:p>
        </w:tc>
        <w:tc>
          <w:tcPr>
            <w:tcW w:type="dxa" w:w="1247"/>
          </w:tcPr>
          <w:p>
            <w:pPr>
              <w:spacing w:before="20" w:after="20" w:line="264" w:lineRule="auto"/>
              <w:jc w:val="center"/>
            </w:pPr>
            <w:r>
              <w:rPr>
                <w:rFonts w:ascii="Arial" w:hAnsi="Arial" w:eastAsia="Arial"/>
                <w:b w:val="0"/>
                <w:i w:val="0"/>
                <w:sz w:val="17"/>
              </w:rPr>
              <w:t>26/09/2026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203-2026-EF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diversos Gobiernos Locales</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ACUERDO  N° 289-2026-GRA/CR-AREQUIPA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Cayarani</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ACUERDO  N° 290-2026-GRA/CR-AREQUIPA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Caylloma</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ACUERDO  N° 291-2026-GRA/CR-AREQUIPA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Islay</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ACUERDO  N° 292-2026-GRA/CR-AREQUIPA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Cabanaconde</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8</w:t>
            </w:r>
          </w:p>
        </w:tc>
        <w:tc>
          <w:tcPr>
            <w:tcW w:type="dxa" w:w="2835"/>
          </w:tcPr>
          <w:p>
            <w:pPr>
              <w:spacing w:before="20" w:after="20" w:line="264" w:lineRule="auto"/>
            </w:pPr>
            <w:hyperlink r:id="rId18">
              <w:r>
                <w:rPr>
                  <w:rFonts w:ascii="Arial" w:hAnsi="Arial" w:eastAsia="Arial" w:cs="Arial"/>
                  <w:b/>
                  <w:color w:val="0B5CAD"/>
                  <w:sz w:val="17"/>
                  <w:u w:val="single"/>
                </w:rPr>
                <w:t xml:space="preserve">ACUERDO  N° 293-2026-GRA/CR-AREQUIPA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Tomepampa</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9</w:t>
            </w:r>
          </w:p>
        </w:tc>
        <w:tc>
          <w:tcPr>
            <w:tcW w:type="dxa" w:w="2835"/>
          </w:tcPr>
          <w:p>
            <w:pPr>
              <w:spacing w:before="20" w:after="20" w:line="264" w:lineRule="auto"/>
            </w:pPr>
            <w:hyperlink r:id="rId19">
              <w:r>
                <w:rPr>
                  <w:rFonts w:ascii="Arial" w:hAnsi="Arial" w:eastAsia="Arial" w:cs="Arial"/>
                  <w:b/>
                  <w:color w:val="0B5CAD"/>
                  <w:sz w:val="17"/>
                  <w:u w:val="single"/>
                </w:rPr>
                <w:t xml:space="preserve">ACUERDO  N° 294-2026-GRA/CR-AREQUIPA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Huaynacotas</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10</w:t>
            </w:r>
          </w:p>
        </w:tc>
        <w:tc>
          <w:tcPr>
            <w:tcW w:type="dxa" w:w="2835"/>
          </w:tcPr>
          <w:p>
            <w:pPr>
              <w:spacing w:before="20" w:after="20" w:line="264" w:lineRule="auto"/>
            </w:pPr>
            <w:hyperlink r:id="rId20">
              <w:r>
                <w:rPr>
                  <w:rFonts w:ascii="Arial" w:hAnsi="Arial" w:eastAsia="Arial" w:cs="Arial"/>
                  <w:b/>
                  <w:color w:val="0B5CAD"/>
                  <w:sz w:val="17"/>
                  <w:u w:val="single"/>
                </w:rPr>
                <w:t xml:space="preserve">ACUERDO  N° 000179 -2026-GRLL-CR</w:t>
              </w:r>
            </w:hyperlink>
          </w:p>
          <w:p>
            <w:pPr>
              <w:spacing w:before="0" w:after="20" w:line="252" w:lineRule="auto"/>
            </w:pPr>
            <w:r>
              <w:rPr>
                <w:rFonts w:ascii="Arial" w:hAnsi="Arial" w:eastAsia="Arial"/>
                <w:b w:val="0"/>
                <w:i w:val="0"/>
                <w:color w:val="5B6880"/>
                <w:sz w:val="15"/>
              </w:rPr>
              <w:t>GOBIERNO REGIONAL DE LA LIBERTAD</w:t>
            </w:r>
          </w:p>
        </w:tc>
        <w:tc>
          <w:tcPr>
            <w:tcW w:type="dxa" w:w="4762"/>
          </w:tcPr>
          <w:p>
            <w:pPr>
              <w:spacing w:before="20" w:after="20" w:line="264" w:lineRule="auto"/>
            </w:pPr>
            <w:r>
              <w:rPr>
                <w:rFonts w:ascii="Arial" w:hAnsi="Arial" w:eastAsia="Arial"/>
                <w:b w:val="0"/>
                <w:i w:val="0"/>
                <w:sz w:val="17"/>
              </w:rPr>
              <w:t>Aprueban Transferencia Financiera a favor de la Municipalidad Distrital de El Porvenir</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11</w:t>
            </w:r>
          </w:p>
        </w:tc>
        <w:tc>
          <w:tcPr>
            <w:tcW w:type="dxa" w:w="2835"/>
          </w:tcPr>
          <w:p>
            <w:pPr>
              <w:spacing w:before="20" w:after="20" w:line="264" w:lineRule="auto"/>
            </w:pPr>
            <w:hyperlink r:id="rId21">
              <w:r>
                <w:rPr>
                  <w:rFonts w:ascii="Arial" w:hAnsi="Arial" w:eastAsia="Arial" w:cs="Arial"/>
                  <w:b/>
                  <w:color w:val="0B5CAD"/>
                  <w:sz w:val="17"/>
                  <w:u w:val="single"/>
                </w:rPr>
                <w:t xml:space="preserve">ACUERDO  N° 000180-2026-GRLL-CR</w:t>
              </w:r>
            </w:hyperlink>
          </w:p>
          <w:p>
            <w:pPr>
              <w:spacing w:before="0" w:after="20" w:line="252" w:lineRule="auto"/>
            </w:pPr>
            <w:r>
              <w:rPr>
                <w:rFonts w:ascii="Arial" w:hAnsi="Arial" w:eastAsia="Arial"/>
                <w:b w:val="0"/>
                <w:i w:val="0"/>
                <w:color w:val="5B6880"/>
                <w:sz w:val="15"/>
              </w:rPr>
              <w:t>GOBIERNO REGIONAL DE LA LIBERTAD</w:t>
            </w:r>
          </w:p>
        </w:tc>
        <w:tc>
          <w:tcPr>
            <w:tcW w:type="dxa" w:w="4762"/>
          </w:tcPr>
          <w:p>
            <w:pPr>
              <w:spacing w:before="20" w:after="20" w:line="264" w:lineRule="auto"/>
            </w:pPr>
            <w:r>
              <w:rPr>
                <w:rFonts w:ascii="Arial" w:hAnsi="Arial" w:eastAsia="Arial"/>
                <w:b w:val="0"/>
                <w:i w:val="0"/>
                <w:sz w:val="17"/>
              </w:rPr>
              <w:t>Autorizan Transferencia Financiera a favor de la Municipalidad Provincial de Julcán</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12</w:t>
            </w:r>
          </w:p>
        </w:tc>
        <w:tc>
          <w:tcPr>
            <w:tcW w:type="dxa" w:w="2835"/>
          </w:tcPr>
          <w:p>
            <w:pPr>
              <w:spacing w:before="20" w:after="20" w:line="264" w:lineRule="auto"/>
            </w:pPr>
            <w:hyperlink r:id="rId22">
              <w:r>
                <w:rPr>
                  <w:rFonts w:ascii="Arial" w:hAnsi="Arial" w:eastAsia="Arial" w:cs="Arial"/>
                  <w:b/>
                  <w:color w:val="0B5CAD"/>
                  <w:sz w:val="17"/>
                  <w:u w:val="single"/>
                </w:rPr>
                <w:t xml:space="preserve">RESOLUCIÓN MINISTERIAL  N° 00342-2026-PRODUCE</w:t>
              </w:r>
            </w:hyperlink>
          </w:p>
          <w:p>
            <w:pPr>
              <w:spacing w:before="0" w:after="20" w:line="252" w:lineRule="auto"/>
            </w:pPr>
            <w:r>
              <w:rPr>
                <w:rFonts w:ascii="Arial" w:hAnsi="Arial" w:eastAsia="Arial"/>
                <w:b w:val="0"/>
                <w:i w:val="0"/>
                <w:color w:val="5B6880"/>
                <w:sz w:val="15"/>
              </w:rPr>
              <w:t>PRODUCE</w:t>
            </w:r>
          </w:p>
        </w:tc>
        <w:tc>
          <w:tcPr>
            <w:tcW w:type="dxa" w:w="4762"/>
          </w:tcPr>
          <w:p>
            <w:pPr>
              <w:spacing w:before="20" w:after="20" w:line="264" w:lineRule="auto"/>
            </w:pPr>
            <w:r>
              <w:rPr>
                <w:rFonts w:ascii="Arial" w:hAnsi="Arial" w:eastAsia="Arial"/>
                <w:b w:val="0"/>
                <w:i w:val="0"/>
                <w:sz w:val="17"/>
              </w:rPr>
              <w:t>Autorizan Transferencia Financiera a favor del Núcleo Ejecutor de Compras (NEC) para el sector productivo de Cuero y Calzado destinada a financiar adquisición de bienes manufacturados para el Gobierno Regional La Libertad</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13</w:t>
            </w:r>
          </w:p>
        </w:tc>
        <w:tc>
          <w:tcPr>
            <w:tcW w:type="dxa" w:w="2835"/>
          </w:tcPr>
          <w:p>
            <w:pPr>
              <w:spacing w:before="20" w:after="20" w:line="264" w:lineRule="auto"/>
            </w:pPr>
            <w:hyperlink r:id="rId23">
              <w:r>
                <w:rPr>
                  <w:rFonts w:ascii="Arial" w:hAnsi="Arial" w:eastAsia="Arial" w:cs="Arial"/>
                  <w:b/>
                  <w:color w:val="0B5CAD"/>
                  <w:sz w:val="17"/>
                  <w:u w:val="single"/>
                </w:rPr>
                <w:t xml:space="preserve">RESOLUCIÓN JEFATURAL  N° 000155-2026-SIS/J</w:t>
              </w:r>
            </w:hyperlink>
          </w:p>
          <w:p>
            <w:pPr>
              <w:spacing w:before="0" w:after="20" w:line="252" w:lineRule="auto"/>
            </w:pPr>
            <w:r>
              <w:rPr>
                <w:rFonts w:ascii="Arial" w:hAnsi="Arial" w:eastAsia="Arial"/>
                <w:b w:val="0"/>
                <w:i w:val="0"/>
                <w:color w:val="5B6880"/>
                <w:sz w:val="15"/>
              </w:rPr>
              <w:t>SEGURO INTEGRAL DE SALUD</w:t>
            </w:r>
          </w:p>
        </w:tc>
        <w:tc>
          <w:tcPr>
            <w:tcW w:type="dxa" w:w="4762"/>
          </w:tcPr>
          <w:p>
            <w:pPr>
              <w:spacing w:before="20" w:after="20" w:line="264" w:lineRule="auto"/>
            </w:pPr>
            <w:r>
              <w:rPr>
                <w:rFonts w:ascii="Arial" w:hAnsi="Arial" w:eastAsia="Arial"/>
                <w:b w:val="0"/>
                <w:i w:val="0"/>
                <w:sz w:val="17"/>
              </w:rPr>
              <w:t>Aprueban Transferencia Financiera de la Unidad Ejecutora 002 – 1423 Fondo Intangible Solidario de Salud – FISSAL a favor de unidades ejecutoras</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567"/>
          </w:tcPr>
          <w:p>
            <w:pPr>
              <w:spacing w:before="20" w:after="20" w:line="264" w:lineRule="auto"/>
              <w:jc w:val="center"/>
            </w:pPr>
            <w:r>
              <w:rPr>
                <w:rFonts w:ascii="Arial" w:hAnsi="Arial" w:eastAsia="Arial"/>
                <w:b/>
                <w:i w:val="0"/>
                <w:color w:val="0A2F5C"/>
                <w:sz w:val="18"/>
              </w:rPr>
              <w:t>14</w:t>
            </w:r>
          </w:p>
        </w:tc>
        <w:tc>
          <w:tcPr>
            <w:tcW w:type="dxa" w:w="2835"/>
          </w:tcPr>
          <w:p>
            <w:pPr>
              <w:spacing w:before="20" w:after="20" w:line="264" w:lineRule="auto"/>
            </w:pPr>
            <w:hyperlink r:id="rId24">
              <w:r>
                <w:rPr>
                  <w:rFonts w:ascii="Arial" w:hAnsi="Arial" w:eastAsia="Arial" w:cs="Arial"/>
                  <w:b/>
                  <w:color w:val="0B5CAD"/>
                  <w:sz w:val="17"/>
                  <w:u w:val="single"/>
                </w:rPr>
                <w:t xml:space="preserve">RESOLUCIÓN MINISTERIAL  N° 387-2026-VIVIENDA</w:t>
              </w:r>
            </w:hyperlink>
          </w:p>
          <w:p>
            <w:pPr>
              <w:spacing w:before="0" w:after="20" w:line="252" w:lineRule="auto"/>
            </w:pPr>
            <w:r>
              <w:rPr>
                <w:rFonts w:ascii="Arial" w:hAnsi="Arial" w:eastAsia="Arial"/>
                <w:b w:val="0"/>
                <w:i w:val="0"/>
                <w:color w:val="5B6880"/>
                <w:sz w:val="15"/>
              </w:rPr>
              <w:t>VIVIENDA, CONSTRUCCIÓN Y SANEAMIENTO</w:t>
            </w:r>
          </w:p>
        </w:tc>
        <w:tc>
          <w:tcPr>
            <w:tcW w:type="dxa" w:w="4762"/>
          </w:tcPr>
          <w:p>
            <w:pPr>
              <w:spacing w:before="20" w:after="20" w:line="264" w:lineRule="auto"/>
            </w:pPr>
            <w:r>
              <w:rPr>
                <w:rFonts w:ascii="Arial" w:hAnsi="Arial" w:eastAsia="Arial"/>
                <w:b w:val="0"/>
                <w:i w:val="0"/>
                <w:sz w:val="17"/>
              </w:rPr>
              <w:t>Autorizan Transferencia Financiera a favor del Instituto Geofísico del Perú para financiar la elaboración de cinco (5) estudios de Zonificación Geofísica - Geotécnica en áreas urbanas de diversos distritos de las provincias de Chupaca y Huancayo departamento de Junín</w:t>
            </w:r>
          </w:p>
        </w:tc>
        <w:tc>
          <w:tcPr>
            <w:tcW w:type="dxa" w:w="1247"/>
          </w:tcPr>
          <w:p>
            <w:pPr>
              <w:spacing w:before="20" w:after="20" w:line="264" w:lineRule="auto"/>
              <w:jc w:val="center"/>
            </w:pPr>
            <w:r>
              <w:rPr>
                <w:rFonts w:ascii="Arial" w:hAnsi="Arial" w:eastAsia="Arial"/>
                <w:b w:val="0"/>
                <w:i w:val="0"/>
                <w:sz w:val="17"/>
              </w:rPr>
              <w:t>26/09/2026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15</w:t>
            </w:r>
          </w:p>
        </w:tc>
        <w:tc>
          <w:tcPr>
            <w:tcW w:type="dxa" w:w="2835"/>
          </w:tcPr>
          <w:p>
            <w:pPr>
              <w:spacing w:before="20" w:after="20" w:line="264" w:lineRule="auto"/>
            </w:pPr>
            <w:hyperlink r:id="rId25">
              <w:r>
                <w:rPr>
                  <w:rFonts w:ascii="Arial" w:hAnsi="Arial" w:eastAsia="Arial" w:cs="Arial"/>
                  <w:b/>
                  <w:color w:val="0B5CAD"/>
                  <w:sz w:val="17"/>
                  <w:u w:val="single"/>
                </w:rPr>
                <w:t xml:space="preserve">RESOLUCIÓN MINISTERIAL  N° 369-2026-JUS</w:t>
              </w:r>
            </w:hyperlink>
          </w:p>
          <w:p>
            <w:pPr>
              <w:spacing w:before="0" w:after="20" w:line="252" w:lineRule="auto"/>
            </w:pPr>
            <w:r>
              <w:rPr>
                <w:rFonts w:ascii="Arial" w:hAnsi="Arial" w:eastAsia="Arial"/>
                <w:b w:val="0"/>
                <w:i w:val="0"/>
                <w:color w:val="5B6880"/>
                <w:sz w:val="15"/>
              </w:rPr>
              <w:t>JUSTICIA Y DERECHOS HUMANOS</w:t>
            </w:r>
          </w:p>
        </w:tc>
        <w:tc>
          <w:tcPr>
            <w:tcW w:type="dxa" w:w="4762"/>
          </w:tcPr>
          <w:p>
            <w:pPr>
              <w:spacing w:before="20" w:after="20" w:line="264" w:lineRule="auto"/>
            </w:pPr>
            <w:r>
              <w:rPr>
                <w:rFonts w:ascii="Arial" w:hAnsi="Arial" w:eastAsia="Arial"/>
                <w:b w:val="0"/>
                <w:i w:val="0"/>
                <w:sz w:val="17"/>
              </w:rPr>
              <w:t>Delegan en la Secretaría General la facultad de aprobar la modificación de la Cartera de Inversiones del Programa Multianual de Inversiones del Sector Justicia y Derechos Humanos por la incorporación de inversiones no programadas</w:t>
            </w:r>
          </w:p>
        </w:tc>
        <w:tc>
          <w:tcPr>
            <w:tcW w:type="dxa" w:w="1247"/>
          </w:tcPr>
          <w:p>
            <w:pPr>
              <w:spacing w:before="20" w:after="20" w:line="264" w:lineRule="auto"/>
              <w:jc w:val="center"/>
            </w:pPr>
            <w:r>
              <w:rPr>
                <w:rFonts w:ascii="Arial" w:hAnsi="Arial" w:eastAsia="Arial"/>
                <w:b w:val="0"/>
                <w:i w:val="0"/>
                <w:sz w:val="17"/>
              </w:rPr>
              <w:t>26/09/2026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ATU y transporte urbano</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2A78D6"/>
            </w:tcBorders>
          </w:tcPr>
          <w:p>
            <w:pPr>
              <w:spacing w:before="20" w:after="20" w:line="264" w:lineRule="auto"/>
            </w:pPr>
            <w:r>
              <w:rPr>
                <w:rFonts w:ascii="Arial" w:hAnsi="Arial" w:eastAsia="Arial"/>
                <w:b/>
                <w:i w:val="0"/>
                <w:color w:val="0A2F5C"/>
                <w:sz w:val="19"/>
              </w:rPr>
              <w:t>1.  RESOLUCIÓN  N° 221-2026-ATU/PE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AUTORIDAD DE TRANSPORTE URBANO PARA LIMA Y CALLAO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ATU y transporte urbano · 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municipalidades distritales de la provincia de Lima con las que se celebraron convenios para la fiscalización del servicio público de transporte terrestre de personas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Financiera a favor de las Municipalidades Autorizar la transferencia financiera del Pliego 203: Autoridad de Transporte Urbano para Lima y Callao - ATU hasta por la suma de S/ 1 239 632,75 (Un Millón Doscientos Treinta y Nueve Mil Seiscientos Treinta y Dos y 75/100 Soles), correspondiente a la Séptima Liquidación - 2026, a favor de las municipalidades distritales de la provincia de Lima, con las cuales se celebraron convenios de cooperación interinstitucional para la fiscalización del servicio público de transporte terrestre de personas, conforme a lo establecido en el literal ñ) del numeral 13.1 del artículo 13 de la Ley N° 32513, Ley de Presupuesto del Sector…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1 239 632,75 · S/ 2,173,797.50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RESOLUCIÓN VICE MINISTERIAL N° 0011-2026-EF/11.01</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Resolución Viceministerial que modifica el Anexo 03 de la Resolución Viceministerial N° 0005-2025-EF/11.01 Resolución Viceministerial que aprueba el Cronograma Anual Mensualizado para el Pago de las Remuneraciones y Pensiones en la Administración Pública así como de las Pensiones correspondientes al Decreto Ley N° 19990 financiadas con cargo al presupuesto institucional de la ONP a aplicarse durante el Año Fiscal 2026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Modificación del Anexo 03 Cronograma de Pagos Anual Mensualizado de Pensiones (Decreto Ley N° 19990) para el Año Fiscal 2026 a cargo de la Oficina de Normalización Previsional, de la Resolución Viceministerial Nº 0005-2025-EF/11.01 Se modifica el Anexo 03 Cronograma de Pagos Anual Mensualizado de Pensiones (Decreto Ley N° 19990) para el Año Fiscal 2026, a cargo de la Oficina de Normalización Previsional, de la Resolución Viceministerial N° 0005-2025-EF/11.01, Resolución Viceministerial que aprueba el Cronograma Anual Mensualizado para el Pago de las Remuneraciones y Pensiones en la Administración Pública, así como de las Pensiones correspondientes al Decreto Ley N° 19990…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203-2026-EF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diversos Gobiernos Locales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1.1 Se autoriza una Transferencia de Partidas en el Presupuesto del Sector Público para el Año Fiscal 2026, hasta por la suma de S/ 1 846 267,00 (UN MILLÓN OCHOCIENTOS CUARENTA Y SEIS MIL DOSCIENTOS SESENTA Y SIETE Y 00/100 SOLES), por la fuente de financiamiento Recursos Ordinarios, a favor de diversos Gobiernos Locales, para financiar el servicio de limpieza pública y recojo de residuos sólidos por la visita de su Santidad el Papa León XIV al Perú, a realizarse del 11 al 17 de noviembre del año 2026, con cargo a los recursos de la Reserva de Contingencia del Ministerio de Economía y Finanzas, de acuerdo con el siguiente detalle: DE LA: En Soles SECCIÓN PRIMERA :…</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1 846 267,00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ACUERDO  N° 289-2026-GRA/CR-AREQUIPA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Cayarani</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a favor de la Municipalidad Distrital de Cayarani conforme el siguiente detalle: Nº PROVINCIA ENTIDAD PROYECTO CUI MONTO TOTAL 1 Condesuyos Cayarani RENOVACION DE PUENTE PEATONAL; EN EL(LA) PUENTE CAYARANI, DISTRITO DE CAYARANI, PROVINCIA CONDESUYOS, DEPARTAMENTO AREQUIPA 2731777 s/. 700,000.00 Artículo Segundo.- DISPONER que la Gerencia General Regional remita copia del convenio que se suscriba al amparo del presente Acuerdo Regional en un plazo de 05 días hábiles, a partir de su suscripción. Artículo Tercero.- DISPONER que la transferencia financiera que se aprueba no podrá ser destinada a ninguna actividad y/o proyecto distinto 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5.  ACUERDO  N° 290-2026-GRA/CR-AREQUIPA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Caylloma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a favor de la municipalidad Distrital de Caylloma conforme el siguiente detalle: Nº PROVINCIA ENTIDAD PROYECTO CUI MONTO TOTAL 1 Caylloma Caylloma MEJORAMIENTO Y AMPLIACION DE LOS SERVICIOS FUNERARIOS Y DE SEPULTURA EN CEMETERIO CENTRAL CAYLLOMA DE CENTRO POBLADO CAYLLOMA DISTRITO DE CAYLLOMA DE LA PROVINCIA DE CAYLLOMA DEL DEPARTAMENTO DE AREQUIPA 2632609 s/. 1´000,000.00 Artículo Segundo.- DISPONER que la Gerencia General Regional remita copia del convenio que se suscriba al amparo del presente Acuerdo Regional en un plazo de 05 días hábiles, a partir de su suscripción. Artículo Tercero.- DISPONER que la transferencia financiera que…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6.  ACUERDO  N° 291-2026-GRA/CR-AREQUIPA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Islay</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 APROBAR, la transferencia financiera a favor de la municipalidad Distrital de Islay conforme el siguiente detalle: Nº PROVINCIA ENTIDAD FICHA DE MANTENIMIENTO MONTO TOTAL 1 Islay Islay “MANTENIMIENTO DE LAS VÍAS LOCALES DE CALLE AV. MIGUEL GRAU, AV. SIMÓN BOLIVAR, TRAMO FARITO – CENTRO DE ENSEÑANZAS; DEL CENTRO POBLADO MATARANI – DISTRITO ISLAY – PROVINCIA ISLAY- DEPARTAMENTO DE AREQUIPA S/. 299,999.27 Artículo Segundo .- DISPONER que la Gerencia General Regional remita copia del convenio que se suscriba al amparo del presente Acuerdo Regional en un plazo de 05 días hábiles, a partir de su suscripción. Artículo Tercero .- DISPONER que la transferencia financiera que se…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7.  ACUERDO  N° 292-2026-GRA/CR-AREQUIPA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Cabanaconde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del Gobierno Regional de Arequipa a favor de la Municipalidad Distrital de Cabanaconde, hasta por la suma de S/ 396,883.54 (TRESCIENTOS NOVENTA Y SEIS MIL OCHOCIENTOS OCHENTA Y TRES CON 54/100 SOLES), con cargo a la fuente de financiamiento Recursos Determinados, destinada exclusivamente al financiamiento de la Ficha Técnica de Mantenimiento denominada “MANTENIMIENTO DE SISTEMA DE TUBERÍAS EN EL DISTRITO DE CABANACONDE, PROVINCIA DE CAYLLOMA, DEPARTAMENTO DE AREQUIPA”, aprobada mediante Resolución de Alcaldía Nº 133-2026/MDC-A. Artículo Segundo.- PRECISAR que la transferencia financiera autorizada se encuentra sujeta a la disponibilidad…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396,883.54</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8.  ACUERDO  N° 293-2026-GRA/CR-AREQUIPA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Tomepampa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 APROBAR la transferencia financiera del Gobierno Regional de Arequipa a favor de la Municipalidad Distrital de Tomepampa, hasta por la suma de S/ 199,996.97 (Ciento noventa y nueve mil novecientos noventa y seis con 97/100 soles), destinada exclusivamente al financiamiento de la ejecución de la IOARR denominada “CONSTRUCCIÓN DE COBERTURA DE INSTALACIONES DEPORTIVAS Y COBERTURA PARA PROTECCIÓN DE ESTRUCTURAS, EN EL(LA) I.E. 40531 HONOFRE BENAVIDES, DISTRITO DE TOMEPAMPA, PROVINCIA LA UNIÓN, DEPARTAMENTO AREQUIPA”, con CUI Nº 2738756. Artículo Segundo.- PRECISAR que la transferencia financiera autorizada mediante el presente Acuerdo Regional se encuentra sujeta a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229,996.97 · S/ 199,996.97</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8">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9.  ACUERDO  N° 294-2026-GRA/CR-AREQUIPA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Huaynacotas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del Gobierno Regional de Arequipa a favor de la Municipalidad Distrital de Huaynacotas, hasta por la suma de S/ 1,398,243.96 (Un millón trescientos noventa y ocho mil doscientos cuarenta y tres con 96/100 soles), destinada exclusivamente al financiamiento de la ejecución de la IOARR denominada: “CONSTRUCCIÓN DE CALZADA O PISTA; EN EL(LA) CALLE HUAYNACOTAS, CRUZ VERDE, PERÚ, CENTENARIO, LIMA, INDEPENDENCIA Y TACNA EN EL CENTRO POBLADO HUAYNACOTAS, DISTRITO DE HUAYNACOTAS, PROVINCIA LA UNIÓN, DEPARTAMENTO AREQUIPA”, con CUI Nº 2737304. Artículo Segundo.- PRECISAR que la transferencia financiera autorizada mediante el presente Acuerdo…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1,398,243.96</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9">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10.  ACUERDO  N° 000179 -2026-GRLL-CR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LA LIBERTAD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 Municipalidad Distrital de El Porvenir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a favor de la Municipalidad Distrital de EL PORVENIR, hasta por la suma de S/ 4,233,927.10 (Cuatro millones doscientos treinta y tres mil novecientos veintisiete con 10/100 soles), destinados al financiamiento de la ejecución física del Proyecto “MEJORAMIENTO DEL SERVICIO DE TRANSITABILIDAD VEHICULAR Y PEATONAL EN LA CALLE ANTONIO RIVERO, DISTRITO DE EL PORVENIR, PROVINCIA DE TRUJILLO, DEPARTAMENTO DE LA LIBERTAD” con CUI Nº 2491504; los cuales no podrán ser destinados a fines distintos de aquellos para los cuales son transferidos. Artículo Segundo.- AUTORIZAR al Gobernador del Gobierno Regional La Libertad a disponer las acciones…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4,233,927.10 · S/ 3,911,476.38 · S/ 144,996.98 · S/ 177,453.74</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0">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11.  ACUERDO  N° 000180-2026-GRLL-CR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LA LIBERTAD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Municipalidad Provincial de Julcán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a favor de la Municipalidad Provincial de JULCÁN, hasta por la suma de S/ 1,192,917.00 (Un millón ciento noventa y dos mil novecientos diecisiete con 00/100 soles), destinados al financiamiento de la ejecución física de la IOARR: “CONSTRUCCIÓN DE CALZADA O PISTA Y VEREDA O ACERA EN LA CALLE LUIS FELIPE Y LA CALLE BANCHERO ROSI, DISTRITO Y PROVINCIA DE JULCÁN, DEPARTAMENTO DE LA LIBERTAD” con CUI Nº 2729734; los cuales no podrán ser destinados a fines distintos de aquellos para los cuales son transferidos. Artículo Segundo.- AUTORIZAR al Gobernador del Gobierno Regional La Libertad a disponer las acciones necesarias para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1,192,916.00 · S/ 1,169,525.55 · S/ 23,390.51 · S/ 43,800.00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12.  RESOLUCIÓN MINISTERIAL  N° 00342-2026-PRODUCE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PRODUCE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del Núcleo Ejecutor de Compras (NEC) para el sector productivo de Cuero y Calzado destinada a financiar adquisición de bienes manufacturados para el Gobierno Regional La Libertad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Autorización de Transferencia Financiera a favor del Núcleo Ejecutor de Compras (NEC) para el sector productivo de Cuero y Calzado Autorizar una Transferencia Financiera a favor del Núcleo Ejecutor de Compras (NEC) para el sector productivo de Cuero y Calzado, hasta por la suma de S/ 3 304 529,90 (TRES MILLONES TRESCIENTOS CUATRO MIL QUINIENTOS VEINTINUEVE Y 90/100 SOLES), destinada a financiar la adquisición de los bienes manufacturados especializados del sector Cuero y Calzado para el Gobierno Regional La Libertad, así como los gastos correspondientes a la gestión administrativa y operativa del referido NEC, en el marco de lo establecido en el artículo 11 del Decreto…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2 999 989,46 · S/ 6 522,56 · S/ 2 993 466,90 · S/ 311 063,00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13.  RESOLUCIÓN JEFATURAL  N° 000155-2026-SIS/J</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SEGURO INTEGRAL DE SALUD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de la Unidad Ejecutora 002 – 1423 Fondo Intangible Solidario de Salud – FISSAL a favor de unidades ejecutoras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Aprobación de la Transferencia Financiera Aprobar la Transferencia Financiera de la Unidad Ejecutora 002 – 1423 Fondo Intangible Solidario de Salud – FISSAL, correspondiente al calendario setiembre 2026, hasta por la suma de S/ 13,584,053.00 (TRECE MILLONES QUINIENTOS OCHENTA Y CUATRO MIL CINCUENTA Y TRES Y 00/100 SOLES) , con cargo a la Fuente de Financiamiento 1: Recursos Ordinarios, a favor de las unidades ejecutoras detalladas en los Anexos N° 1, 2 y 3, que forman parte integrante de la presente Resolución Jefatural, para el financiamiento de las prestaciones de salud y administrativas, en mérito a los convenios y adendas suscritos. Artículo 2.- Limitación al uso de los…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w:t>
              <w:br/>
              <w:t>13,584,053.00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5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5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14.  RESOLUCIÓN MINISTERIAL  N° 387-2026-VIVIENDA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VIVIENDA, CONSTRUCCIÓN Y SANEAMIENTO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del Instituto Geofísico del Perú para financiar la elaboración de cinco (5) estudios de Zonificación Geofísica - Geotécnica en áreas urbanas de diversos distritos de las provincias de Chupaca y Huancayo departamento de Junín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Financiera a favor del Instituto Geofísico del Perú Autorizar la Transferencia Financiera del Pliego 037: Ministerio de Vivienda, Construcción y Saneamiento, Unidad Ejecutora 001: Ministerio de Vivienda, Construcción y Saneamiento - Administración General, hasta por la suma de S/ 93 430,00 (NOVENTA Y TRES MIL CUATROCIENTOS TREINTA Y 00/100 SOLES), a favor del Pliego 112: Instituto Geofísico del Perú, para financiar la elaboración de cinco (5) estudios de Zonificación Geofísica - Geotécnica en las áreas urbanas de los distritos de Ahuac, San Juan de Iscos, Chongos Bajo y Chupaca, provincia de Chupaca, y Chupuro, provincia de Huancayo, departamento de Junín, en…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3 930 661 286,00 · S/ 93 430,00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5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53">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2.3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15.  RESOLUCIÓN MINISTERIAL  N° 369-2026-JUS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JUSTICIA Y DERECHOS HUMANOS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26/09/2026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Delegan en la Secretaría General la facultad de aprobar la modificación de la Cartera de Inversiones del Programa Multianual de Inversiones del Sector Justicia y Derechos Humanos por la incorporación de inversiones no programadas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Delegar en la Secretaría General la facultad de aprobar la modificación de la Cartera de Inversiones del Programa Multianual de Inversiones del Sector Justicia y Derechos Humanos, por la incorporación de inversiones no programadas. Artículo 2.- Publicar la presente Resolución en la sede digital del Ministerio de Justicia y Derechos Humanos (www.gob.pe/minjus). Regístrese, comuníquese y publíquese. ERNESTO ÁLVAREZ MIRANDA Ministro de Justicia y Derechos Humanos Ministerio de Justicia y Derechos Humanos 2558445-1</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5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55">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56">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8580-1" TargetMode="External"/><Relationship Id="rId12" Type="http://schemas.openxmlformats.org/officeDocument/2006/relationships/hyperlink" Target="https://busquedas.elperuano.pe/api/visor_html/2558719-1" TargetMode="External"/><Relationship Id="rId13" Type="http://schemas.openxmlformats.org/officeDocument/2006/relationships/hyperlink" Target="https://busquedas.elperuano.pe/api/visor_html/2558717-1" TargetMode="External"/><Relationship Id="rId14" Type="http://schemas.openxmlformats.org/officeDocument/2006/relationships/hyperlink" Target="https://busquedas.elperuano.pe/api/visor_html/2558414-1" TargetMode="External"/><Relationship Id="rId15" Type="http://schemas.openxmlformats.org/officeDocument/2006/relationships/hyperlink" Target="https://busquedas.elperuano.pe/api/visor_html/2558419-1" TargetMode="External"/><Relationship Id="rId16" Type="http://schemas.openxmlformats.org/officeDocument/2006/relationships/hyperlink" Target="https://busquedas.elperuano.pe/api/visor_html/2558420-1" TargetMode="External"/><Relationship Id="rId17" Type="http://schemas.openxmlformats.org/officeDocument/2006/relationships/hyperlink" Target="https://busquedas.elperuano.pe/api/visor_html/2558424-1" TargetMode="External"/><Relationship Id="rId18" Type="http://schemas.openxmlformats.org/officeDocument/2006/relationships/hyperlink" Target="https://busquedas.elperuano.pe/api/visor_html/2558428-1" TargetMode="External"/><Relationship Id="rId19" Type="http://schemas.openxmlformats.org/officeDocument/2006/relationships/hyperlink" Target="https://busquedas.elperuano.pe/api/visor_html/2558430-1" TargetMode="External"/><Relationship Id="rId20" Type="http://schemas.openxmlformats.org/officeDocument/2006/relationships/hyperlink" Target="https://busquedas.elperuano.pe/api/visor_html/2558313-1" TargetMode="External"/><Relationship Id="rId21" Type="http://schemas.openxmlformats.org/officeDocument/2006/relationships/hyperlink" Target="https://busquedas.elperuano.pe/api/visor_html/2558315-1" TargetMode="External"/><Relationship Id="rId22" Type="http://schemas.openxmlformats.org/officeDocument/2006/relationships/hyperlink" Target="https://busquedas.elperuano.pe/api/visor_html/2558715-1" TargetMode="External"/><Relationship Id="rId23" Type="http://schemas.openxmlformats.org/officeDocument/2006/relationships/hyperlink" Target="https://busquedas.elperuano.pe/api/visor_html/2558678-1" TargetMode="External"/><Relationship Id="rId24" Type="http://schemas.openxmlformats.org/officeDocument/2006/relationships/hyperlink" Target="https://busquedas.elperuano.pe/api/visor_html/2558704-1" TargetMode="External"/><Relationship Id="rId25" Type="http://schemas.openxmlformats.org/officeDocument/2006/relationships/hyperlink" Target="https://busquedas.elperuano.pe/api/visor_html/2558445-1" TargetMode="External"/><Relationship Id="rId26" Type="http://schemas.openxmlformats.org/officeDocument/2006/relationships/hyperlink" Target="https://busquedas.elperuano.pe/dispositivo/NL/2558580-1" TargetMode="External"/><Relationship Id="rId27" Type="http://schemas.openxmlformats.org/officeDocument/2006/relationships/hyperlink" Target="https://busquedas.elperuano.pe/dispositivo/NL/2558580-1/pdf" TargetMode="External"/><Relationship Id="rId28" Type="http://schemas.openxmlformats.org/officeDocument/2006/relationships/hyperlink" Target="https://busquedas.elperuano.pe/dispositivo/EX/2558719-1" TargetMode="External"/><Relationship Id="rId29" Type="http://schemas.openxmlformats.org/officeDocument/2006/relationships/hyperlink" Target="https://busquedas.elperuano.pe/dispositivo/EX/2558719-1/pdf" TargetMode="External"/><Relationship Id="rId30" Type="http://schemas.openxmlformats.org/officeDocument/2006/relationships/hyperlink" Target="https://busquedas.elperuano.pe/dispositivo/NL/2558717-1" TargetMode="External"/><Relationship Id="rId31" Type="http://schemas.openxmlformats.org/officeDocument/2006/relationships/hyperlink" Target="https://busquedas.elperuano.pe/dispositivo/NL/2558717-1/pdf" TargetMode="External"/><Relationship Id="rId32" Type="http://schemas.openxmlformats.org/officeDocument/2006/relationships/hyperlink" Target="https://busquedas.elperuano.pe/dispositivo/NL/2558414-1" TargetMode="External"/><Relationship Id="rId33" Type="http://schemas.openxmlformats.org/officeDocument/2006/relationships/hyperlink" Target="https://busquedas.elperuano.pe/dispositivo/NL/2558414-1/pdf" TargetMode="External"/><Relationship Id="rId34" Type="http://schemas.openxmlformats.org/officeDocument/2006/relationships/hyperlink" Target="https://busquedas.elperuano.pe/dispositivo/NL/2558419-1" TargetMode="External"/><Relationship Id="rId35" Type="http://schemas.openxmlformats.org/officeDocument/2006/relationships/hyperlink" Target="https://busquedas.elperuano.pe/dispositivo/NL/2558419-1/pdf" TargetMode="External"/><Relationship Id="rId36" Type="http://schemas.openxmlformats.org/officeDocument/2006/relationships/hyperlink" Target="https://busquedas.elperuano.pe/dispositivo/NL/2558420-1" TargetMode="External"/><Relationship Id="rId37" Type="http://schemas.openxmlformats.org/officeDocument/2006/relationships/hyperlink" Target="https://busquedas.elperuano.pe/dispositivo/NL/2558420-1/pdf" TargetMode="External"/><Relationship Id="rId38" Type="http://schemas.openxmlformats.org/officeDocument/2006/relationships/hyperlink" Target="https://busquedas.elperuano.pe/dispositivo/NL/2558424-1" TargetMode="External"/><Relationship Id="rId39" Type="http://schemas.openxmlformats.org/officeDocument/2006/relationships/hyperlink" Target="https://busquedas.elperuano.pe/dispositivo/NL/2558424-1/pdf" TargetMode="External"/><Relationship Id="rId40" Type="http://schemas.openxmlformats.org/officeDocument/2006/relationships/hyperlink" Target="https://busquedas.elperuano.pe/dispositivo/NL/2558428-1" TargetMode="External"/><Relationship Id="rId41" Type="http://schemas.openxmlformats.org/officeDocument/2006/relationships/hyperlink" Target="https://busquedas.elperuano.pe/dispositivo/NL/2558428-1/pdf" TargetMode="External"/><Relationship Id="rId42" Type="http://schemas.openxmlformats.org/officeDocument/2006/relationships/hyperlink" Target="https://busquedas.elperuano.pe/dispositivo/NL/2558430-1" TargetMode="External"/><Relationship Id="rId43" Type="http://schemas.openxmlformats.org/officeDocument/2006/relationships/hyperlink" Target="https://busquedas.elperuano.pe/dispositivo/NL/2558430-1/pdf" TargetMode="External"/><Relationship Id="rId44" Type="http://schemas.openxmlformats.org/officeDocument/2006/relationships/hyperlink" Target="https://busquedas.elperuano.pe/dispositivo/NL/2558313-1" TargetMode="External"/><Relationship Id="rId45" Type="http://schemas.openxmlformats.org/officeDocument/2006/relationships/hyperlink" Target="https://busquedas.elperuano.pe/dispositivo/NL/2558313-1/pdf" TargetMode="External"/><Relationship Id="rId46" Type="http://schemas.openxmlformats.org/officeDocument/2006/relationships/hyperlink" Target="https://busquedas.elperuano.pe/dispositivo/NL/2558315-1" TargetMode="External"/><Relationship Id="rId47" Type="http://schemas.openxmlformats.org/officeDocument/2006/relationships/hyperlink" Target="https://busquedas.elperuano.pe/dispositivo/NL/2558315-1/pdf" TargetMode="External"/><Relationship Id="rId48" Type="http://schemas.openxmlformats.org/officeDocument/2006/relationships/hyperlink" Target="https://busquedas.elperuano.pe/dispositivo/NL/2558715-1" TargetMode="External"/><Relationship Id="rId49" Type="http://schemas.openxmlformats.org/officeDocument/2006/relationships/hyperlink" Target="https://busquedas.elperuano.pe/dispositivo/NL/2558715-1/pdf" TargetMode="External"/><Relationship Id="rId50" Type="http://schemas.openxmlformats.org/officeDocument/2006/relationships/hyperlink" Target="https://busquedas.elperuano.pe/dispositivo/NL/2558678-1" TargetMode="External"/><Relationship Id="rId51" Type="http://schemas.openxmlformats.org/officeDocument/2006/relationships/hyperlink" Target="https://busquedas.elperuano.pe/dispositivo/NL/2558678-1/pdf" TargetMode="External"/><Relationship Id="rId52" Type="http://schemas.openxmlformats.org/officeDocument/2006/relationships/hyperlink" Target="https://busquedas.elperuano.pe/dispositivo/NL/2558704-1" TargetMode="External"/><Relationship Id="rId53" Type="http://schemas.openxmlformats.org/officeDocument/2006/relationships/hyperlink" Target="https://busquedas.elperuano.pe/dispositivo/NL/2558704-1/pdf" TargetMode="External"/><Relationship Id="rId54" Type="http://schemas.openxmlformats.org/officeDocument/2006/relationships/hyperlink" Target="https://busquedas.elperuano.pe/dispositivo/NL/2558445-1" TargetMode="External"/><Relationship Id="rId55" Type="http://schemas.openxmlformats.org/officeDocument/2006/relationships/hyperlink" Target="https://busquedas.elperuano.pe/dispositivo/NL/2558445-1/pdf" TargetMode="External"/><Relationship Id="rId56"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