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Miércoles 30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30/09/2026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17:03</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118</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13</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118 normas publicadas en el periodo, 13 resultan de interés institucional: 9 de normatividad presupuestal y 4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(9)</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000166-2026-PROMPERU/PE</w:t>
              </w:r>
            </w:hyperlink>
          </w:p>
          <w:p>
            <w:pPr>
              <w:spacing w:before="0" w:after="20" w:line="252" w:lineRule="auto"/>
            </w:pPr>
            <w:r>
              <w:rPr>
                <w:rFonts w:ascii="Arial" w:hAnsi="Arial" w:eastAsia="Arial"/>
                <w:b w:val="0"/>
                <w:i w:val="0"/>
                <w:color w:val="5B6880"/>
                <w:sz w:val="15"/>
              </w:rPr>
              <w:t>COMISIÓN DE PROMOCIÓN DEL PERÚ PARA LA EXPORTACIÓN Y EL TURISMO</w:t>
            </w:r>
          </w:p>
        </w:tc>
        <w:tc>
          <w:tcPr>
            <w:tcW w:type="dxa" w:w="4762"/>
          </w:tcPr>
          <w:p>
            <w:pPr>
              <w:spacing w:before="20" w:after="20" w:line="264" w:lineRule="auto"/>
            </w:pPr>
            <w:r>
              <w:rPr>
                <w:rFonts w:ascii="Arial" w:hAnsi="Arial" w:eastAsia="Arial"/>
                <w:b w:val="0"/>
                <w:i w:val="0"/>
                <w:sz w:val="17"/>
              </w:rPr>
              <w:t>Autorizan transferencia financiera a favor del Ministerio de Vivienda Construcción y Saneamiento para financiar gastos de operación y mantenimiento del uso de instalaciones del Centro de Convenciones de Lima</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N° 000213-2026-DV-PE</w:t>
              </w:r>
            </w:hyperlink>
          </w:p>
          <w:p>
            <w:pPr>
              <w:spacing w:before="0" w:after="20" w:line="252" w:lineRule="auto"/>
            </w:pPr>
            <w:r>
              <w:rPr>
                <w:rFonts w:ascii="Arial" w:hAnsi="Arial" w:eastAsia="Arial"/>
                <w:b w:val="0"/>
                <w:i w:val="0"/>
                <w:color w:val="5B6880"/>
                <w:sz w:val="15"/>
              </w:rPr>
              <w:t>COMISIÓN NACIONAL PARA EL DESARROLLO Y VIDA SIN DROGAS</w:t>
            </w:r>
          </w:p>
        </w:tc>
        <w:tc>
          <w:tcPr>
            <w:tcW w:type="dxa" w:w="4762"/>
          </w:tcPr>
          <w:p>
            <w:pPr>
              <w:spacing w:before="20" w:after="20" w:line="264" w:lineRule="auto"/>
            </w:pPr>
            <w:r>
              <w:rPr>
                <w:rFonts w:ascii="Arial" w:hAnsi="Arial" w:eastAsia="Arial"/>
                <w:b w:val="0"/>
                <w:i w:val="0"/>
                <w:sz w:val="17"/>
              </w:rPr>
              <w:t>Autorizan transferencia financiera para financiar actividad a favor del Ejército del Perú</w:t>
            </w:r>
          </w:p>
        </w:tc>
        <w:tc>
          <w:tcPr>
            <w:tcW w:type="dxa" w:w="1247"/>
          </w:tcPr>
          <w:p>
            <w:pPr>
              <w:spacing w:before="20" w:after="20" w:line="264" w:lineRule="auto"/>
              <w:jc w:val="center"/>
            </w:pPr>
            <w:r>
              <w:rPr>
                <w:rFonts w:ascii="Arial" w:hAnsi="Arial" w:eastAsia="Arial"/>
                <w:b w:val="0"/>
                <w:i w:val="0"/>
                <w:sz w:val="17"/>
              </w:rPr>
              <w:t>30/09/2026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N° 000212-2026-DV-PE</w:t>
              </w:r>
            </w:hyperlink>
          </w:p>
          <w:p>
            <w:pPr>
              <w:spacing w:before="0" w:after="20" w:line="252" w:lineRule="auto"/>
            </w:pPr>
            <w:r>
              <w:rPr>
                <w:rFonts w:ascii="Arial" w:hAnsi="Arial" w:eastAsia="Arial"/>
                <w:b w:val="0"/>
                <w:i w:val="0"/>
                <w:color w:val="5B6880"/>
                <w:sz w:val="15"/>
              </w:rPr>
              <w:t>COMISIÓN NACIONAL PARA EL DESARROLLO Y VIDA SIN DROGAS</w:t>
            </w:r>
          </w:p>
        </w:tc>
        <w:tc>
          <w:tcPr>
            <w:tcW w:type="dxa" w:w="4762"/>
          </w:tcPr>
          <w:p>
            <w:pPr>
              <w:spacing w:before="20" w:after="20" w:line="264" w:lineRule="auto"/>
            </w:pPr>
            <w:r>
              <w:rPr>
                <w:rFonts w:ascii="Arial" w:hAnsi="Arial" w:eastAsia="Arial"/>
                <w:b w:val="0"/>
                <w:i w:val="0"/>
                <w:sz w:val="17"/>
              </w:rPr>
              <w:t>Autorizan transferencia financiera para financiar actividad a favor de la Comisión Nacional de Investigación y Desarrollo Aeroespacial - CONIDA</w:t>
            </w:r>
          </w:p>
        </w:tc>
        <w:tc>
          <w:tcPr>
            <w:tcW w:type="dxa" w:w="1247"/>
          </w:tcPr>
          <w:p>
            <w:pPr>
              <w:spacing w:before="20" w:after="20" w:line="264" w:lineRule="auto"/>
              <w:jc w:val="center"/>
            </w:pPr>
            <w:r>
              <w:rPr>
                <w:rFonts w:ascii="Arial" w:hAnsi="Arial" w:eastAsia="Arial"/>
                <w:b w:val="0"/>
                <w:i w:val="0"/>
                <w:sz w:val="17"/>
              </w:rPr>
              <w:t>30/09/2026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N° 000211-2026-DV-PE</w:t>
              </w:r>
            </w:hyperlink>
          </w:p>
          <w:p>
            <w:pPr>
              <w:spacing w:before="0" w:after="20" w:line="252" w:lineRule="auto"/>
            </w:pPr>
            <w:r>
              <w:rPr>
                <w:rFonts w:ascii="Arial" w:hAnsi="Arial" w:eastAsia="Arial"/>
                <w:b w:val="0"/>
                <w:i w:val="0"/>
                <w:color w:val="5B6880"/>
                <w:sz w:val="15"/>
              </w:rPr>
              <w:t>COMISIÓN NACIONAL PARA EL DESARROLLO Y VIDA SIN DROGAS</w:t>
            </w:r>
          </w:p>
        </w:tc>
        <w:tc>
          <w:tcPr>
            <w:tcW w:type="dxa" w:w="4762"/>
          </w:tcPr>
          <w:p>
            <w:pPr>
              <w:spacing w:before="20" w:after="20" w:line="264" w:lineRule="auto"/>
            </w:pPr>
            <w:r>
              <w:rPr>
                <w:rFonts w:ascii="Arial" w:hAnsi="Arial" w:eastAsia="Arial"/>
                <w:b w:val="0"/>
                <w:i w:val="0"/>
                <w:sz w:val="17"/>
              </w:rPr>
              <w:t>Autorizan transferencia financiera para financiar actividad a favor de la Marina de Guerra del Perú</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DECRETO SUPREMO  N° 206-2026-EF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diversos Gobiernos Regionales</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567"/>
          </w:tcPr>
          <w:p>
            <w:pPr>
              <w:spacing w:before="20" w:after="20" w:line="264" w:lineRule="auto"/>
              <w:jc w:val="center"/>
            </w:pPr>
            <w:r>
              <w:rPr>
                <w:rFonts w:ascii="Arial" w:hAnsi="Arial" w:eastAsia="Arial"/>
                <w:b/>
                <w:i w:val="0"/>
                <w:color w:val="0A2F5C"/>
                <w:sz w:val="18"/>
              </w:rPr>
              <w:t>6</w:t>
            </w:r>
          </w:p>
        </w:tc>
        <w:tc>
          <w:tcPr>
            <w:tcW w:type="dxa" w:w="2835"/>
          </w:tcPr>
          <w:p>
            <w:pPr>
              <w:spacing w:before="20" w:after="20" w:line="264" w:lineRule="auto"/>
            </w:pPr>
            <w:hyperlink r:id="rId16">
              <w:r>
                <w:rPr>
                  <w:rFonts w:ascii="Arial" w:hAnsi="Arial" w:eastAsia="Arial" w:cs="Arial"/>
                  <w:b/>
                  <w:color w:val="0B5CAD"/>
                  <w:sz w:val="17"/>
                  <w:u w:val="single"/>
                </w:rPr>
                <w:t xml:space="preserve">DECRETO SUPREMO  N° 207-2026-EF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la Municipalidad Provincial de Carabaya</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567"/>
          </w:tcPr>
          <w:p>
            <w:pPr>
              <w:spacing w:before="20" w:after="20" w:line="264" w:lineRule="auto"/>
              <w:jc w:val="center"/>
            </w:pPr>
            <w:r>
              <w:rPr>
                <w:rFonts w:ascii="Arial" w:hAnsi="Arial" w:eastAsia="Arial"/>
                <w:b/>
                <w:i w:val="0"/>
                <w:color w:val="0A2F5C"/>
                <w:sz w:val="18"/>
              </w:rPr>
              <w:t>7</w:t>
            </w:r>
          </w:p>
        </w:tc>
        <w:tc>
          <w:tcPr>
            <w:tcW w:type="dxa" w:w="2835"/>
          </w:tcPr>
          <w:p>
            <w:pPr>
              <w:spacing w:before="20" w:after="20" w:line="264" w:lineRule="auto"/>
            </w:pPr>
            <w:hyperlink r:id="rId17">
              <w:r>
                <w:rPr>
                  <w:rFonts w:ascii="Arial" w:hAnsi="Arial" w:eastAsia="Arial" w:cs="Arial"/>
                  <w:b/>
                  <w:color w:val="0B5CAD"/>
                  <w:sz w:val="17"/>
                  <w:u w:val="single"/>
                </w:rPr>
                <w:t xml:space="preserve">DECRETO SUPREMO  N° 208-2026-EF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aprueba la formalización de los Créditos Suplementarios del Segundo Trimestre del Año Fiscal 2026 en el Presupuesto Consolidado de las empresas y organismos públicos de los gobiernos regionales y gobiernos locales</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567"/>
          </w:tcPr>
          <w:p>
            <w:pPr>
              <w:spacing w:before="20" w:after="20" w:line="264" w:lineRule="auto"/>
              <w:jc w:val="center"/>
            </w:pPr>
            <w:r>
              <w:rPr>
                <w:rFonts w:ascii="Arial" w:hAnsi="Arial" w:eastAsia="Arial"/>
                <w:b/>
                <w:i w:val="0"/>
                <w:color w:val="0A2F5C"/>
                <w:sz w:val="18"/>
              </w:rPr>
              <w:t>8</w:t>
            </w:r>
          </w:p>
        </w:tc>
        <w:tc>
          <w:tcPr>
            <w:tcW w:type="dxa" w:w="2835"/>
          </w:tcPr>
          <w:p>
            <w:pPr>
              <w:spacing w:before="20" w:after="20" w:line="264" w:lineRule="auto"/>
            </w:pPr>
            <w:hyperlink r:id="rId18">
              <w:r>
                <w:rPr>
                  <w:rFonts w:ascii="Arial" w:hAnsi="Arial" w:eastAsia="Arial" w:cs="Arial"/>
                  <w:b/>
                  <w:color w:val="0B5CAD"/>
                  <w:sz w:val="17"/>
                  <w:u w:val="single"/>
                </w:rPr>
                <w:t xml:space="preserve">DECRETO SUPREMO  N° 209-2026-EF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la Defensoría del Pueblo</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567"/>
          </w:tcPr>
          <w:p>
            <w:pPr>
              <w:spacing w:before="20" w:after="20" w:line="264" w:lineRule="auto"/>
              <w:jc w:val="center"/>
            </w:pPr>
            <w:r>
              <w:rPr>
                <w:rFonts w:ascii="Arial" w:hAnsi="Arial" w:eastAsia="Arial"/>
                <w:b/>
                <w:i w:val="0"/>
                <w:color w:val="0A2F5C"/>
                <w:sz w:val="18"/>
              </w:rPr>
              <w:t>9</w:t>
            </w:r>
          </w:p>
        </w:tc>
        <w:tc>
          <w:tcPr>
            <w:tcW w:type="dxa" w:w="2835"/>
          </w:tcPr>
          <w:p>
            <w:pPr>
              <w:spacing w:before="20" w:after="20" w:line="264" w:lineRule="auto"/>
            </w:pPr>
            <w:hyperlink r:id="rId19">
              <w:r>
                <w:rPr>
                  <w:rFonts w:ascii="Arial" w:hAnsi="Arial" w:eastAsia="Arial" w:cs="Arial"/>
                  <w:b/>
                  <w:color w:val="0B5CAD"/>
                  <w:sz w:val="17"/>
                  <w:u w:val="single"/>
                </w:rPr>
                <w:t xml:space="preserve">ACUERDO  N° 000271-2026-GRP/CR</w:t>
              </w:r>
            </w:hyperlink>
          </w:p>
          <w:p>
            <w:pPr>
              <w:spacing w:before="0" w:after="20" w:line="252" w:lineRule="auto"/>
            </w:pPr>
            <w:r>
              <w:rPr>
                <w:rFonts w:ascii="Arial" w:hAnsi="Arial" w:eastAsia="Arial"/>
                <w:b w:val="0"/>
                <w:i w:val="0"/>
                <w:color w:val="5B6880"/>
                <w:sz w:val="15"/>
              </w:rPr>
              <w:t>GOBIERNO REGIONAL DE PUNO</w:t>
            </w:r>
          </w:p>
        </w:tc>
        <w:tc>
          <w:tcPr>
            <w:tcW w:type="dxa" w:w="4762"/>
          </w:tcPr>
          <w:p>
            <w:pPr>
              <w:spacing w:before="20" w:after="20" w:line="264" w:lineRule="auto"/>
            </w:pPr>
            <w:r>
              <w:rPr>
                <w:rFonts w:ascii="Arial" w:hAnsi="Arial" w:eastAsia="Arial"/>
                <w:b w:val="0"/>
                <w:i w:val="0"/>
                <w:sz w:val="17"/>
              </w:rPr>
              <w:t>Autorizan transferencia financiera a favor de la Municipalidad Provincial de Melgar</w:t>
            </w:r>
          </w:p>
        </w:tc>
        <w:tc>
          <w:tcPr>
            <w:tcW w:type="dxa" w:w="1247"/>
          </w:tcPr>
          <w:p>
            <w:pPr>
              <w:spacing w:before="20" w:after="20" w:line="264" w:lineRule="auto"/>
              <w:jc w:val="center"/>
            </w:pPr>
            <w:r>
              <w:rPr>
                <w:rFonts w:ascii="Arial" w:hAnsi="Arial" w:eastAsia="Arial"/>
                <w:b w:val="0"/>
                <w:i w:val="0"/>
                <w:sz w:val="17"/>
              </w:rPr>
              <w:t>30/09/2026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(4)</w:t>
            </w:r>
          </w:p>
        </w:tc>
      </w:tr>
      <w:tr>
        <w:trPr>
          <w:cantSplit/>
        </w:trPr>
        <w:tc>
          <w:tcPr>
            <w:tcW w:type="dxa" w:w="567"/>
          </w:tcPr>
          <w:p>
            <w:pPr>
              <w:spacing w:before="20" w:after="20" w:line="264" w:lineRule="auto"/>
              <w:jc w:val="center"/>
            </w:pPr>
            <w:r>
              <w:rPr>
                <w:rFonts w:ascii="Arial" w:hAnsi="Arial" w:eastAsia="Arial"/>
                <w:b/>
                <w:i w:val="0"/>
                <w:color w:val="0A2F5C"/>
                <w:sz w:val="18"/>
              </w:rPr>
              <w:t>10</w:t>
            </w:r>
          </w:p>
        </w:tc>
        <w:tc>
          <w:tcPr>
            <w:tcW w:type="dxa" w:w="2835"/>
          </w:tcPr>
          <w:p>
            <w:pPr>
              <w:spacing w:before="20" w:after="20" w:line="264" w:lineRule="auto"/>
            </w:pPr>
            <w:hyperlink r:id="rId20">
              <w:r>
                <w:rPr>
                  <w:rFonts w:ascii="Arial" w:hAnsi="Arial" w:eastAsia="Arial" w:cs="Arial"/>
                  <w:b/>
                  <w:color w:val="0B5CAD"/>
                  <w:sz w:val="17"/>
                  <w:u w:val="single"/>
                </w:rPr>
                <w:t xml:space="preserve">RESOLUCIÓN MINISTERIAL N° D000400-2026-MIDAGRI-DM</w:t>
              </w:r>
            </w:hyperlink>
          </w:p>
          <w:p>
            <w:pPr>
              <w:spacing w:before="0" w:after="20" w:line="252" w:lineRule="auto"/>
            </w:pPr>
            <w:r>
              <w:rPr>
                <w:rFonts w:ascii="Arial" w:hAnsi="Arial" w:eastAsia="Arial"/>
                <w:b w:val="0"/>
                <w:i w:val="0"/>
                <w:color w:val="5B6880"/>
                <w:sz w:val="15"/>
              </w:rPr>
              <w:t>DESARROLLO AGRARIO Y RIEGO</w:t>
            </w:r>
          </w:p>
        </w:tc>
        <w:tc>
          <w:tcPr>
            <w:tcW w:type="dxa" w:w="4762"/>
          </w:tcPr>
          <w:p>
            <w:pPr>
              <w:spacing w:before="20" w:after="20" w:line="264" w:lineRule="auto"/>
            </w:pPr>
            <w:r>
              <w:rPr>
                <w:rFonts w:ascii="Arial" w:hAnsi="Arial" w:eastAsia="Arial"/>
                <w:b w:val="0"/>
                <w:i w:val="0"/>
                <w:sz w:val="17"/>
              </w:rPr>
              <w:t>Aprueban incorporación de tres (3) Inversiones No Programadas en la Cartera de Inversiones del Programa Multianual de Inversiones del Sector Agrario y de Riego 2026-2028</w:t>
            </w:r>
          </w:p>
        </w:tc>
        <w:tc>
          <w:tcPr>
            <w:tcW w:type="dxa" w:w="1247"/>
          </w:tcPr>
          <w:p>
            <w:pPr>
              <w:spacing w:before="20" w:after="20" w:line="264" w:lineRule="auto"/>
              <w:jc w:val="center"/>
            </w:pPr>
            <w:r>
              <w:rPr>
                <w:rFonts w:ascii="Arial" w:hAnsi="Arial" w:eastAsia="Arial"/>
                <w:b w:val="0"/>
                <w:i w:val="0"/>
                <w:sz w:val="17"/>
              </w:rPr>
              <w:t>30/09/2026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11</w:t>
            </w:r>
          </w:p>
        </w:tc>
        <w:tc>
          <w:tcPr>
            <w:tcW w:type="dxa" w:w="2835"/>
          </w:tcPr>
          <w:p>
            <w:pPr>
              <w:spacing w:before="20" w:after="20" w:line="264" w:lineRule="auto"/>
            </w:pPr>
            <w:hyperlink r:id="rId21">
              <w:r>
                <w:rPr>
                  <w:rFonts w:ascii="Arial" w:hAnsi="Arial" w:eastAsia="Arial" w:cs="Arial"/>
                  <w:b/>
                  <w:color w:val="0B5CAD"/>
                  <w:sz w:val="17"/>
                  <w:u w:val="single"/>
                </w:rPr>
                <w:t xml:space="preserve">RESOLUCIÓN MINISTERIAL N° D000401-2026-MIDAGRI-DM</w:t>
              </w:r>
            </w:hyperlink>
          </w:p>
          <w:p>
            <w:pPr>
              <w:spacing w:before="0" w:after="20" w:line="252" w:lineRule="auto"/>
            </w:pPr>
            <w:r>
              <w:rPr>
                <w:rFonts w:ascii="Arial" w:hAnsi="Arial" w:eastAsia="Arial"/>
                <w:b w:val="0"/>
                <w:i w:val="0"/>
                <w:color w:val="5B6880"/>
                <w:sz w:val="15"/>
              </w:rPr>
              <w:t>DESARROLLO AGRARIO Y RIEGO</w:t>
            </w:r>
          </w:p>
        </w:tc>
        <w:tc>
          <w:tcPr>
            <w:tcW w:type="dxa" w:w="4762"/>
          </w:tcPr>
          <w:p>
            <w:pPr>
              <w:spacing w:before="20" w:after="20" w:line="264" w:lineRule="auto"/>
            </w:pPr>
            <w:r>
              <w:rPr>
                <w:rFonts w:ascii="Arial" w:hAnsi="Arial" w:eastAsia="Arial"/>
                <w:b w:val="0"/>
                <w:i w:val="0"/>
                <w:sz w:val="17"/>
              </w:rPr>
              <w:t>Aprueban incorporación de una (1) Inversión No Programada en la Cartera de Inversiones del Programa Multianual de Inversiones del Sector Agrario y de Riego 2026-2028</w:t>
            </w:r>
          </w:p>
        </w:tc>
        <w:tc>
          <w:tcPr>
            <w:tcW w:type="dxa" w:w="1247"/>
          </w:tcPr>
          <w:p>
            <w:pPr>
              <w:spacing w:before="20" w:after="20" w:line="264" w:lineRule="auto"/>
              <w:jc w:val="center"/>
            </w:pPr>
            <w:r>
              <w:rPr>
                <w:rFonts w:ascii="Arial" w:hAnsi="Arial" w:eastAsia="Arial"/>
                <w:b w:val="0"/>
                <w:i w:val="0"/>
                <w:sz w:val="17"/>
              </w:rPr>
              <w:t>30/09/2026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12</w:t>
            </w:r>
          </w:p>
        </w:tc>
        <w:tc>
          <w:tcPr>
            <w:tcW w:type="dxa" w:w="2835"/>
          </w:tcPr>
          <w:p>
            <w:pPr>
              <w:spacing w:before="20" w:after="20" w:line="264" w:lineRule="auto"/>
            </w:pPr>
            <w:hyperlink r:id="rId22">
              <w:r>
                <w:rPr>
                  <w:rFonts w:ascii="Arial" w:hAnsi="Arial" w:eastAsia="Arial" w:cs="Arial"/>
                  <w:b/>
                  <w:color w:val="0B5CAD"/>
                  <w:sz w:val="17"/>
                  <w:u w:val="single"/>
                </w:rPr>
                <w:t xml:space="preserve">RESOLUCIÓN MINISTERIAL N° 594-2026-MINEDU</w:t>
              </w:r>
            </w:hyperlink>
          </w:p>
          <w:p>
            <w:pPr>
              <w:spacing w:before="0" w:after="20" w:line="252" w:lineRule="auto"/>
            </w:pPr>
            <w:r>
              <w:rPr>
                <w:rFonts w:ascii="Arial" w:hAnsi="Arial" w:eastAsia="Arial"/>
                <w:b w:val="0"/>
                <w:i w:val="0"/>
                <w:color w:val="5B6880"/>
                <w:sz w:val="15"/>
              </w:rPr>
              <w:t>EDUCACIÓN</w:t>
            </w:r>
          </w:p>
        </w:tc>
        <w:tc>
          <w:tcPr>
            <w:tcW w:type="dxa" w:w="4762"/>
          </w:tcPr>
          <w:p>
            <w:pPr>
              <w:spacing w:before="20" w:after="20" w:line="264" w:lineRule="auto"/>
            </w:pPr>
            <w:r>
              <w:rPr>
                <w:rFonts w:ascii="Arial" w:hAnsi="Arial" w:eastAsia="Arial"/>
                <w:b w:val="0"/>
                <w:i w:val="0"/>
                <w:sz w:val="17"/>
              </w:rPr>
              <w:t>Dejan sin efecto la R.M. N° 409-2026-MINEDU y aprueban la incorporación de seis (6) inversiones no programadas en la Cartera de Inversiones del Programa Multianual de Inversiones (PMI) del Sector Educación 2026-2028</w:t>
            </w:r>
          </w:p>
        </w:tc>
        <w:tc>
          <w:tcPr>
            <w:tcW w:type="dxa" w:w="1247"/>
          </w:tcPr>
          <w:p>
            <w:pPr>
              <w:spacing w:before="20" w:after="20" w:line="264" w:lineRule="auto"/>
              <w:jc w:val="center"/>
            </w:pPr>
            <w:r>
              <w:rPr>
                <w:rFonts w:ascii="Arial" w:hAnsi="Arial" w:eastAsia="Arial"/>
                <w:b w:val="0"/>
                <w:i w:val="0"/>
                <w:sz w:val="17"/>
              </w:rPr>
              <w:t>30/09/2026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13</w:t>
            </w:r>
          </w:p>
        </w:tc>
        <w:tc>
          <w:tcPr>
            <w:tcW w:type="dxa" w:w="2835"/>
          </w:tcPr>
          <w:p>
            <w:pPr>
              <w:spacing w:before="20" w:after="20" w:line="264" w:lineRule="auto"/>
            </w:pPr>
            <w:hyperlink r:id="rId23">
              <w:r>
                <w:rPr>
                  <w:rFonts w:ascii="Arial" w:hAnsi="Arial" w:eastAsia="Arial" w:cs="Arial"/>
                  <w:b/>
                  <w:color w:val="0B5CAD"/>
                  <w:sz w:val="17"/>
                  <w:u w:val="single"/>
                </w:rPr>
                <w:t xml:space="preserve">RESOLUCIÓN MINISTERIAL  N° 337-2026-PCM</w:t>
              </w:r>
            </w:hyperlink>
          </w:p>
          <w:p>
            <w:pPr>
              <w:spacing w:before="0" w:after="20" w:line="252" w:lineRule="auto"/>
            </w:pPr>
            <w:r>
              <w:rPr>
                <w:rFonts w:ascii="Arial" w:hAnsi="Arial" w:eastAsia="Arial"/>
                <w:b w:val="0"/>
                <w:i w:val="0"/>
                <w:color w:val="5B6880"/>
                <w:sz w:val="15"/>
              </w:rPr>
              <w:t>PRESIDENCIA DEL CONSEJO DE MINISTROS</w:t>
            </w:r>
          </w:p>
        </w:tc>
        <w:tc>
          <w:tcPr>
            <w:tcW w:type="dxa" w:w="4762"/>
          </w:tcPr>
          <w:p>
            <w:pPr>
              <w:spacing w:before="20" w:after="20" w:line="264" w:lineRule="auto"/>
            </w:pPr>
            <w:r>
              <w:rPr>
                <w:rFonts w:ascii="Arial" w:hAnsi="Arial" w:eastAsia="Arial"/>
                <w:b w:val="0"/>
                <w:i w:val="0"/>
                <w:sz w:val="17"/>
              </w:rPr>
              <w:t>Delegan facultades y atribuciones en materia de contrataciones públicas en el Jefe de la Oficina General de Administración de la Presidencia del Consejo de Ministros</w:t>
            </w:r>
          </w:p>
        </w:tc>
        <w:tc>
          <w:tcPr>
            <w:tcW w:type="dxa" w:w="1247"/>
          </w:tcPr>
          <w:p>
            <w:pPr>
              <w:spacing w:before="20" w:after="20" w:line="264" w:lineRule="auto"/>
              <w:jc w:val="center"/>
            </w:pPr>
            <w:r>
              <w:rPr>
                <w:rFonts w:ascii="Arial" w:hAnsi="Arial" w:eastAsia="Arial"/>
                <w:b w:val="0"/>
                <w:i w:val="0"/>
                <w:sz w:val="17"/>
              </w:rPr>
              <w:t>30/09/2026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N° 000166-2026-PROMPERU/PE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COMISIÓN DE PROMOCIÓN DEL PERÚ PARA LA EXPORTACIÓN Y EL TURISMO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del Ministerio de Vivienda Construcción y Saneamiento para financiar gastos de operación y mantenimiento del uso de instalaciones del Centro de Convenciones de Lima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Autorizar la transferencia financiera a favor del Pliego 037: Ministerio de Vivienda, Construcción y Saneamiento para financiar los gastos de operación y mantenimiento del uso de las instalaciones del Centro de Convenciones de Lima - LCC, por el importe de S/ 104,733.11 (Ciento Cuatro Mil Setecientos Treinta y Tres con 11/100 Soles), para los fines expuestos en la parte considerativa de la presente Resolución. Artículo 2.- El egreso que demande el cumplimiento de la presente Resolución de Presidencia Ejecutiva, se afectará al presupuesto de la Unidad Ejecutora 0011: Comisión de Promoción del Perú para la Exportación y el Turismo – PROMPERÚ del Pliego 008: Comisión de Promoción…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104,733.11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RESOLUCIÓN N° 000213-2026-DV-PE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COMISIÓN NACIONAL PARA EL DESARROLLO Y VIDA SIN DROGAS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para financiar actividad a favor del Ejército del Perú</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hasta por la suma total de UN MILLÓN CINCUENTA Y NUEVE MIL Y 00/100 SOLES (S/ 1’059,000.00), para financiar la Actividad a favor de la entidad ejecutora que se detalla en el Anexo Nº 1, que forma parte integrante de la presente resolución. Artículo Segundo.- DISPONER que la transferencia financiera autorizada por el Artículo Primero, se realice con cargo al presupuesto del año fiscal 2026 del Pliego 012: Comisión Nacional para el Desarrollo y Vida sin Drogas, correspondiente a la fuente de financiamiento “Recursos Ordinarios”. Artículo Tercero.- RATIFICAR que la entidad ejecutora, bajo responsabilidad, sólo destinará los recursos…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1’059,000.00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RESOLUCIÓN N° 000212-2026-DV-PE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COMISIÓN NACIONAL PARA EL DESARROLLO Y VIDA SIN DROGAS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para financiar actividad a favor de la Comisión Nacional de Investigación y Desarrollo Aeroespacial - CONIDA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hasta por la suma total de CUATROCIENTOS OCHENTA Y OCHO MIL Y 00/100 SOLES (S/ 488,000.00), para financiar la Actividad a favor de la entidad ejecutora que se detalla en el Anexo N° 1, que forma parte integrante de la presente resolución. Artículo Segundo.- DISPONER que la transferencia financiera autorizada por el Artículo Primero, se realice con cargo al presupuesto del año fiscal 2026 del Pliego 012: Comisión Nacional para el Desarrollo y Vida sin Drogas, correspondiente a la fuente de financiamiento “Recursos Ordinarios”. Artículo Tercero.- RATIFICAR que la entidad ejecutora, bajo responsabilidad, sólo destinará los recursos…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488,000.00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RESOLUCIÓN  N° 000211-2026-DV-PE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COMISIÓN NACIONAL PARA EL DESARROLLO Y VIDA SIN DROGAS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para financiar actividad a favor de la Marina de Guerra del Perú</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hasta por la suma total de SEISCIENTOS MIL CON 00/100 SOLES (S/ 600,000.00), para financiar la Actividad a favor de la entidad ejecutora que se detalla en el Anexo N° 1, que forma parte integrante de la presente resolución. Artículo Segundo.- DISPONER que la transferencia financiera autorizada por el Artículo Primero, se realice con cargo al presupuesto del año fiscal 2026 del Pliego 012: Comisión Nacional para el Desarrollo y Vida sin Drogas, correspondiente a la fuente de financiamiento “Recursos Ordinarios”. Artículo Tercero.- RATIFICAR que la entidad ejecutora, bajo responsabilidad, sólo destinará los recursos públicos que se…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600,000.00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5.  DECRETO SUPREMO  N° 206-2026-EF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diversos Gobiernos Regionales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670 364,00 (SEISCIENTOS SETENTA MIL TRESCIENTOS SESENTA Y CUATRO Y 00/100 SOLES), por la fuente de financiamiento Recursos Ordinarios, a favor de diversos gobiernos regionales, para financiar los gastos de operatividad y funcionamiento institucional, que implican la contratación de sesenta y cuatro (64) especialistas en procedimientos administrativos disciplinarios, por el periodo de noviembre a diciembre de 2026, relacionados con la implementación de la intervención y acción pedagógica denominada “El fortalecimiento de la gestión…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670 364,00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6.  DECRETO SUPREMO  N° 207-2026-EF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la Municipalidad Provincial de Carabaya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autoriza una Transferencia de Partidas en el Presupuesto del Sector Público para el Año Fiscal 2026, hasta por la suma de S/ 6 241 669,00 (SEIS MILLONES DOSCIENTOS CUARENTA Y UN MIL SEISCIENTOS SESENTA Y NUEVE Y 00/100 SOLES), en la fuente de financiamiento Recursos Ordinarios, con cargo a los recursos del presupuesto institucional del Ministerio de Educación, a favor de la Municipalidad Provincial de Carabaya, para financiar la continuidad de ejecución del proyecto de inversión en infraestructura educativa con CUI Nº 2589203 “Mejoramiento del servicio de educación secundaria en José Macedo Mendoza - Macusani distrito de Macusani de la provincia de Carabaya del…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6 241 669,00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6">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5">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7.  DECRETO SUPREMO  N° 208-2026-EF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aprueba la formalización de los Créditos Suplementarios del Segundo Trimestre del Año Fiscal 2026 en el Presupuesto Consolidado de las empresas y organismos públicos de los gobiernos regionales y gobiernos locales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aprueba en el Presupuesto Consolidado de Ingresos y Egresos para el Año Fiscal 2026 de las empresas y organismos públicos de los gobiernos regionales y gobiernos locales, la formalización de los Créditos Suplementarios del Segundo Trimestre del Año Fiscal 2026, hasta por la suma de S/ 216 360 412,00 (DOSCIENTOS DIECISÉIS MILLONES TRESCIENTOS SESENTA MIL CUATROCIENTOS DOCE Y 00/100 SOLES), de acuerdo con lo siguiente: INGRESOS En Soles Fuente de Financiamiento Recursos Directamente Recaudados 26 479 158,00 Donaciones y Transferencias 187 240 340,00 Recursos Determinados 2 640 914,00 ============ TOTAL INGRESOS 216 360 412,00 ============ EGRESOS En Soles Gasto…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216 360 412,00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7">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8.  DECRETO SUPREMO  N° 209-2026-EF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la Defensoría del Pueblo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8">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9.  ACUERDO  N° 000271-2026-GRP/CR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PUNO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Municipalidad Provincial de Melgar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AUTORIZAR la transferencia financiera del Pliego 458: Gobierno Regional de Puno, a favor de la Municipalidad Provincial de Melgar, conforme al siguiente detalle: ENTIDAD BENEFICIARIA PROYECTO IOARR Y/O ACTIVIDAD CUI MONTO MUNICIPALIDAD PROVINCIAL DE MELGAR REPARACIÓN DE VÍAS VECINALES; EN EL(LA) RUTA R2108051 (EMP. PU-665 DIEGO TAPARA - CHILLIHUA - EMP. R2108049); R2108049 (EMP. R2108051 - QUENAMARI - ABRA PUCACCATA - EMP. PU-512); Y PU-666 (EMP. R2108051 - PAMPA LACAYA - EMP. CU-1421 (L. D. CUSCO)), DEL DISTRITO DE NUÑOA, PROVINCIA MELGAR, DEPARTAMENTO PUNO 2740707 S/ 227 569,00 Artículo Segundo.- ENCARGAR a la Gerencia General Regional que, a través de los órganos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227 569,00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9">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1">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10.  RESOLUCIÓN MINISTERIAL N° D000400-2026-MIDAGRI-DM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DESARROLLO AGRARIO Y RIEGO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incorporación de tres (3) Inversiones No Programadas en la Cartera de Inversiones del Programa Multianual de Inversiones del Sector Agrario y de Riego 2026-2028</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de la incorporación de Inversiones No Programadas Se aprueba la incorporación de tres (3) Inversiones No Programadas en la Cartera de Inversiones del Programa Multianual de Inversiones del Sector Agrario y de Riego 2026-2028, aprobado mediante Resolución Ministerial Nº 0062-2025-MIDAGRI, conforme al Anexo que forma parte integrante de la presente Resolución Ministerial. Artículo 2.- Registro Se dispone que la Oficina de Programación Multianual de Inversiones del Sector Agrario y de Riego efectúe el registro correspondiente de las inversiones a que se refiere el artículo 1 de la presente Resolución Ministerial en el Módulo de Programación Multianual de Inversiones,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0">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11.  RESOLUCIÓN MINISTERIAL N° D000401-2026-MIDAGRI-DM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DESARROLLO AGRARIO Y RIEGO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incorporación de una (1) Inversión No Programada en la Cartera de Inversiones del Programa Multianual de Inversiones del Sector Agrario y de Riego 2026-2028</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de la incorporación de Inversiones No Programadas Se aprueba la incorporación de una (1) Inversión No Programada en la Cartera de Inversiones del Programa Multianual de Inversiones del Sector Agrario y de Riego 2026-2028, aprobado mediante Resolución Ministerial Nº 0062-2025-MIDAGRI, conforme al Anexo que forma parte integrante de la presente Resolución Ministerial. Artículo 2.- Registro Se dispone que la Oficina de Programación Multianual de Inversiones del Sector Agrario y de Riego efectúe el registro correspondiente de la inversión a que se refiere el artículo 1 de la presente Resolución Ministerial en el Módulo de Programación Multianual de Inversiones,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5">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12.  RESOLUCIÓN MINISTERIAL N° 594-2026-MINEDU</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EDUCACIÓN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Dejan sin efecto la R.M. N° 409-2026-MINEDU y aprueban la incorporación de seis (6) inversiones no programadas en la Cartera de Inversiones del Programa Multianual de Inversiones (PMI) del Sector Educación 2026-2028</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Dejar sin efecto la Resolución Ministerial N° 409-2026-MINEDU, que aprueba la incorporación de ocho (8) proyectos de inversión en la Cartera de Inversiones del “Programa Multianual de Inversiones (PMI) del Sector Educación 2026-2028”, aprobado mediante Resolución Ministerial N° 100-2025-MINEDU. Artículo 2.- Aprobar la incorporación de seis (6) inversiones no programadas en la Cartera de Inversiones del “Programa Multianual de Inversiones (PMI) del Sector Educación 2026-2028”, aprobado por Resolución Ministerial N° 100-2025-MINEDU, conforme al Anexo que forma parte integrante de la presente Resolución Ministerial. Artículo 3.- Notificar la presente resolución a la Oficina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13.  RESOLUCIÓN MINISTERIAL  N° 337-2026-PCM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PRESIDENCIA DEL CONSEJO DE MINISTROS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30/09/2026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Delegan facultades y atribuciones en materia de contrataciones públicas en el Jefe de la Oficina General de Administración de la Presidencia del Consejo de Ministros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Delegación de facultades y atribuciones al Jefe de la Oficina General de Administración en el marco de la Ley N° 30225, Ley de Contrataciones del Estado, y su Reglamento, de acuerdo con la Cuarta Disposición Complementaria Transitoria de la Ley 32069, Ley General de Contrataciones Públicas Delegar en el Jefe de la Oficina General de Administración de la Presidencia del Consejo de Ministros las siguientes facultades y atribuciones en materia de contrataciones públicas, en el caso de procedimientos de selección iniciados antes de la vigencia de la Ley Nº 32069, Ley General de Contrataciones Públicas, los cuales se rigen por la Ley Nº 30225, Ley de Contrataciones del Estado, y su…</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2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4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49">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50">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9529-1" TargetMode="External"/><Relationship Id="rId12" Type="http://schemas.openxmlformats.org/officeDocument/2006/relationships/hyperlink" Target="https://busquedas.elperuano.pe/api/visor_html/2559950-1" TargetMode="External"/><Relationship Id="rId13" Type="http://schemas.openxmlformats.org/officeDocument/2006/relationships/hyperlink" Target="https://busquedas.elperuano.pe/api/visor_html/2559926-1" TargetMode="External"/><Relationship Id="rId14" Type="http://schemas.openxmlformats.org/officeDocument/2006/relationships/hyperlink" Target="https://busquedas.elperuano.pe/api/visor_html/2559351-1" TargetMode="External"/><Relationship Id="rId15" Type="http://schemas.openxmlformats.org/officeDocument/2006/relationships/hyperlink" Target="https://busquedas.elperuano.pe/api/visor_html/2559612-3" TargetMode="External"/><Relationship Id="rId16" Type="http://schemas.openxmlformats.org/officeDocument/2006/relationships/hyperlink" Target="https://busquedas.elperuano.pe/api/visor_html/2559612-4" TargetMode="External"/><Relationship Id="rId17" Type="http://schemas.openxmlformats.org/officeDocument/2006/relationships/hyperlink" Target="https://busquedas.elperuano.pe/api/visor_html/2559612-5" TargetMode="External"/><Relationship Id="rId18" Type="http://schemas.openxmlformats.org/officeDocument/2006/relationships/hyperlink" Target="https://busquedas.elperuano.pe/api/visor_html/2559612-6" TargetMode="External"/><Relationship Id="rId19" Type="http://schemas.openxmlformats.org/officeDocument/2006/relationships/hyperlink" Target="https://busquedas.elperuano.pe/api/visor_html/2558374-1" TargetMode="External"/><Relationship Id="rId20" Type="http://schemas.openxmlformats.org/officeDocument/2006/relationships/hyperlink" Target="https://busquedas.elperuano.pe/api/visor_html/2559923-1" TargetMode="External"/><Relationship Id="rId21" Type="http://schemas.openxmlformats.org/officeDocument/2006/relationships/hyperlink" Target="https://busquedas.elperuano.pe/api/visor_html/2559927-1" TargetMode="External"/><Relationship Id="rId22" Type="http://schemas.openxmlformats.org/officeDocument/2006/relationships/hyperlink" Target="https://busquedas.elperuano.pe/api/visor_html/2560013-1" TargetMode="External"/><Relationship Id="rId23" Type="http://schemas.openxmlformats.org/officeDocument/2006/relationships/hyperlink" Target="https://busquedas.elperuano.pe/api/visor_html/2559601-1" TargetMode="External"/><Relationship Id="rId24" Type="http://schemas.openxmlformats.org/officeDocument/2006/relationships/hyperlink" Target="https://busquedas.elperuano.pe/dispositivo/NL/2559529-1" TargetMode="External"/><Relationship Id="rId25" Type="http://schemas.openxmlformats.org/officeDocument/2006/relationships/hyperlink" Target="https://busquedas.elperuano.pe/dispositivo/NL/2559529-1/pdf" TargetMode="External"/><Relationship Id="rId26" Type="http://schemas.openxmlformats.org/officeDocument/2006/relationships/hyperlink" Target="https://busquedas.elperuano.pe/dispositivo/EX/2559950-1" TargetMode="External"/><Relationship Id="rId27" Type="http://schemas.openxmlformats.org/officeDocument/2006/relationships/hyperlink" Target="https://busquedas.elperuano.pe/dispositivo/EX/2559950-1/pdf" TargetMode="External"/><Relationship Id="rId28" Type="http://schemas.openxmlformats.org/officeDocument/2006/relationships/hyperlink" Target="https://busquedas.elperuano.pe/dispositivo/EX/2559926-1" TargetMode="External"/><Relationship Id="rId29" Type="http://schemas.openxmlformats.org/officeDocument/2006/relationships/hyperlink" Target="https://busquedas.elperuano.pe/dispositivo/EX/2559926-1/pdf" TargetMode="External"/><Relationship Id="rId30" Type="http://schemas.openxmlformats.org/officeDocument/2006/relationships/hyperlink" Target="https://busquedas.elperuano.pe/dispositivo/NL/2559351-1" TargetMode="External"/><Relationship Id="rId31" Type="http://schemas.openxmlformats.org/officeDocument/2006/relationships/hyperlink" Target="https://busquedas.elperuano.pe/dispositivo/NL/2559351-1/pdf" TargetMode="External"/><Relationship Id="rId32" Type="http://schemas.openxmlformats.org/officeDocument/2006/relationships/hyperlink" Target="https://busquedas.elperuano.pe/dispositivo/NL/2559612-3" TargetMode="External"/><Relationship Id="rId33" Type="http://schemas.openxmlformats.org/officeDocument/2006/relationships/hyperlink" Target="https://busquedas.elperuano.pe/dispositivo/NL/2559612-3/pdf" TargetMode="External"/><Relationship Id="rId34" Type="http://schemas.openxmlformats.org/officeDocument/2006/relationships/hyperlink" Target="https://busquedas.elperuano.pe/dispositivo/NL/2559612-4" TargetMode="External"/><Relationship Id="rId35" Type="http://schemas.openxmlformats.org/officeDocument/2006/relationships/hyperlink" Target="https://busquedas.elperuano.pe/dispositivo/NL/2559612-4/pdf" TargetMode="External"/><Relationship Id="rId36" Type="http://schemas.openxmlformats.org/officeDocument/2006/relationships/hyperlink" Target="https://busquedas.elperuano.pe/dispositivo/NL/2559612-5" TargetMode="External"/><Relationship Id="rId37" Type="http://schemas.openxmlformats.org/officeDocument/2006/relationships/hyperlink" Target="https://busquedas.elperuano.pe/dispositivo/NL/2559612-5/pdf" TargetMode="External"/><Relationship Id="rId38" Type="http://schemas.openxmlformats.org/officeDocument/2006/relationships/hyperlink" Target="https://busquedas.elperuano.pe/dispositivo/NL/2559612-6" TargetMode="External"/><Relationship Id="rId39" Type="http://schemas.openxmlformats.org/officeDocument/2006/relationships/hyperlink" Target="https://busquedas.elperuano.pe/dispositivo/NL/2559612-6/pdf" TargetMode="External"/><Relationship Id="rId40" Type="http://schemas.openxmlformats.org/officeDocument/2006/relationships/hyperlink" Target="https://busquedas.elperuano.pe/dispositivo/NL/2558374-1" TargetMode="External"/><Relationship Id="rId41" Type="http://schemas.openxmlformats.org/officeDocument/2006/relationships/hyperlink" Target="https://busquedas.elperuano.pe/dispositivo/NL/2558374-1/pdf" TargetMode="External"/><Relationship Id="rId42" Type="http://schemas.openxmlformats.org/officeDocument/2006/relationships/hyperlink" Target="https://busquedas.elperuano.pe/dispositivo/EX/2559923-1" TargetMode="External"/><Relationship Id="rId43" Type="http://schemas.openxmlformats.org/officeDocument/2006/relationships/hyperlink" Target="https://busquedas.elperuano.pe/dispositivo/EX/2559923-1/pdf" TargetMode="External"/><Relationship Id="rId44" Type="http://schemas.openxmlformats.org/officeDocument/2006/relationships/hyperlink" Target="https://busquedas.elperuano.pe/dispositivo/EX/2559927-1" TargetMode="External"/><Relationship Id="rId45" Type="http://schemas.openxmlformats.org/officeDocument/2006/relationships/hyperlink" Target="https://busquedas.elperuano.pe/dispositivo/EX/2559927-1/pdf" TargetMode="External"/><Relationship Id="rId46" Type="http://schemas.openxmlformats.org/officeDocument/2006/relationships/hyperlink" Target="https://busquedas.elperuano.pe/dispositivo/EX/2560013-1" TargetMode="External"/><Relationship Id="rId47" Type="http://schemas.openxmlformats.org/officeDocument/2006/relationships/hyperlink" Target="https://busquedas.elperuano.pe/dispositivo/EX/2560013-1/pdf" TargetMode="External"/><Relationship Id="rId48" Type="http://schemas.openxmlformats.org/officeDocument/2006/relationships/hyperlink" Target="https://busquedas.elperuano.pe/dispositivo/NL/2559601-1" TargetMode="External"/><Relationship Id="rId49" Type="http://schemas.openxmlformats.org/officeDocument/2006/relationships/hyperlink" Target="https://busquedas.elperuano.pe/dispositivo/NL/2559601-1/pdf" TargetMode="External"/><Relationship Id="rId50"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