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Lunes 5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05/10/2026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17:05</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27</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2</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27 normas publicadas en el periodo, 2 resultan de interés institucional: 1 sobre la ATU y el transporte urbano y 1 de inversiones. El Cuadro 1 presenta la relación completa y la sección 2, el detalle de cada norma.</w:t>
      </w:r>
    </w:p>
    <w:tbl>
      <w:tblPr>
        <w:tblW w:type="auto" w:w="0"/>
        <w:tblLook w:firstColumn="1" w:firstRow="1" w:lastColumn="0" w:lastRow="0" w:noHBand="0" w:noVBand="1" w:val="04A0"/>
        <w:tblBorders>
          <w:top w:val="single" w:sz="4" w:space="0" w:color="F4C7C3"/>
          <w:left w:val="single" w:sz="4" w:space="0" w:color="F4C7C3"/>
          <w:bottom w:val="single" w:sz="4" w:space="0" w:color="F4C7C3"/>
          <w:right w:val="single" w:sz="4" w:space="0" w:color="F4C7C3"/>
        </w:tblBorders>
        <w:tblLayout w:type="fixed"/>
        <w:tblCellMar>
          <w:top w:w="50" w:type="dxa"/>
          <w:bottom w:w="50" w:type="dxa"/>
          <w:left w:w="100" w:type="dxa"/>
          <w:right w:w="100" w:type="dxa"/>
        </w:tblCellMar>
      </w:tblPr>
      <w:tblGrid>
        <w:gridCol w:w="9412"/>
      </w:tblGrid>
      <w:tr>
        <w:tc>
          <w:tcPr>
            <w:tcW w:type="dxa" w:w="9411"/>
            <w:shd w:val="clear" w:color="auto" w:fill="FDF3F2"/>
            <w:tcBorders>
              <w:left w:val="single" w:sz="24" w:space="0" w:color="B42318"/>
            </w:tcBorders>
          </w:tcPr>
          <w:p>
            <w:pPr>
              <w:spacing w:before="20" w:after="20" w:line="264" w:lineRule="auto"/>
            </w:pPr>
            <w:r>
              <w:rPr>
                <w:rFonts w:ascii="Arial" w:hAnsi="Arial" w:eastAsia="Arial"/>
                <w:b/>
                <w:i w:val="0"/>
                <w:color w:val="B42318"/>
                <w:sz w:val="18"/>
              </w:rPr>
              <w:t>ATENCIÓN: 1 norma involucra directamente a la ATU</w:t>
            </w:r>
          </w:p>
          <w:p>
            <w:pPr>
              <w:spacing w:before="0" w:after="20" w:line="264" w:lineRule="auto"/>
            </w:pPr>
            <w:r>
              <w:rPr>
                <w:rFonts w:ascii="Arial" w:hAnsi="Arial" w:eastAsia="Arial"/>
                <w:b w:val="0"/>
                <w:i w:val="0"/>
                <w:color w:val="B42318"/>
                <w:sz w:val="18"/>
              </w:rPr>
              <w:t xml:space="preserve">▪ </w:t>
            </w:r>
            <w:r>
              <w:rPr>
                <w:rFonts w:ascii="Arial" w:hAnsi="Arial" w:eastAsia="Arial"/>
                <w:b/>
                <w:i w:val="0"/>
                <w:sz w:val="18"/>
              </w:rPr>
              <w:t>RESOLUCIÓN  N° 227-2026-ATU/PE</w:t>
            </w:r>
            <w:r>
              <w:rPr>
                <w:rFonts w:ascii="Arial" w:hAnsi="Arial" w:eastAsia="Arial"/>
                <w:b w:val="0"/>
                <w:i w:val="0"/>
                <w:sz w:val="18"/>
              </w:rPr>
              <w:t xml:space="preserve"> (Autoridad de Transporte Urbano para Lima y Callao): Designan Jefe de la Oficina de Asesoría Jurídica de la Autoridad de Transporte Urbano para Lima y Callao - ATU</w:t>
            </w:r>
          </w:p>
        </w:tc>
      </w:tr>
    </w:tbl>
    <w:p>
      <w:pPr>
        <w:spacing w:before="0" w:after="80" w:line="276" w:lineRule="auto"/>
      </w:pP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2A78D6"/>
            </w:tcBorders>
          </w:tcPr>
          <w:p>
            <w:pPr>
              <w:spacing w:before="20" w:after="20" w:line="264" w:lineRule="auto"/>
            </w:pPr>
            <w:r>
              <w:rPr>
                <w:rFonts w:ascii="Arial" w:hAnsi="Arial" w:eastAsia="Arial"/>
                <w:b/>
                <w:i w:val="0"/>
                <w:color w:val="0A2F5C"/>
                <w:sz w:val="17"/>
              </w:rPr>
              <w:t>ATU Y TRANSPORTE URBANO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N° 227-2026-ATU/PE</w:t>
              </w:r>
            </w:hyperlink>
          </w:p>
          <w:p>
            <w:pPr>
              <w:spacing w:before="0" w:after="20" w:line="252" w:lineRule="auto"/>
            </w:pPr>
            <w:r>
              <w:rPr>
                <w:rFonts w:ascii="Arial" w:hAnsi="Arial" w:eastAsia="Arial"/>
                <w:b w:val="0"/>
                <w:i w:val="0"/>
                <w:color w:val="5B6880"/>
                <w:sz w:val="15"/>
              </w:rPr>
              <w:t>AUTORIDAD DE TRANSPORTE URBANO PARA LIMA Y CALLAO</w:t>
            </w:r>
          </w:p>
        </w:tc>
        <w:tc>
          <w:tcPr>
            <w:tcW w:type="dxa" w:w="4762"/>
          </w:tcPr>
          <w:p>
            <w:pPr>
              <w:spacing w:before="20" w:after="20" w:line="264" w:lineRule="auto"/>
            </w:pPr>
            <w:r>
              <w:rPr>
                <w:rFonts w:ascii="Arial" w:hAnsi="Arial" w:eastAsia="Arial"/>
                <w:b w:val="0"/>
                <w:i w:val="0"/>
                <w:sz w:val="17"/>
              </w:rPr>
              <w:t>Designan Jefe de la Oficina de Asesoría Jurídica de la Autoridad de Transporte Urbano para Lima y Callao - ATU</w:t>
            </w:r>
          </w:p>
        </w:tc>
        <w:tc>
          <w:tcPr>
            <w:tcW w:type="dxa" w:w="1247"/>
          </w:tcPr>
          <w:p>
            <w:pPr>
              <w:spacing w:before="20" w:after="20" w:line="264" w:lineRule="auto"/>
              <w:jc w:val="center"/>
            </w:pPr>
            <w:r>
              <w:rPr>
                <w:rFonts w:ascii="Arial" w:hAnsi="Arial" w:eastAsia="Arial"/>
                <w:b w:val="0"/>
                <w:i w:val="0"/>
                <w:sz w:val="17"/>
              </w:rPr>
              <w:t>05/10/2026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(1)</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RESOLUCIÓN N° D000293-2026-OECE-PRE</w:t>
              </w:r>
            </w:hyperlink>
          </w:p>
          <w:p>
            <w:pPr>
              <w:spacing w:before="0" w:after="20" w:line="252" w:lineRule="auto"/>
            </w:pPr>
            <w:r>
              <w:rPr>
                <w:rFonts w:ascii="Arial" w:hAnsi="Arial" w:eastAsia="Arial"/>
                <w:b w:val="0"/>
                <w:i w:val="0"/>
                <w:color w:val="5B6880"/>
                <w:sz w:val="15"/>
              </w:rPr>
              <w:t>ORGANISMO ESPECIALIZADO PARA LAS CONTRATACIONES PÚBLICAS EFICIENTES</w:t>
            </w:r>
          </w:p>
        </w:tc>
        <w:tc>
          <w:tcPr>
            <w:tcW w:type="dxa" w:w="4762"/>
          </w:tcPr>
          <w:p>
            <w:pPr>
              <w:spacing w:before="20" w:after="20" w:line="264" w:lineRule="auto"/>
            </w:pPr>
            <w:r>
              <w:rPr>
                <w:rFonts w:ascii="Arial" w:hAnsi="Arial" w:eastAsia="Arial"/>
                <w:b w:val="0"/>
                <w:i w:val="0"/>
                <w:sz w:val="17"/>
              </w:rPr>
              <w:t>Formalizan Acuerdo que aprueba la reconformación de las Salas del Tribunal de Contrataciones Públicas</w:t>
            </w:r>
          </w:p>
        </w:tc>
        <w:tc>
          <w:tcPr>
            <w:tcW w:type="dxa" w:w="1247"/>
          </w:tcPr>
          <w:p>
            <w:pPr>
              <w:spacing w:before="20" w:after="20" w:line="264" w:lineRule="auto"/>
              <w:jc w:val="center"/>
            </w:pPr>
            <w:r>
              <w:rPr>
                <w:rFonts w:ascii="Arial" w:hAnsi="Arial" w:eastAsia="Arial"/>
                <w:b w:val="0"/>
                <w:i w:val="0"/>
                <w:sz w:val="17"/>
              </w:rPr>
              <w:t>05/10/2026</w:t>
            </w:r>
          </w:p>
          <w:p>
            <w:pPr>
              <w:spacing w:before="0" w:after="0" w:line="240" w:lineRule="auto"/>
              <w:jc w:val="center"/>
            </w:pPr>
            <w:r>
              <w:rPr>
                <w:rFonts w:ascii="Arial" w:hAnsi="Arial" w:eastAsia="Arial"/>
                <w:b w:val="0"/>
                <w:i w:val="0"/>
                <w:color w:val="B42318"/>
                <w:sz w:val="14"/>
              </w:rPr>
              <w:t>Edición extraordinaria</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ATU y transporte urbano</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2A78D6"/>
            </w:tcBorders>
          </w:tcPr>
          <w:p>
            <w:pPr>
              <w:spacing w:before="20" w:after="20" w:line="264" w:lineRule="auto"/>
            </w:pPr>
            <w:r>
              <w:rPr>
                <w:rFonts w:ascii="Arial" w:hAnsi="Arial" w:eastAsia="Arial"/>
                <w:b/>
                <w:i w:val="0"/>
                <w:color w:val="0A2F5C"/>
                <w:sz w:val="19"/>
              </w:rPr>
              <w:t>1.  RESOLUCIÓN  N° 227-2026-ATU/PE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AUTORIDAD DE TRANSPORTE URBANO PARA LIMA Y CALLAO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05/10/2026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ATU y transporte urbano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Designan Jefe de la Oficina de Asesoría Jurídica de la Autoridad de Transporte Urbano para Lima y Callao - ATU</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Designar, a partir del día 5 de octubre de 2026, al señor CRISTIAN DAVID DONDERO CASSANO en el puesto de Jefe de la Oficina de Asesoría Jurídica con Código AIRHSP N° 000003 de la Autoridad de Transporte Urbano para Lima y Callao - ATU. Artículo 2.- Notificar la presente resolución al señor CRISTIAN DAVID DONDERO CASSANO y a la Oficina de Gestión de Recursos Humanos, para los fines pertinentes. Artículo 3.- Disponer la publicación de la presente resolución en el Diario Oficial “El Peruano” y en la sede digital de la Autoridad de Transporte Urbano para Lima y Callao - ATU ( https://www.gob.pe/atu ). Regístrese, comuníquese y publíquese. DAVID AUGUSTO HERNÁNDEZ SALAZAR Presidente…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3">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4">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2.  RESOLUCIÓN N° D000293-2026-OECE-PRE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ORGANISMO ESPECIALIZADO PARA LAS CONTRATACIONES PÚBLICAS EFICIENTES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05/10/2026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Formalizan Acuerdo que aprueba la reconformación de las Salas del Tribunal de Contrataciones Públicas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Formalizar el Acuerdo Nº 001-014-2026/OECE-CD del Consejo Directivo que aprueba la reconformación de las Salas del Tribunal de Contrataciones Públicas, conforme al siguiente detalle: Primera Sala Víctor Manuel Villanueva Sandoval (Presidente) Marisabel Jáuregui Iriarte Jefferson Augusto Bocanegra Diaz Segunda Sala Marlon Luis Arana Orellana (Presidente) Erick Joel Mendoza Merino Daniel Alexis Nazazi Paz Winchez Tercera Sala Steven Anibal Flores Olivera (Presidente) Cesar Alejandro Llanos Torres Héctor Ricardo Morales González Cuarta Sala Christian César Chocano Davis (Presidente) Annie Elizabeth Pérez Gutiérrez Cesar Arturo Sánchez Caminiti Quinta Sala Juan Carlos Cortez Tataje…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17">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1532-1" TargetMode="External"/><Relationship Id="rId12" Type="http://schemas.openxmlformats.org/officeDocument/2006/relationships/hyperlink" Target="https://busquedas.elperuano.pe/api/visor_html/2561895-1" TargetMode="External"/><Relationship Id="rId13" Type="http://schemas.openxmlformats.org/officeDocument/2006/relationships/hyperlink" Target="https://busquedas.elperuano.pe/dispositivo/NL/2561532-1" TargetMode="External"/><Relationship Id="rId14" Type="http://schemas.openxmlformats.org/officeDocument/2006/relationships/hyperlink" Target="https://busquedas.elperuano.pe/dispositivo/NL/2561532-1/pdf" TargetMode="External"/><Relationship Id="rId15" Type="http://schemas.openxmlformats.org/officeDocument/2006/relationships/hyperlink" Target="https://busquedas.elperuano.pe/dispositivo/EX/2561895-1" TargetMode="External"/><Relationship Id="rId16" Type="http://schemas.openxmlformats.org/officeDocument/2006/relationships/hyperlink" Target="https://busquedas.elperuano.pe/dispositivo/EX/2561895-1/pdf" TargetMode="External"/><Relationship Id="rId17"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