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76" w:lineRule="auto"/>
        <w:jc w:val="center"/>
      </w:pPr>
      <w:r>
        <w:rPr>
          <w:rFonts w:ascii="Arial" w:hAnsi="Arial" w:eastAsia="Arial"/>
          <w:b/>
          <w:i w:val="0"/>
          <w:color w:val="0A2F5C"/>
          <w:sz w:val="36"/>
        </w:rPr>
        <w:t>RESUMEN DE NORMAS LEGALES</w:t>
      </w:r>
    </w:p>
    <w:p>
      <w:pPr>
        <w:spacing w:before="0" w:after="40" w:line="276" w:lineRule="auto"/>
        <w:jc w:val="center"/>
      </w:pPr>
      <w:r>
        <w:rPr>
          <w:rFonts w:ascii="Arial" w:hAnsi="Arial" w:eastAsia="Arial"/>
          <w:b w:val="0"/>
          <w:i w:val="0"/>
          <w:color w:val="5B6880"/>
          <w:sz w:val="21"/>
        </w:rPr>
        <w:t>Diario Oficial El Peruano · Jueves 22 de octubre de 2026</w:t>
      </w:r>
    </w:p>
    <w:p>
      <w:pPr>
        <w:spacing w:before="0" w:after="200" w:line="276" w:lineRule="auto"/>
        <w:pBdr>
          <w:bottom w:val="single" w:sz="18" w:space="1" w:color="0A2F5C"/>
        </w:pBdr>
      </w:pPr>
    </w:p>
    <w:tbl>
      <w:tblPr>
        <w:tblW w:type="auto" w:w="0"/>
        <w:tblLook w:firstColumn="1" w:firstRow="1" w:lastColumn="0" w:lastRow="0" w:noHBand="0" w:noVBand="1" w:val="04A0"/>
        <w:tblBorders>
          <w:top w:val="single" w:sz="4" w:space="0" w:color="C9D2DF"/>
          <w:left w:val="single" w:sz="4" w:space="0" w:color="C9D2DF"/>
          <w:bottom w:val="single" w:sz="4" w:space="0" w:color="C9D2DF"/>
          <w:right w:val="single" w:sz="4" w:space="0" w:color="C9D2DF"/>
          <w:insideH w:val="single" w:sz="4" w:space="0" w:color="C9D2DF"/>
          <w:insideV w:val="single" w:sz="4" w:space="0" w:color="C9D2DF"/>
        </w:tblBorders>
        <w:tblLayout w:type="fixed"/>
        <w:tblCellMar>
          <w:top w:w="50" w:type="dxa"/>
          <w:bottom w:w="50" w:type="dxa"/>
          <w:left w:w="100" w:type="dxa"/>
          <w:right w:w="100" w:type="dxa"/>
        </w:tblCellMar>
      </w:tblPr>
      <w:tblGrid>
        <w:gridCol w:w="2353"/>
        <w:gridCol w:w="2353"/>
        <w:gridCol w:w="2353"/>
        <w:gridCol w:w="2353"/>
      </w:tblGrid>
      <w:tr>
        <w:tc>
          <w:tcPr>
            <w:tcW w:type="dxa" w:w="2041"/>
            <w:shd w:val="clear" w:color="auto" w:fill="F2F5FA"/>
          </w:tcPr>
          <w:p>
            <w:pPr>
              <w:spacing w:before="20" w:after="20" w:line="264" w:lineRule="auto"/>
            </w:pPr>
            <w:r>
              <w:rPr>
                <w:rFonts w:ascii="Arial" w:hAnsi="Arial" w:eastAsia="Arial"/>
                <w:b/>
                <w:i w:val="0"/>
                <w:color w:val="0A2F5C"/>
                <w:sz w:val="17"/>
              </w:rPr>
              <w:t>Periodo revisado</w:t>
            </w:r>
          </w:p>
        </w:tc>
        <w:tc>
          <w:tcPr>
            <w:tcW w:type="dxa" w:w="2665"/>
          </w:tcPr>
          <w:p>
            <w:pPr>
              <w:spacing w:before="20" w:after="20" w:line="264" w:lineRule="auto"/>
            </w:pPr>
            <w:r>
              <w:rPr>
                <w:rFonts w:ascii="Arial" w:hAnsi="Arial" w:eastAsia="Arial"/>
                <w:b w:val="0"/>
                <w:i w:val="0"/>
                <w:sz w:val="19"/>
              </w:rPr>
              <w:t>22/10/2026</w:t>
            </w:r>
          </w:p>
        </w:tc>
        <w:tc>
          <w:tcPr>
            <w:tcW w:type="dxa" w:w="2041"/>
            <w:shd w:val="clear" w:color="auto" w:fill="F2F5FA"/>
          </w:tcPr>
          <w:p>
            <w:pPr>
              <w:spacing w:before="20" w:after="20" w:line="264" w:lineRule="auto"/>
            </w:pPr>
            <w:r>
              <w:rPr>
                <w:rFonts w:ascii="Arial" w:hAnsi="Arial" w:eastAsia="Arial"/>
                <w:b/>
                <w:i w:val="0"/>
                <w:color w:val="0A2F5C"/>
                <w:sz w:val="17"/>
              </w:rPr>
              <w:t>Fecha de elaboración</w:t>
            </w:r>
          </w:p>
        </w:tc>
        <w:tc>
          <w:tcPr>
            <w:tcW w:type="dxa" w:w="2665"/>
          </w:tcPr>
          <w:p>
            <w:pPr>
              <w:spacing w:before="20" w:after="20" w:line="264" w:lineRule="auto"/>
            </w:pPr>
            <w:r>
              <w:rPr>
                <w:rFonts w:ascii="Arial" w:hAnsi="Arial" w:eastAsia="Arial"/>
                <w:b w:val="0"/>
                <w:i w:val="0"/>
                <w:sz w:val="19"/>
              </w:rPr>
              <w:t>26/10/2026 17:10</w:t>
            </w:r>
          </w:p>
        </w:tc>
      </w:tr>
      <w:tr>
        <w:tc>
          <w:tcPr>
            <w:tcW w:type="dxa" w:w="2041"/>
            <w:shd w:val="clear" w:color="auto" w:fill="F2F5FA"/>
          </w:tcPr>
          <w:p>
            <w:pPr>
              <w:spacing w:before="20" w:after="20" w:line="264" w:lineRule="auto"/>
            </w:pPr>
            <w:r>
              <w:rPr>
                <w:rFonts w:ascii="Arial" w:hAnsi="Arial" w:eastAsia="Arial"/>
                <w:b/>
                <w:i w:val="0"/>
                <w:color w:val="0A2F5C"/>
                <w:sz w:val="17"/>
              </w:rPr>
              <w:t>Normas publicadas</w:t>
            </w:r>
          </w:p>
        </w:tc>
        <w:tc>
          <w:tcPr>
            <w:tcW w:type="dxa" w:w="2665"/>
          </w:tcPr>
          <w:p>
            <w:pPr>
              <w:spacing w:before="20" w:after="20" w:line="264" w:lineRule="auto"/>
            </w:pPr>
            <w:r>
              <w:rPr>
                <w:rFonts w:ascii="Arial" w:hAnsi="Arial" w:eastAsia="Arial"/>
                <w:b w:val="0"/>
                <w:i w:val="0"/>
                <w:sz w:val="19"/>
              </w:rPr>
              <w:t>92</w:t>
            </w:r>
          </w:p>
        </w:tc>
        <w:tc>
          <w:tcPr>
            <w:tcW w:type="dxa" w:w="2041"/>
            <w:shd w:val="clear" w:color="auto" w:fill="F2F5FA"/>
          </w:tcPr>
          <w:p>
            <w:pPr>
              <w:spacing w:before="20" w:after="20" w:line="264" w:lineRule="auto"/>
            </w:pPr>
            <w:r>
              <w:rPr>
                <w:rFonts w:ascii="Arial" w:hAnsi="Arial" w:eastAsia="Arial"/>
                <w:b/>
                <w:i w:val="0"/>
                <w:color w:val="0A2F5C"/>
                <w:sz w:val="17"/>
              </w:rPr>
              <w:t>Normas de interés</w:t>
            </w:r>
          </w:p>
        </w:tc>
        <w:tc>
          <w:tcPr>
            <w:tcW w:type="dxa" w:w="2665"/>
          </w:tcPr>
          <w:p>
            <w:pPr>
              <w:spacing w:before="20" w:after="20" w:line="264" w:lineRule="auto"/>
            </w:pPr>
            <w:r>
              <w:rPr>
                <w:rFonts w:ascii="Arial" w:hAnsi="Arial" w:eastAsia="Arial"/>
                <w:b/>
                <w:i w:val="0"/>
                <w:color w:val="0A2F5C"/>
                <w:sz w:val="19"/>
              </w:rPr>
              <w:t>6</w:t>
            </w:r>
          </w:p>
        </w:tc>
      </w:tr>
    </w:tbl>
    <w:p>
      <w:pPr>
        <w:spacing w:before="280" w:after="120" w:line="276" w:lineRule="auto"/>
        <w:keepNext/>
        <w:pBdr>
          <w:bottom w:val="single" w:sz="6" w:space="2" w:color="C9D2DF"/>
        </w:pBdr>
      </w:pPr>
      <w:r>
        <w:rPr>
          <w:rFonts w:ascii="Arial" w:hAnsi="Arial" w:eastAsia="Arial"/>
          <w:b/>
          <w:i w:val="0"/>
          <w:color w:val="0A2F5C"/>
          <w:sz w:val="22"/>
        </w:rPr>
        <w:t>1. RESUMEN EJECUTIVO</w:t>
      </w:r>
    </w:p>
    <w:p>
      <w:pPr>
        <w:spacing w:before="0" w:after="160" w:line="276" w:lineRule="auto"/>
        <w:jc w:val="both"/>
      </w:pPr>
      <w:r>
        <w:rPr>
          <w:rFonts w:ascii="Arial" w:hAnsi="Arial" w:eastAsia="Arial"/>
          <w:b w:val="0"/>
          <w:i w:val="0"/>
          <w:sz w:val="20"/>
        </w:rPr>
        <w:t>De las 92 normas publicadas en el periodo, 6 resultan de interés institucional: 5 de normatividad presupuestal y 1 de inversiones. No se identificaron normas que involucren a la ATU. El Cuadro 1 presenta la relación completa y la sección 2, el detalle de cada norma.</w:t>
      </w:r>
    </w:p>
    <w:p>
      <w:pPr>
        <w:keepNext/>
        <w:spacing w:before="80" w:after="60" w:line="276" w:lineRule="auto"/>
      </w:pPr>
      <w:r>
        <w:rPr>
          <w:rFonts w:ascii="Arial" w:hAnsi="Arial" w:eastAsia="Arial"/>
          <w:b/>
          <w:i w:val="0"/>
          <w:color w:val="0A2F5C"/>
          <w:sz w:val="18"/>
        </w:rPr>
        <w:t>Cuadro 1. Normas de interés identificadas</w:t>
      </w:r>
    </w:p>
    <w:tbl>
      <w:tblPr>
        <w:tblW w:type="auto" w:w="0"/>
        <w:tblLook w:firstColumn="1" w:firstRow="1" w:lastColumn="0" w:lastRow="0" w:noHBand="0" w:noVBand="1" w:val="04A0"/>
        <w:tblBorders>
          <w:top w:val="single" w:sz="4" w:space="0" w:color="C9D2DF"/>
          <w:left w:val="single" w:sz="4" w:space="0" w:color="C9D2DF"/>
          <w:bottom w:val="single" w:sz="4" w:space="0" w:color="C9D2DF"/>
          <w:right w:val="single" w:sz="4" w:space="0" w:color="C9D2DF"/>
          <w:insideH w:val="single" w:sz="4" w:space="0" w:color="C9D2DF"/>
          <w:insideV w:val="single" w:sz="4" w:space="0" w:color="C9D2DF"/>
        </w:tblBorders>
        <w:tblLayout w:type="fixed"/>
        <w:tblCellMar>
          <w:top w:w="50" w:type="dxa"/>
          <w:bottom w:w="50" w:type="dxa"/>
          <w:left w:w="100" w:type="dxa"/>
          <w:right w:w="100" w:type="dxa"/>
        </w:tblCellMar>
      </w:tblPr>
      <w:tblGrid>
        <w:gridCol w:w="2353"/>
        <w:gridCol w:w="2353"/>
        <w:gridCol w:w="2353"/>
        <w:gridCol w:w="2353"/>
      </w:tblGrid>
      <w:tr>
        <w:trPr>
          <w:cantSplit/>
          <w:tblHeader/>
        </w:trPr>
        <w:tc>
          <w:tcPr>
            <w:tcW w:type="dxa" w:w="567"/>
            <w:shd w:val="clear" w:color="auto" w:fill="0A2F5C"/>
          </w:tcPr>
          <w:p>
            <w:pPr>
              <w:spacing w:before="20" w:after="20" w:line="264" w:lineRule="auto"/>
              <w:jc w:val="center"/>
            </w:pPr>
            <w:r>
              <w:rPr>
                <w:rFonts w:ascii="Arial" w:hAnsi="Arial" w:eastAsia="Arial"/>
                <w:b/>
                <w:i w:val="0"/>
                <w:color w:val="FFFFFF"/>
                <w:sz w:val="17"/>
              </w:rPr>
              <w:t>N.°</w:t>
            </w:r>
          </w:p>
        </w:tc>
        <w:tc>
          <w:tcPr>
            <w:tcW w:type="dxa" w:w="2835"/>
            <w:shd w:val="clear" w:color="auto" w:fill="0A2F5C"/>
          </w:tcPr>
          <w:p>
            <w:pPr>
              <w:spacing w:before="20" w:after="20" w:line="264" w:lineRule="auto"/>
              <w:jc w:val="center"/>
            </w:pPr>
            <w:r>
              <w:rPr>
                <w:rFonts w:ascii="Arial" w:hAnsi="Arial" w:eastAsia="Arial"/>
                <w:b/>
                <w:i w:val="0"/>
                <w:color w:val="FFFFFF"/>
                <w:sz w:val="17"/>
              </w:rPr>
              <w:t>Norma y entidad emisora</w:t>
            </w:r>
          </w:p>
        </w:tc>
        <w:tc>
          <w:tcPr>
            <w:tcW w:type="dxa" w:w="4762"/>
            <w:shd w:val="clear" w:color="auto" w:fill="0A2F5C"/>
          </w:tcPr>
          <w:p>
            <w:pPr>
              <w:spacing w:before="20" w:after="20" w:line="264" w:lineRule="auto"/>
              <w:jc w:val="center"/>
            </w:pPr>
            <w:r>
              <w:rPr>
                <w:rFonts w:ascii="Arial" w:hAnsi="Arial" w:eastAsia="Arial"/>
                <w:b/>
                <w:i w:val="0"/>
                <w:color w:val="FFFFFF"/>
                <w:sz w:val="17"/>
              </w:rPr>
              <w:t>Sumilla</w:t>
            </w:r>
          </w:p>
        </w:tc>
        <w:tc>
          <w:tcPr>
            <w:tcW w:type="dxa" w:w="1247"/>
            <w:shd w:val="clear" w:color="auto" w:fill="0A2F5C"/>
          </w:tcPr>
          <w:p>
            <w:pPr>
              <w:spacing w:before="20" w:after="20" w:line="264" w:lineRule="auto"/>
              <w:jc w:val="center"/>
            </w:pPr>
            <w:r>
              <w:rPr>
                <w:rFonts w:ascii="Arial" w:hAnsi="Arial" w:eastAsia="Arial"/>
                <w:b/>
                <w:i w:val="0"/>
                <w:color w:val="FFFFFF"/>
                <w:sz w:val="17"/>
              </w:rPr>
              <w:t>Publicación</w:t>
            </w:r>
          </w:p>
        </w:tc>
      </w:tr>
      <w:tr>
        <w:trPr>
          <w:cantSplit/>
        </w:trPr>
        <w:tc>
          <w:tcPr>
            <w:tcW w:type="dxa" w:w="1247"/>
            <w:gridSpan w:val="4"/>
            <w:shd w:val="clear" w:color="auto" w:fill="F2F5FA"/>
            <w:tcBorders>
              <w:left w:val="single" w:sz="30" w:space="0" w:color="EB6834"/>
            </w:tcBorders>
          </w:tcPr>
          <w:p>
            <w:pPr>
              <w:spacing w:before="20" w:after="20" w:line="264" w:lineRule="auto"/>
            </w:pPr>
            <w:r>
              <w:rPr>
                <w:rFonts w:ascii="Arial" w:hAnsi="Arial" w:eastAsia="Arial"/>
                <w:b/>
                <w:i w:val="0"/>
                <w:color w:val="0A2F5C"/>
                <w:sz w:val="17"/>
              </w:rPr>
              <w:t>NORMATIVIDAD PRESUPUESTAL  (5)</w:t>
            </w:r>
          </w:p>
        </w:tc>
      </w:tr>
      <w:tr>
        <w:trPr>
          <w:cantSplit/>
        </w:trPr>
        <w:tc>
          <w:tcPr>
            <w:tcW w:type="dxa" w:w="567"/>
          </w:tcPr>
          <w:p>
            <w:pPr>
              <w:spacing w:before="20" w:after="20" w:line="264" w:lineRule="auto"/>
              <w:jc w:val="center"/>
            </w:pPr>
            <w:r>
              <w:rPr>
                <w:rFonts w:ascii="Arial" w:hAnsi="Arial" w:eastAsia="Arial"/>
                <w:b/>
                <w:i w:val="0"/>
                <w:color w:val="0A2F5C"/>
                <w:sz w:val="18"/>
              </w:rPr>
              <w:t>1</w:t>
            </w:r>
          </w:p>
        </w:tc>
        <w:tc>
          <w:tcPr>
            <w:tcW w:type="dxa" w:w="2835"/>
          </w:tcPr>
          <w:p>
            <w:pPr>
              <w:spacing w:before="20" w:after="20" w:line="264" w:lineRule="auto"/>
            </w:pPr>
            <w:hyperlink r:id="rId11">
              <w:r>
                <w:rPr>
                  <w:rFonts w:ascii="Arial" w:hAnsi="Arial" w:eastAsia="Arial" w:cs="Arial"/>
                  <w:b/>
                  <w:color w:val="0B5CAD"/>
                  <w:sz w:val="17"/>
                  <w:u w:val="single"/>
                </w:rPr>
                <w:t xml:space="preserve">ACUERDO  N° 164-2026-GRA/CR-SO.</w:t>
              </w:r>
            </w:hyperlink>
          </w:p>
          <w:p>
            <w:pPr>
              <w:spacing w:before="0" w:after="20" w:line="252" w:lineRule="auto"/>
            </w:pPr>
            <w:r>
              <w:rPr>
                <w:rFonts w:ascii="Arial" w:hAnsi="Arial" w:eastAsia="Arial"/>
                <w:b w:val="0"/>
                <w:i w:val="0"/>
                <w:color w:val="5B6880"/>
                <w:sz w:val="15"/>
              </w:rPr>
              <w:t>GOBIERNO REGIONAL DE AMAZONAS</w:t>
            </w:r>
          </w:p>
        </w:tc>
        <w:tc>
          <w:tcPr>
            <w:tcW w:type="dxa" w:w="4762"/>
          </w:tcPr>
          <w:p>
            <w:pPr>
              <w:spacing w:before="20" w:after="20" w:line="264" w:lineRule="auto"/>
            </w:pPr>
            <w:r>
              <w:rPr>
                <w:rFonts w:ascii="Arial" w:hAnsi="Arial" w:eastAsia="Arial"/>
                <w:b w:val="0"/>
                <w:i w:val="0"/>
                <w:sz w:val="17"/>
              </w:rPr>
              <w:t>Aprueban reducción del Marco Presupuestal en la Fuente de Financiamiento Recursos Directamente Recaudados (RDR) para el Año Fiscal 2026</w:t>
            </w:r>
          </w:p>
        </w:tc>
        <w:tc>
          <w:tcPr>
            <w:tcW w:type="dxa" w:w="1247"/>
          </w:tcPr>
          <w:p>
            <w:pPr>
              <w:spacing w:before="20" w:after="20" w:line="264" w:lineRule="auto"/>
              <w:jc w:val="center"/>
            </w:pPr>
            <w:r>
              <w:rPr>
                <w:rFonts w:ascii="Arial" w:hAnsi="Arial" w:eastAsia="Arial"/>
                <w:b w:val="0"/>
                <w:i w:val="0"/>
                <w:sz w:val="17"/>
              </w:rPr>
              <w:t>22/10/2026</w:t>
            </w:r>
          </w:p>
        </w:tc>
      </w:tr>
      <w:tr>
        <w:trPr>
          <w:cantSplit/>
        </w:trPr>
        <w:tc>
          <w:tcPr>
            <w:tcW w:type="dxa" w:w="567"/>
          </w:tcPr>
          <w:p>
            <w:pPr>
              <w:spacing w:before="20" w:after="20" w:line="264" w:lineRule="auto"/>
              <w:jc w:val="center"/>
            </w:pPr>
            <w:r>
              <w:rPr>
                <w:rFonts w:ascii="Arial" w:hAnsi="Arial" w:eastAsia="Arial"/>
                <w:b/>
                <w:i w:val="0"/>
                <w:color w:val="0A2F5C"/>
                <w:sz w:val="18"/>
              </w:rPr>
              <w:t>2</w:t>
            </w:r>
          </w:p>
        </w:tc>
        <w:tc>
          <w:tcPr>
            <w:tcW w:type="dxa" w:w="2835"/>
          </w:tcPr>
          <w:p>
            <w:pPr>
              <w:spacing w:before="20" w:after="20" w:line="264" w:lineRule="auto"/>
            </w:pPr>
            <w:hyperlink r:id="rId12">
              <w:r>
                <w:rPr>
                  <w:rFonts w:ascii="Arial" w:hAnsi="Arial" w:eastAsia="Arial" w:cs="Arial"/>
                  <w:b/>
                  <w:color w:val="0B5CAD"/>
                  <w:sz w:val="17"/>
                  <w:u w:val="single"/>
                </w:rPr>
                <w:t xml:space="preserve">ACUERDO  N° 000184 -2026-GRLL-CR</w:t>
              </w:r>
            </w:hyperlink>
          </w:p>
          <w:p>
            <w:pPr>
              <w:spacing w:before="0" w:after="20" w:line="252" w:lineRule="auto"/>
            </w:pPr>
            <w:r>
              <w:rPr>
                <w:rFonts w:ascii="Arial" w:hAnsi="Arial" w:eastAsia="Arial"/>
                <w:b w:val="0"/>
                <w:i w:val="0"/>
                <w:color w:val="5B6880"/>
                <w:sz w:val="15"/>
              </w:rPr>
              <w:t>GOBIERNO REGIONAL DE LA LIBERTAD</w:t>
            </w:r>
          </w:p>
        </w:tc>
        <w:tc>
          <w:tcPr>
            <w:tcW w:type="dxa" w:w="4762"/>
          </w:tcPr>
          <w:p>
            <w:pPr>
              <w:spacing w:before="20" w:after="20" w:line="264" w:lineRule="auto"/>
            </w:pPr>
            <w:r>
              <w:rPr>
                <w:rFonts w:ascii="Arial" w:hAnsi="Arial" w:eastAsia="Arial"/>
                <w:b w:val="0"/>
                <w:i w:val="0"/>
                <w:sz w:val="17"/>
              </w:rPr>
              <w:t>Modifican y rectifican el Acuerdo Regional Nº 000287-2025-GRLL-CR que autorizó transferencia financiera a favor de la Contraloría General de la República</w:t>
            </w:r>
          </w:p>
        </w:tc>
        <w:tc>
          <w:tcPr>
            <w:tcW w:type="dxa" w:w="1247"/>
          </w:tcPr>
          <w:p>
            <w:pPr>
              <w:spacing w:before="20" w:after="20" w:line="264" w:lineRule="auto"/>
              <w:jc w:val="center"/>
            </w:pPr>
            <w:r>
              <w:rPr>
                <w:rFonts w:ascii="Arial" w:hAnsi="Arial" w:eastAsia="Arial"/>
                <w:b w:val="0"/>
                <w:i w:val="0"/>
                <w:sz w:val="17"/>
              </w:rPr>
              <w:t>22/10/2026</w:t>
            </w:r>
          </w:p>
        </w:tc>
      </w:tr>
      <w:tr>
        <w:trPr>
          <w:cantSplit/>
        </w:trPr>
        <w:tc>
          <w:tcPr>
            <w:tcW w:type="dxa" w:w="567"/>
          </w:tcPr>
          <w:p>
            <w:pPr>
              <w:spacing w:before="20" w:after="20" w:line="264" w:lineRule="auto"/>
              <w:jc w:val="center"/>
            </w:pPr>
            <w:r>
              <w:rPr>
                <w:rFonts w:ascii="Arial" w:hAnsi="Arial" w:eastAsia="Arial"/>
                <w:b/>
                <w:i w:val="0"/>
                <w:color w:val="0A2F5C"/>
                <w:sz w:val="18"/>
              </w:rPr>
              <w:t>3</w:t>
            </w:r>
          </w:p>
        </w:tc>
        <w:tc>
          <w:tcPr>
            <w:tcW w:type="dxa" w:w="2835"/>
          </w:tcPr>
          <w:p>
            <w:pPr>
              <w:spacing w:before="20" w:after="20" w:line="264" w:lineRule="auto"/>
            </w:pPr>
            <w:hyperlink r:id="rId13">
              <w:r>
                <w:rPr>
                  <w:rFonts w:ascii="Arial" w:hAnsi="Arial" w:eastAsia="Arial" w:cs="Arial"/>
                  <w:b/>
                  <w:color w:val="0B5CAD"/>
                  <w:sz w:val="17"/>
                  <w:u w:val="single"/>
                </w:rPr>
                <w:t xml:space="preserve">ACUERDO  N° 000187-2026-GRLL-CR</w:t>
              </w:r>
            </w:hyperlink>
          </w:p>
          <w:p>
            <w:pPr>
              <w:spacing w:before="0" w:after="20" w:line="252" w:lineRule="auto"/>
            </w:pPr>
            <w:r>
              <w:rPr>
                <w:rFonts w:ascii="Arial" w:hAnsi="Arial" w:eastAsia="Arial"/>
                <w:b w:val="0"/>
                <w:i w:val="0"/>
                <w:color w:val="5B6880"/>
                <w:sz w:val="15"/>
              </w:rPr>
              <w:t>GOBIERNO REGIONAL DE LA LIBERTAD</w:t>
            </w:r>
          </w:p>
        </w:tc>
        <w:tc>
          <w:tcPr>
            <w:tcW w:type="dxa" w:w="4762"/>
          </w:tcPr>
          <w:p>
            <w:pPr>
              <w:spacing w:before="20" w:after="20" w:line="264" w:lineRule="auto"/>
            </w:pPr>
            <w:r>
              <w:rPr>
                <w:rFonts w:ascii="Arial" w:hAnsi="Arial" w:eastAsia="Arial"/>
                <w:b w:val="0"/>
                <w:i w:val="0"/>
                <w:sz w:val="17"/>
              </w:rPr>
              <w:t>Autorizar transferencia financiera a favor de la Autoridad Nacional de Infraestructura (ANIN)</w:t>
            </w:r>
          </w:p>
        </w:tc>
        <w:tc>
          <w:tcPr>
            <w:tcW w:type="dxa" w:w="1247"/>
          </w:tcPr>
          <w:p>
            <w:pPr>
              <w:spacing w:before="20" w:after="20" w:line="264" w:lineRule="auto"/>
              <w:jc w:val="center"/>
            </w:pPr>
            <w:r>
              <w:rPr>
                <w:rFonts w:ascii="Arial" w:hAnsi="Arial" w:eastAsia="Arial"/>
                <w:b w:val="0"/>
                <w:i w:val="0"/>
                <w:sz w:val="17"/>
              </w:rPr>
              <w:t>22/10/2026</w:t>
            </w:r>
          </w:p>
        </w:tc>
      </w:tr>
      <w:tr>
        <w:trPr>
          <w:cantSplit/>
        </w:trPr>
        <w:tc>
          <w:tcPr>
            <w:tcW w:type="dxa" w:w="567"/>
          </w:tcPr>
          <w:p>
            <w:pPr>
              <w:spacing w:before="20" w:after="20" w:line="264" w:lineRule="auto"/>
              <w:jc w:val="center"/>
            </w:pPr>
            <w:r>
              <w:rPr>
                <w:rFonts w:ascii="Arial" w:hAnsi="Arial" w:eastAsia="Arial"/>
                <w:b/>
                <w:i w:val="0"/>
                <w:color w:val="0A2F5C"/>
                <w:sz w:val="18"/>
              </w:rPr>
              <w:t>4</w:t>
            </w:r>
          </w:p>
        </w:tc>
        <w:tc>
          <w:tcPr>
            <w:tcW w:type="dxa" w:w="2835"/>
          </w:tcPr>
          <w:p>
            <w:pPr>
              <w:spacing w:before="20" w:after="20" w:line="264" w:lineRule="auto"/>
            </w:pPr>
            <w:hyperlink r:id="rId14">
              <w:r>
                <w:rPr>
                  <w:rFonts w:ascii="Arial" w:hAnsi="Arial" w:eastAsia="Arial" w:cs="Arial"/>
                  <w:b/>
                  <w:color w:val="0B5CAD"/>
                  <w:sz w:val="17"/>
                  <w:u w:val="single"/>
                </w:rPr>
                <w:t xml:space="preserve">ACUERDO  N° 000193 -2026-GRLL-CR</w:t>
              </w:r>
            </w:hyperlink>
          </w:p>
          <w:p>
            <w:pPr>
              <w:spacing w:before="0" w:after="20" w:line="252" w:lineRule="auto"/>
            </w:pPr>
            <w:r>
              <w:rPr>
                <w:rFonts w:ascii="Arial" w:hAnsi="Arial" w:eastAsia="Arial"/>
                <w:b w:val="0"/>
                <w:i w:val="0"/>
                <w:color w:val="5B6880"/>
                <w:sz w:val="15"/>
              </w:rPr>
              <w:t>GOBIERNO REGIONAL DE LA LIBERTAD</w:t>
            </w:r>
          </w:p>
        </w:tc>
        <w:tc>
          <w:tcPr>
            <w:tcW w:type="dxa" w:w="4762"/>
          </w:tcPr>
          <w:p>
            <w:pPr>
              <w:spacing w:before="20" w:after="20" w:line="264" w:lineRule="auto"/>
            </w:pPr>
            <w:r>
              <w:rPr>
                <w:rFonts w:ascii="Arial" w:hAnsi="Arial" w:eastAsia="Arial"/>
                <w:b w:val="0"/>
                <w:i w:val="0"/>
                <w:sz w:val="17"/>
              </w:rPr>
              <w:t>Aprueban transferencia financiera a favor de la Contraloría General de la República</w:t>
            </w:r>
          </w:p>
        </w:tc>
        <w:tc>
          <w:tcPr>
            <w:tcW w:type="dxa" w:w="1247"/>
          </w:tcPr>
          <w:p>
            <w:pPr>
              <w:spacing w:before="20" w:after="20" w:line="264" w:lineRule="auto"/>
              <w:jc w:val="center"/>
            </w:pPr>
            <w:r>
              <w:rPr>
                <w:rFonts w:ascii="Arial" w:hAnsi="Arial" w:eastAsia="Arial"/>
                <w:b w:val="0"/>
                <w:i w:val="0"/>
                <w:sz w:val="17"/>
              </w:rPr>
              <w:t>22/10/2026</w:t>
            </w:r>
          </w:p>
        </w:tc>
      </w:tr>
      <w:tr>
        <w:trPr>
          <w:cantSplit/>
        </w:trPr>
        <w:tc>
          <w:tcPr>
            <w:tcW w:type="dxa" w:w="567"/>
          </w:tcPr>
          <w:p>
            <w:pPr>
              <w:spacing w:before="20" w:after="20" w:line="264" w:lineRule="auto"/>
              <w:jc w:val="center"/>
            </w:pPr>
            <w:r>
              <w:rPr>
                <w:rFonts w:ascii="Arial" w:hAnsi="Arial" w:eastAsia="Arial"/>
                <w:b/>
                <w:i w:val="0"/>
                <w:color w:val="0A2F5C"/>
                <w:sz w:val="18"/>
              </w:rPr>
              <w:t>5</w:t>
            </w:r>
          </w:p>
        </w:tc>
        <w:tc>
          <w:tcPr>
            <w:tcW w:type="dxa" w:w="2835"/>
          </w:tcPr>
          <w:p>
            <w:pPr>
              <w:spacing w:before="20" w:after="20" w:line="264" w:lineRule="auto"/>
            </w:pPr>
            <w:hyperlink r:id="rId15">
              <w:r>
                <w:rPr>
                  <w:rFonts w:ascii="Arial" w:hAnsi="Arial" w:eastAsia="Arial" w:cs="Arial"/>
                  <w:b/>
                  <w:color w:val="0B5CAD"/>
                  <w:sz w:val="17"/>
                  <w:u w:val="single"/>
                </w:rPr>
                <w:t xml:space="preserve">DECRETO SUPREMO  N° 019-2026-TR</w:t>
              </w:r>
            </w:hyperlink>
          </w:p>
          <w:p>
            <w:pPr>
              <w:spacing w:before="0" w:after="20" w:line="252" w:lineRule="auto"/>
            </w:pPr>
            <w:r>
              <w:rPr>
                <w:rFonts w:ascii="Arial" w:hAnsi="Arial" w:eastAsia="Arial"/>
                <w:b w:val="0"/>
                <w:i w:val="0"/>
                <w:color w:val="5B6880"/>
                <w:sz w:val="15"/>
              </w:rPr>
              <w:t>TRABAJO Y PROMOCIÓN DEL EMPLEO</w:t>
            </w:r>
          </w:p>
        </w:tc>
        <w:tc>
          <w:tcPr>
            <w:tcW w:type="dxa" w:w="4762"/>
          </w:tcPr>
          <w:p>
            <w:pPr>
              <w:spacing w:before="20" w:after="20" w:line="264" w:lineRule="auto"/>
            </w:pPr>
            <w:r>
              <w:rPr>
                <w:rFonts w:ascii="Arial" w:hAnsi="Arial" w:eastAsia="Arial"/>
                <w:b w:val="0"/>
                <w:i w:val="0"/>
                <w:sz w:val="17"/>
              </w:rPr>
              <w:t>Decreto Supremo que autoriza la transferencia financiera del aporte total Programa de Empleo Temporal Llamkasun Perú a favor de organismos ejecutores del sector público con los cuales se han suscrito seiscientos noventa y tres (693) convenios para financiar la ejecución de actividades de intervención inmediata (AII-95) en los distritos comprendidos en el ámbito de la focalización geográfica del Programa de Empleo Temporal Llamkasun Perú - 2026-II</w:t>
            </w:r>
          </w:p>
        </w:tc>
        <w:tc>
          <w:tcPr>
            <w:tcW w:type="dxa" w:w="1247"/>
          </w:tcPr>
          <w:p>
            <w:pPr>
              <w:spacing w:before="20" w:after="20" w:line="264" w:lineRule="auto"/>
              <w:jc w:val="center"/>
            </w:pPr>
            <w:r>
              <w:rPr>
                <w:rFonts w:ascii="Arial" w:hAnsi="Arial" w:eastAsia="Arial"/>
                <w:b w:val="0"/>
                <w:i w:val="0"/>
                <w:sz w:val="17"/>
              </w:rPr>
              <w:t>22/10/2026</w:t>
            </w:r>
          </w:p>
        </w:tc>
      </w:tr>
      <w:tr>
        <w:trPr>
          <w:cantSplit/>
        </w:trPr>
        <w:tc>
          <w:tcPr>
            <w:tcW w:type="dxa" w:w="1247"/>
            <w:gridSpan w:val="4"/>
            <w:shd w:val="clear" w:color="auto" w:fill="F2F5FA"/>
            <w:tcBorders>
              <w:left w:val="single" w:sz="30" w:space="0" w:color="1BAF7A"/>
            </w:tcBorders>
          </w:tcPr>
          <w:p>
            <w:pPr>
              <w:spacing w:before="20" w:after="20" w:line="264" w:lineRule="auto"/>
            </w:pPr>
            <w:r>
              <w:rPr>
                <w:rFonts w:ascii="Arial" w:hAnsi="Arial" w:eastAsia="Arial"/>
                <w:b/>
                <w:i w:val="0"/>
                <w:color w:val="0A2F5C"/>
                <w:sz w:val="17"/>
              </w:rPr>
              <w:t>INVERSIONES  (1)</w:t>
            </w:r>
          </w:p>
        </w:tc>
      </w:tr>
      <w:tr>
        <w:trPr>
          <w:cantSplit/>
        </w:trPr>
        <w:tc>
          <w:tcPr>
            <w:tcW w:type="dxa" w:w="567"/>
          </w:tcPr>
          <w:p>
            <w:pPr>
              <w:spacing w:before="20" w:after="20" w:line="264" w:lineRule="auto"/>
              <w:jc w:val="center"/>
            </w:pPr>
            <w:r>
              <w:rPr>
                <w:rFonts w:ascii="Arial" w:hAnsi="Arial" w:eastAsia="Arial"/>
                <w:b/>
                <w:i w:val="0"/>
                <w:color w:val="0A2F5C"/>
                <w:sz w:val="18"/>
              </w:rPr>
              <w:t>6</w:t>
            </w:r>
          </w:p>
        </w:tc>
        <w:tc>
          <w:tcPr>
            <w:tcW w:type="dxa" w:w="2835"/>
          </w:tcPr>
          <w:p>
            <w:pPr>
              <w:spacing w:before="20" w:after="20" w:line="264" w:lineRule="auto"/>
            </w:pPr>
            <w:hyperlink r:id="rId16">
              <w:r>
                <w:rPr>
                  <w:rFonts w:ascii="Arial" w:hAnsi="Arial" w:eastAsia="Arial" w:cs="Arial"/>
                  <w:b/>
                  <w:color w:val="0B5CAD"/>
                  <w:sz w:val="17"/>
                  <w:u w:val="single"/>
                </w:rPr>
                <w:t xml:space="preserve">RESOLUCIÓN MINISTERIAL  N° 01292-2026-DE</w:t>
              </w:r>
            </w:hyperlink>
          </w:p>
          <w:p>
            <w:pPr>
              <w:spacing w:before="0" w:after="20" w:line="252" w:lineRule="auto"/>
            </w:pPr>
            <w:r>
              <w:rPr>
                <w:rFonts w:ascii="Arial" w:hAnsi="Arial" w:eastAsia="Arial"/>
                <w:b w:val="0"/>
                <w:i w:val="0"/>
                <w:color w:val="5B6880"/>
                <w:sz w:val="15"/>
              </w:rPr>
              <w:t>DEFENSA</w:t>
            </w:r>
          </w:p>
        </w:tc>
        <w:tc>
          <w:tcPr>
            <w:tcW w:type="dxa" w:w="4762"/>
          </w:tcPr>
          <w:p>
            <w:pPr>
              <w:spacing w:before="20" w:after="20" w:line="264" w:lineRule="auto"/>
            </w:pPr>
            <w:r>
              <w:rPr>
                <w:rFonts w:ascii="Arial" w:hAnsi="Arial" w:eastAsia="Arial"/>
                <w:b w:val="0"/>
                <w:i w:val="0"/>
                <w:sz w:val="17"/>
              </w:rPr>
              <w:t>Aprueban relación de servicios que pueden ejecutarse bajo el régimen excepcional del mecanismo de Obras por Impuestos en el marco de lo establecido por el Decreto de Urgencia N° 010-2026</w:t>
            </w:r>
          </w:p>
        </w:tc>
        <w:tc>
          <w:tcPr>
            <w:tcW w:type="dxa" w:w="1247"/>
          </w:tcPr>
          <w:p>
            <w:pPr>
              <w:spacing w:before="20" w:after="20" w:line="264" w:lineRule="auto"/>
              <w:jc w:val="center"/>
            </w:pPr>
            <w:r>
              <w:rPr>
                <w:rFonts w:ascii="Arial" w:hAnsi="Arial" w:eastAsia="Arial"/>
                <w:b w:val="0"/>
                <w:i w:val="0"/>
                <w:sz w:val="17"/>
              </w:rPr>
              <w:t>22/10/2026</w:t>
            </w:r>
          </w:p>
        </w:tc>
      </w:tr>
    </w:tbl>
    <w:p>
      <w:pPr>
        <w:spacing w:before="280" w:after="120" w:line="276" w:lineRule="auto"/>
        <w:keepNext/>
        <w:pBdr>
          <w:bottom w:val="single" w:sz="6" w:space="2" w:color="C9D2DF"/>
        </w:pBdr>
      </w:pPr>
      <w:r>
        <w:rPr>
          <w:rFonts w:ascii="Arial" w:hAnsi="Arial" w:eastAsia="Arial"/>
          <w:b/>
          <w:i w:val="0"/>
          <w:color w:val="0A2F5C"/>
          <w:sz w:val="22"/>
        </w:rPr>
        <w:t>2. DETALLE DE LAS NORMAS</w:t>
      </w:r>
    </w:p>
    <w:p>
      <w:pPr>
        <w:keepNext/>
        <w:spacing w:before="160" w:after="80" w:line="276" w:lineRule="auto"/>
      </w:pPr>
      <w:r>
        <w:rPr>
          <w:rFonts w:ascii="Arial" w:hAnsi="Arial" w:eastAsia="Arial"/>
          <w:b/>
          <w:i w:val="0"/>
          <w:color w:val="0B5CAD"/>
          <w:sz w:val="21"/>
        </w:rPr>
        <w:t>2.1  Normatividad presupuestal</w:t>
      </w:r>
    </w:p>
    <w:tbl>
      <w:tblPr>
        <w:tblW w:type="auto" w:w="0"/>
        <w:tblLook w:firstColumn="1" w:firstRow="1" w:lastColumn="0" w:lastRow="0" w:noHBand="0" w:noVBand="1" w:val="04A0"/>
        <w:tblBorders>
          <w:top w:val="single" w:sz="4" w:space="0" w:color="C9D2DF"/>
          <w:left w:val="single" w:sz="4" w:space="0" w:color="C9D2DF"/>
          <w:bottom w:val="single" w:sz="4" w:space="0" w:color="C9D2DF"/>
          <w:right w:val="single" w:sz="4" w:space="0" w:color="C9D2DF"/>
          <w:insideH w:val="single" w:sz="4" w:space="0" w:color="C9D2DF"/>
          <w:insideV w:val="single" w:sz="4" w:space="0" w:color="C9D2DF"/>
        </w:tblBorders>
        <w:tblLayout w:type="fixed"/>
        <w:tblCellMar>
          <w:top w:w="50" w:type="dxa"/>
          <w:bottom w:w="50" w:type="dxa"/>
          <w:left w:w="100" w:type="dxa"/>
          <w:right w:w="100" w:type="dxa"/>
        </w:tblCellMar>
      </w:tblPr>
      <w:tblGrid>
        <w:gridCol w:w="4706"/>
        <w:gridCol w:w="4706"/>
      </w:tblGrid>
      <w:tr>
        <w:trPr>
          <w:cantSplit/>
        </w:trPr>
        <w:tc>
          <w:tcPr>
            <w:tcW w:type="dxa" w:w="7370"/>
            <w:gridSpan w:val="2"/>
            <w:shd w:val="clear" w:color="auto" w:fill="E8F0FA"/>
            <w:tcBorders>
              <w:left w:val="single" w:sz="30" w:space="0" w:color="EB6834"/>
            </w:tcBorders>
          </w:tcPr>
          <w:p>
            <w:pPr>
              <w:spacing w:before="20" w:after="20" w:line="264" w:lineRule="auto"/>
            </w:pPr>
            <w:r>
              <w:rPr>
                <w:rFonts w:ascii="Arial" w:hAnsi="Arial" w:eastAsia="Arial"/>
                <w:b/>
                <w:i w:val="0"/>
                <w:color w:val="0A2F5C"/>
                <w:sz w:val="19"/>
              </w:rPr>
              <w:t>1.  ACUERDO  N° 164-2026-GRA/CR-SO.</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Entidad emisora</w:t>
            </w:r>
          </w:p>
        </w:tc>
        <w:tc>
          <w:tcPr>
            <w:tcW w:type="dxa" w:w="7370"/>
          </w:tcPr>
          <w:p>
            <w:pPr>
              <w:spacing w:before="20" w:after="20" w:line="264" w:lineRule="auto"/>
            </w:pPr>
            <w:r>
              <w:rPr>
                <w:rFonts w:ascii="Arial" w:hAnsi="Arial" w:eastAsia="Arial"/>
                <w:b w:val="0"/>
                <w:i w:val="0"/>
                <w:sz w:val="18"/>
              </w:rPr>
              <w:t>GOBIERNO REGIONAL DE AMAZONAS</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Publicación</w:t>
            </w:r>
          </w:p>
        </w:tc>
        <w:tc>
          <w:tcPr>
            <w:tcW w:type="dxa" w:w="7370"/>
          </w:tcPr>
          <w:p>
            <w:pPr>
              <w:spacing w:before="20" w:after="20" w:line="264" w:lineRule="auto"/>
            </w:pPr>
            <w:r>
              <w:rPr>
                <w:rFonts w:ascii="Arial" w:hAnsi="Arial" w:eastAsia="Arial"/>
                <w:b w:val="0"/>
                <w:i w:val="0"/>
                <w:sz w:val="18"/>
              </w:rPr>
              <w:t>22/10/2026 · Edición ordinaria</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Temas</w:t>
            </w:r>
          </w:p>
        </w:tc>
        <w:tc>
          <w:tcPr>
            <w:tcW w:type="dxa" w:w="7370"/>
          </w:tcPr>
          <w:p>
            <w:pPr>
              <w:spacing w:before="20" w:after="20" w:line="264" w:lineRule="auto"/>
            </w:pPr>
            <w:r>
              <w:rPr>
                <w:rFonts w:ascii="Arial" w:hAnsi="Arial" w:eastAsia="Arial"/>
                <w:b w:val="0"/>
                <w:i w:val="0"/>
                <w:sz w:val="18"/>
              </w:rPr>
              <w:t>Normatividad presupuestal</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Sumilla</w:t>
            </w:r>
          </w:p>
        </w:tc>
        <w:tc>
          <w:tcPr>
            <w:tcW w:type="dxa" w:w="7370"/>
          </w:tcPr>
          <w:p>
            <w:pPr>
              <w:spacing w:before="20" w:after="20" w:line="264" w:lineRule="auto"/>
            </w:pPr>
            <w:r>
              <w:rPr>
                <w:rFonts w:ascii="Arial" w:hAnsi="Arial" w:eastAsia="Arial"/>
                <w:b w:val="0"/>
                <w:i w:val="0"/>
                <w:sz w:val="18"/>
              </w:rPr>
              <w:t>Aprueban reducción del Marco Presupuestal en la Fuente de Financiamiento Recursos Directamente Recaudados (RDR) para el Año Fiscal 2026</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Disposición principal</w:t>
            </w:r>
          </w:p>
        </w:tc>
        <w:tc>
          <w:tcPr>
            <w:tcW w:type="dxa" w:w="7370"/>
          </w:tcPr>
          <w:p>
            <w:pPr>
              <w:spacing w:before="20" w:after="20" w:line="264" w:lineRule="auto"/>
            </w:pPr>
            <w:r>
              <w:rPr>
                <w:rFonts w:ascii="Arial" w:hAnsi="Arial" w:eastAsia="Arial"/>
                <w:b w:val="0"/>
                <w:i w:val="0"/>
                <w:sz w:val="18"/>
              </w:rPr>
              <w:t>Artículo Primero.- APROBAR la REDUCCIÓN DEL MARCO PRESUPUESTAL en la Fuente de Financiamiento Recursos Directamente Recaudados (RDR) en la Especifica de Gastos 2.6 “Adquisición de Activos No Financiero”, por el monto de S/. 226, 1616.00, de la Unidad Ejecutora 300-724 EDUCACION AMAZONAS, en función al siguiente cuadro: Clasificador de Ingresos Reduccion (S/) 1.3.3.3.1.99 170 336,00 1.5.1.1.1.1 370,00 1.9.1.1.1.1 55 455,00 TOTAL 226 161,00 Artículo Segundo.- NOTIFICAR al Gobernador Regional de Amazonas, Sr. GILMER WILSON HORNA CORRALES para que DISPONGA a través de los funcionarios competentes el cumplimiento a la implementación del presente acuerdo; asimismo, haga de conocimiento al Consejo…</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Enlaces</w:t>
            </w:r>
          </w:p>
        </w:tc>
        <w:tc>
          <w:tcPr>
            <w:tcW w:type="dxa" w:w="7370"/>
          </w:tcPr>
          <w:p>
            <w:pPr>
              <w:spacing w:before="20" w:after="20" w:line="264" w:lineRule="auto"/>
            </w:pPr>
            <w:hyperlink r:id="rId11">
              <w:r>
                <w:rPr>
                  <w:rFonts w:ascii="Arial" w:hAnsi="Arial" w:eastAsia="Arial" w:cs="Arial"/>
                  <w:color w:val="0B5CAD"/>
                  <w:sz w:val="17"/>
                  <w:u w:val="single"/>
                </w:rPr>
                <w:t xml:space="preserve">Texto completo</w:t>
              </w:r>
            </w:hyperlink>
            <w:r>
              <w:rPr>
                <w:rFonts w:ascii="Arial" w:hAnsi="Arial" w:eastAsia="Arial"/>
                <w:b w:val="0"/>
                <w:i w:val="0"/>
                <w:color w:val="5B6880"/>
                <w:sz w:val="17"/>
              </w:rPr>
              <w:t xml:space="preserve">   ·   </w:t>
            </w:r>
            <w:hyperlink r:id="rId17">
              <w:r>
                <w:rPr>
                  <w:rFonts w:ascii="Arial" w:hAnsi="Arial" w:eastAsia="Arial" w:cs="Arial"/>
                  <w:color w:val="0B5CAD"/>
                  <w:sz w:val="17"/>
                  <w:u w:val="single"/>
                </w:rPr>
                <w:t xml:space="preserve">El Peruano</w:t>
              </w:r>
            </w:hyperlink>
            <w:r>
              <w:rPr>
                <w:rFonts w:ascii="Arial" w:hAnsi="Arial" w:eastAsia="Arial"/>
                <w:b w:val="0"/>
                <w:i w:val="0"/>
                <w:color w:val="5B6880"/>
                <w:sz w:val="17"/>
              </w:rPr>
              <w:t xml:space="preserve">   ·   </w:t>
            </w:r>
            <w:hyperlink r:id="rId18">
              <w:r>
                <w:rPr>
                  <w:rFonts w:ascii="Arial" w:hAnsi="Arial" w:eastAsia="Arial" w:cs="Arial"/>
                  <w:color w:val="0B5CAD"/>
                  <w:sz w:val="17"/>
                  <w:u w:val="single"/>
                </w:rPr>
                <w:t xml:space="preserve">PDF</w:t>
              </w:r>
            </w:hyperlink>
          </w:p>
        </w:tc>
      </w:tr>
    </w:tbl>
    <w:p>
      <w:pPr>
        <w:spacing w:before="0" w:after="120" w:line="276" w:lineRule="auto"/>
      </w:pPr>
    </w:p>
    <w:tbl>
      <w:tblPr>
        <w:tblW w:type="auto" w:w="0"/>
        <w:tblLook w:firstColumn="1" w:firstRow="1" w:lastColumn="0" w:lastRow="0" w:noHBand="0" w:noVBand="1" w:val="04A0"/>
        <w:tblBorders>
          <w:top w:val="single" w:sz="4" w:space="0" w:color="C9D2DF"/>
          <w:left w:val="single" w:sz="4" w:space="0" w:color="C9D2DF"/>
          <w:bottom w:val="single" w:sz="4" w:space="0" w:color="C9D2DF"/>
          <w:right w:val="single" w:sz="4" w:space="0" w:color="C9D2DF"/>
          <w:insideH w:val="single" w:sz="4" w:space="0" w:color="C9D2DF"/>
          <w:insideV w:val="single" w:sz="4" w:space="0" w:color="C9D2DF"/>
        </w:tblBorders>
        <w:tblLayout w:type="fixed"/>
        <w:tblCellMar>
          <w:top w:w="50" w:type="dxa"/>
          <w:bottom w:w="50" w:type="dxa"/>
          <w:left w:w="100" w:type="dxa"/>
          <w:right w:w="100" w:type="dxa"/>
        </w:tblCellMar>
      </w:tblPr>
      <w:tblGrid>
        <w:gridCol w:w="4706"/>
        <w:gridCol w:w="4706"/>
      </w:tblGrid>
      <w:tr>
        <w:trPr>
          <w:cantSplit/>
        </w:trPr>
        <w:tc>
          <w:tcPr>
            <w:tcW w:type="dxa" w:w="7370"/>
            <w:gridSpan w:val="2"/>
            <w:shd w:val="clear" w:color="auto" w:fill="E8F0FA"/>
            <w:tcBorders>
              <w:left w:val="single" w:sz="30" w:space="0" w:color="EB6834"/>
            </w:tcBorders>
          </w:tcPr>
          <w:p>
            <w:pPr>
              <w:spacing w:before="20" w:after="20" w:line="264" w:lineRule="auto"/>
            </w:pPr>
            <w:r>
              <w:rPr>
                <w:rFonts w:ascii="Arial" w:hAnsi="Arial" w:eastAsia="Arial"/>
                <w:b/>
                <w:i w:val="0"/>
                <w:color w:val="0A2F5C"/>
                <w:sz w:val="19"/>
              </w:rPr>
              <w:t>2.  ACUERDO  N° 000184 -2026-GRLL-CR</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Entidad emisora</w:t>
            </w:r>
          </w:p>
        </w:tc>
        <w:tc>
          <w:tcPr>
            <w:tcW w:type="dxa" w:w="7370"/>
          </w:tcPr>
          <w:p>
            <w:pPr>
              <w:spacing w:before="20" w:after="20" w:line="264" w:lineRule="auto"/>
            </w:pPr>
            <w:r>
              <w:rPr>
                <w:rFonts w:ascii="Arial" w:hAnsi="Arial" w:eastAsia="Arial"/>
                <w:b w:val="0"/>
                <w:i w:val="0"/>
                <w:sz w:val="18"/>
              </w:rPr>
              <w:t>GOBIERNO REGIONAL DE LA LIBERTAD</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Publicación</w:t>
            </w:r>
          </w:p>
        </w:tc>
        <w:tc>
          <w:tcPr>
            <w:tcW w:type="dxa" w:w="7370"/>
          </w:tcPr>
          <w:p>
            <w:pPr>
              <w:spacing w:before="20" w:after="20" w:line="264" w:lineRule="auto"/>
            </w:pPr>
            <w:r>
              <w:rPr>
                <w:rFonts w:ascii="Arial" w:hAnsi="Arial" w:eastAsia="Arial"/>
                <w:b w:val="0"/>
                <w:i w:val="0"/>
                <w:sz w:val="18"/>
              </w:rPr>
              <w:t>22/10/2026 · Edición ordinaria</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Temas</w:t>
            </w:r>
          </w:p>
        </w:tc>
        <w:tc>
          <w:tcPr>
            <w:tcW w:type="dxa" w:w="7370"/>
          </w:tcPr>
          <w:p>
            <w:pPr>
              <w:spacing w:before="20" w:after="20" w:line="264" w:lineRule="auto"/>
            </w:pPr>
            <w:r>
              <w:rPr>
                <w:rFonts w:ascii="Arial" w:hAnsi="Arial" w:eastAsia="Arial"/>
                <w:b w:val="0"/>
                <w:i w:val="0"/>
                <w:sz w:val="18"/>
              </w:rPr>
              <w:t>Normatividad presupuestal</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Sumilla</w:t>
            </w:r>
          </w:p>
        </w:tc>
        <w:tc>
          <w:tcPr>
            <w:tcW w:type="dxa" w:w="7370"/>
          </w:tcPr>
          <w:p>
            <w:pPr>
              <w:spacing w:before="20" w:after="20" w:line="264" w:lineRule="auto"/>
            </w:pPr>
            <w:r>
              <w:rPr>
                <w:rFonts w:ascii="Arial" w:hAnsi="Arial" w:eastAsia="Arial"/>
                <w:b w:val="0"/>
                <w:i w:val="0"/>
                <w:sz w:val="18"/>
              </w:rPr>
              <w:t>Modifican y rectifican el Acuerdo Regional Nº 000287-2025-GRLL-CR que autorizó transferencia financiera a favor de la Contraloría General de la República</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Disposición principal</w:t>
            </w:r>
          </w:p>
        </w:tc>
        <w:tc>
          <w:tcPr>
            <w:tcW w:type="dxa" w:w="7370"/>
          </w:tcPr>
          <w:p>
            <w:pPr>
              <w:spacing w:before="20" w:after="20" w:line="264" w:lineRule="auto"/>
            </w:pPr>
            <w:r>
              <w:rPr>
                <w:rFonts w:ascii="Arial" w:hAnsi="Arial" w:eastAsia="Arial"/>
                <w:b w:val="0"/>
                <w:i w:val="0"/>
                <w:sz w:val="18"/>
              </w:rPr>
              <w:t>Artículo Primero.- APROBAR la modificación del artículo primero del Acuerdo Regional Nº 000287-2025-GRLL-CR que AUTORIZA LA TRANSFERENCIA FINANCIERA A FAVOR DE LA CONTRALORÍA GENERAL DE LA REPÚBLICA, DESTINADA A FINANCIAR LA CONTRATACIÓN Y PAGO DE LOS SERVICIOS DE SOCIEDADES DE AUDITORÍA, EN EL MARCO DE LO ESTABLECIDO EN EL ARTÍCULO 20º DE LA LEY Nº 27785, MODIFICADA POR LA LEY Nº 30742, LEY DEL FORTALECIMIENTO DE LA CONTRALORÍA GENERAL DE LA REPÚBLICA. Artículo Segundo.- RECTIFICAR el error material involuntario contenido en el Acuerdo de Consejo Regional Nº 000287-2025-GRLL-CR en el extremo del periodo de año fiscal y en el número de oficio de requerimiento de la Transferencia Financiera,…</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Montos citados</w:t>
            </w:r>
          </w:p>
        </w:tc>
        <w:tc>
          <w:tcPr>
            <w:tcW w:type="dxa" w:w="7370"/>
          </w:tcPr>
          <w:p>
            <w:pPr>
              <w:spacing w:before="20" w:after="20" w:line="264" w:lineRule="auto"/>
            </w:pPr>
            <w:r>
              <w:rPr>
                <w:rFonts w:ascii="Arial" w:hAnsi="Arial" w:eastAsia="Arial"/>
                <w:b w:val="0"/>
                <w:i w:val="0"/>
                <w:sz w:val="18"/>
              </w:rPr>
              <w:t>S/ 419,268.00 · S/ 21,319.00</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Enlaces</w:t>
            </w:r>
          </w:p>
        </w:tc>
        <w:tc>
          <w:tcPr>
            <w:tcW w:type="dxa" w:w="7370"/>
          </w:tcPr>
          <w:p>
            <w:pPr>
              <w:spacing w:before="20" w:after="20" w:line="264" w:lineRule="auto"/>
            </w:pPr>
            <w:hyperlink r:id="rId12">
              <w:r>
                <w:rPr>
                  <w:rFonts w:ascii="Arial" w:hAnsi="Arial" w:eastAsia="Arial" w:cs="Arial"/>
                  <w:color w:val="0B5CAD"/>
                  <w:sz w:val="17"/>
                  <w:u w:val="single"/>
                </w:rPr>
                <w:t xml:space="preserve">Texto completo</w:t>
              </w:r>
            </w:hyperlink>
            <w:r>
              <w:rPr>
                <w:rFonts w:ascii="Arial" w:hAnsi="Arial" w:eastAsia="Arial"/>
                <w:b w:val="0"/>
                <w:i w:val="0"/>
                <w:color w:val="5B6880"/>
                <w:sz w:val="17"/>
              </w:rPr>
              <w:t xml:space="preserve">   ·   </w:t>
            </w:r>
            <w:hyperlink r:id="rId19">
              <w:r>
                <w:rPr>
                  <w:rFonts w:ascii="Arial" w:hAnsi="Arial" w:eastAsia="Arial" w:cs="Arial"/>
                  <w:color w:val="0B5CAD"/>
                  <w:sz w:val="17"/>
                  <w:u w:val="single"/>
                </w:rPr>
                <w:t xml:space="preserve">El Peruano</w:t>
              </w:r>
            </w:hyperlink>
            <w:r>
              <w:rPr>
                <w:rFonts w:ascii="Arial" w:hAnsi="Arial" w:eastAsia="Arial"/>
                <w:b w:val="0"/>
                <w:i w:val="0"/>
                <w:color w:val="5B6880"/>
                <w:sz w:val="17"/>
              </w:rPr>
              <w:t xml:space="preserve">   ·   </w:t>
            </w:r>
            <w:hyperlink r:id="rId20">
              <w:r>
                <w:rPr>
                  <w:rFonts w:ascii="Arial" w:hAnsi="Arial" w:eastAsia="Arial" w:cs="Arial"/>
                  <w:color w:val="0B5CAD"/>
                  <w:sz w:val="17"/>
                  <w:u w:val="single"/>
                </w:rPr>
                <w:t xml:space="preserve">PDF</w:t>
              </w:r>
            </w:hyperlink>
          </w:p>
        </w:tc>
      </w:tr>
    </w:tbl>
    <w:p>
      <w:pPr>
        <w:spacing w:before="0" w:after="120" w:line="276" w:lineRule="auto"/>
      </w:pPr>
    </w:p>
    <w:tbl>
      <w:tblPr>
        <w:tblW w:type="auto" w:w="0"/>
        <w:tblLook w:firstColumn="1" w:firstRow="1" w:lastColumn="0" w:lastRow="0" w:noHBand="0" w:noVBand="1" w:val="04A0"/>
        <w:tblBorders>
          <w:top w:val="single" w:sz="4" w:space="0" w:color="C9D2DF"/>
          <w:left w:val="single" w:sz="4" w:space="0" w:color="C9D2DF"/>
          <w:bottom w:val="single" w:sz="4" w:space="0" w:color="C9D2DF"/>
          <w:right w:val="single" w:sz="4" w:space="0" w:color="C9D2DF"/>
          <w:insideH w:val="single" w:sz="4" w:space="0" w:color="C9D2DF"/>
          <w:insideV w:val="single" w:sz="4" w:space="0" w:color="C9D2DF"/>
        </w:tblBorders>
        <w:tblLayout w:type="fixed"/>
        <w:tblCellMar>
          <w:top w:w="50" w:type="dxa"/>
          <w:bottom w:w="50" w:type="dxa"/>
          <w:left w:w="100" w:type="dxa"/>
          <w:right w:w="100" w:type="dxa"/>
        </w:tblCellMar>
      </w:tblPr>
      <w:tblGrid>
        <w:gridCol w:w="4706"/>
        <w:gridCol w:w="4706"/>
      </w:tblGrid>
      <w:tr>
        <w:trPr>
          <w:cantSplit/>
        </w:trPr>
        <w:tc>
          <w:tcPr>
            <w:tcW w:type="dxa" w:w="7370"/>
            <w:gridSpan w:val="2"/>
            <w:shd w:val="clear" w:color="auto" w:fill="E8F0FA"/>
            <w:tcBorders>
              <w:left w:val="single" w:sz="30" w:space="0" w:color="EB6834"/>
            </w:tcBorders>
          </w:tcPr>
          <w:p>
            <w:pPr>
              <w:spacing w:before="20" w:after="20" w:line="264" w:lineRule="auto"/>
            </w:pPr>
            <w:r>
              <w:rPr>
                <w:rFonts w:ascii="Arial" w:hAnsi="Arial" w:eastAsia="Arial"/>
                <w:b/>
                <w:i w:val="0"/>
                <w:color w:val="0A2F5C"/>
                <w:sz w:val="19"/>
              </w:rPr>
              <w:t>3.  ACUERDO  N° 000187-2026-GRLL-CR</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Entidad emisora</w:t>
            </w:r>
          </w:p>
        </w:tc>
        <w:tc>
          <w:tcPr>
            <w:tcW w:type="dxa" w:w="7370"/>
          </w:tcPr>
          <w:p>
            <w:pPr>
              <w:spacing w:before="20" w:after="20" w:line="264" w:lineRule="auto"/>
            </w:pPr>
            <w:r>
              <w:rPr>
                <w:rFonts w:ascii="Arial" w:hAnsi="Arial" w:eastAsia="Arial"/>
                <w:b w:val="0"/>
                <w:i w:val="0"/>
                <w:sz w:val="18"/>
              </w:rPr>
              <w:t>GOBIERNO REGIONAL DE LA LIBERTAD</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Publicación</w:t>
            </w:r>
          </w:p>
        </w:tc>
        <w:tc>
          <w:tcPr>
            <w:tcW w:type="dxa" w:w="7370"/>
          </w:tcPr>
          <w:p>
            <w:pPr>
              <w:spacing w:before="20" w:after="20" w:line="264" w:lineRule="auto"/>
            </w:pPr>
            <w:r>
              <w:rPr>
                <w:rFonts w:ascii="Arial" w:hAnsi="Arial" w:eastAsia="Arial"/>
                <w:b w:val="0"/>
                <w:i w:val="0"/>
                <w:sz w:val="18"/>
              </w:rPr>
              <w:t>22/10/2026 · Edición ordinaria</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Temas</w:t>
            </w:r>
          </w:p>
        </w:tc>
        <w:tc>
          <w:tcPr>
            <w:tcW w:type="dxa" w:w="7370"/>
          </w:tcPr>
          <w:p>
            <w:pPr>
              <w:spacing w:before="20" w:after="20" w:line="264" w:lineRule="auto"/>
            </w:pPr>
            <w:r>
              <w:rPr>
                <w:rFonts w:ascii="Arial" w:hAnsi="Arial" w:eastAsia="Arial"/>
                <w:b w:val="0"/>
                <w:i w:val="0"/>
                <w:sz w:val="18"/>
              </w:rPr>
              <w:t>Normatividad presupuestal · Inversiones</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Sumilla</w:t>
            </w:r>
          </w:p>
        </w:tc>
        <w:tc>
          <w:tcPr>
            <w:tcW w:type="dxa" w:w="7370"/>
          </w:tcPr>
          <w:p>
            <w:pPr>
              <w:spacing w:before="20" w:after="20" w:line="264" w:lineRule="auto"/>
            </w:pPr>
            <w:r>
              <w:rPr>
                <w:rFonts w:ascii="Arial" w:hAnsi="Arial" w:eastAsia="Arial"/>
                <w:b w:val="0"/>
                <w:i w:val="0"/>
                <w:sz w:val="18"/>
              </w:rPr>
              <w:t>Autorizar transferencia financiera a favor de la Autoridad Nacional de Infraestructura (ANIN)</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Disposición principal</w:t>
            </w:r>
          </w:p>
        </w:tc>
        <w:tc>
          <w:tcPr>
            <w:tcW w:type="dxa" w:w="7370"/>
          </w:tcPr>
          <w:p>
            <w:pPr>
              <w:spacing w:before="20" w:after="20" w:line="264" w:lineRule="auto"/>
            </w:pPr>
            <w:r>
              <w:rPr>
                <w:rFonts w:ascii="Arial" w:hAnsi="Arial" w:eastAsia="Arial"/>
                <w:b w:val="0"/>
                <w:i w:val="0"/>
                <w:sz w:val="18"/>
              </w:rPr>
              <w:t>Artículo Primero.- AUTORIZAR la transferencia financiera a favor de la AUTORIDAD NACIONAL DE INFRAESTRUCTURA (ANIN), hasta por la suma de S/ 10 103, 590.00 (Diez Millones Ciento Tres Mil Quinientos Noventa con 00/100 Soles), destinada al financiamiento de la ejecución física de la inversión con CUI N° 2643849, denominada “MEJORAMIENTO Y AMPLIACIÓN DEL SERVICIO DE ATENCIÓN DE SALUD BÁSICOS EN AGALLPAMPA, DISTRITO DE AGALLPAMPA, PROVINCIA DE OTUZCO, DEPARTAMENTO DE LA LIBERTAD”, con cargo a la Fuente de Financiamiento Recursos Determinados, Rubro 15 - Fondo de Compensación Regional (FONCOR). Artículo Segundo.- PRECISAR que los recursos materia de la presente transferencia financiera deberán…</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Montos citados</w:t>
            </w:r>
          </w:p>
        </w:tc>
        <w:tc>
          <w:tcPr>
            <w:tcW w:type="dxa" w:w="7370"/>
          </w:tcPr>
          <w:p>
            <w:pPr>
              <w:spacing w:before="20" w:after="20" w:line="264" w:lineRule="auto"/>
            </w:pPr>
            <w:r>
              <w:rPr>
                <w:rFonts w:ascii="Arial" w:hAnsi="Arial" w:eastAsia="Arial"/>
                <w:b w:val="0"/>
                <w:i w:val="0"/>
                <w:sz w:val="18"/>
              </w:rPr>
              <w:t>S/ 15,103,589.23 · S/ 5,000,000.00 · S/ 10,103,589.23 · S/ 12,960,036.00</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Enlaces</w:t>
            </w:r>
          </w:p>
        </w:tc>
        <w:tc>
          <w:tcPr>
            <w:tcW w:type="dxa" w:w="7370"/>
          </w:tcPr>
          <w:p>
            <w:pPr>
              <w:spacing w:before="20" w:after="20" w:line="264" w:lineRule="auto"/>
            </w:pPr>
            <w:hyperlink r:id="rId13">
              <w:r>
                <w:rPr>
                  <w:rFonts w:ascii="Arial" w:hAnsi="Arial" w:eastAsia="Arial" w:cs="Arial"/>
                  <w:color w:val="0B5CAD"/>
                  <w:sz w:val="17"/>
                  <w:u w:val="single"/>
                </w:rPr>
                <w:t xml:space="preserve">Texto completo</w:t>
              </w:r>
            </w:hyperlink>
            <w:r>
              <w:rPr>
                <w:rFonts w:ascii="Arial" w:hAnsi="Arial" w:eastAsia="Arial"/>
                <w:b w:val="0"/>
                <w:i w:val="0"/>
                <w:color w:val="5B6880"/>
                <w:sz w:val="17"/>
              </w:rPr>
              <w:t xml:space="preserve">   ·   </w:t>
            </w:r>
            <w:hyperlink r:id="rId21">
              <w:r>
                <w:rPr>
                  <w:rFonts w:ascii="Arial" w:hAnsi="Arial" w:eastAsia="Arial" w:cs="Arial"/>
                  <w:color w:val="0B5CAD"/>
                  <w:sz w:val="17"/>
                  <w:u w:val="single"/>
                </w:rPr>
                <w:t xml:space="preserve">El Peruano</w:t>
              </w:r>
            </w:hyperlink>
            <w:r>
              <w:rPr>
                <w:rFonts w:ascii="Arial" w:hAnsi="Arial" w:eastAsia="Arial"/>
                <w:b w:val="0"/>
                <w:i w:val="0"/>
                <w:color w:val="5B6880"/>
                <w:sz w:val="17"/>
              </w:rPr>
              <w:t xml:space="preserve">   ·   </w:t>
            </w:r>
            <w:hyperlink r:id="rId22">
              <w:r>
                <w:rPr>
                  <w:rFonts w:ascii="Arial" w:hAnsi="Arial" w:eastAsia="Arial" w:cs="Arial"/>
                  <w:color w:val="0B5CAD"/>
                  <w:sz w:val="17"/>
                  <w:u w:val="single"/>
                </w:rPr>
                <w:t xml:space="preserve">PDF</w:t>
              </w:r>
            </w:hyperlink>
          </w:p>
        </w:tc>
      </w:tr>
    </w:tbl>
    <w:p>
      <w:pPr>
        <w:spacing w:before="0" w:after="120" w:line="276" w:lineRule="auto"/>
      </w:pPr>
    </w:p>
    <w:tbl>
      <w:tblPr>
        <w:tblW w:type="auto" w:w="0"/>
        <w:tblLook w:firstColumn="1" w:firstRow="1" w:lastColumn="0" w:lastRow="0" w:noHBand="0" w:noVBand="1" w:val="04A0"/>
        <w:tblBorders>
          <w:top w:val="single" w:sz="4" w:space="0" w:color="C9D2DF"/>
          <w:left w:val="single" w:sz="4" w:space="0" w:color="C9D2DF"/>
          <w:bottom w:val="single" w:sz="4" w:space="0" w:color="C9D2DF"/>
          <w:right w:val="single" w:sz="4" w:space="0" w:color="C9D2DF"/>
          <w:insideH w:val="single" w:sz="4" w:space="0" w:color="C9D2DF"/>
          <w:insideV w:val="single" w:sz="4" w:space="0" w:color="C9D2DF"/>
        </w:tblBorders>
        <w:tblLayout w:type="fixed"/>
        <w:tblCellMar>
          <w:top w:w="50" w:type="dxa"/>
          <w:bottom w:w="50" w:type="dxa"/>
          <w:left w:w="100" w:type="dxa"/>
          <w:right w:w="100" w:type="dxa"/>
        </w:tblCellMar>
      </w:tblPr>
      <w:tblGrid>
        <w:gridCol w:w="4706"/>
        <w:gridCol w:w="4706"/>
      </w:tblGrid>
      <w:tr>
        <w:trPr>
          <w:cantSplit/>
        </w:trPr>
        <w:tc>
          <w:tcPr>
            <w:tcW w:type="dxa" w:w="7370"/>
            <w:gridSpan w:val="2"/>
            <w:shd w:val="clear" w:color="auto" w:fill="E8F0FA"/>
            <w:tcBorders>
              <w:left w:val="single" w:sz="30" w:space="0" w:color="EB6834"/>
            </w:tcBorders>
          </w:tcPr>
          <w:p>
            <w:pPr>
              <w:spacing w:before="20" w:after="20" w:line="264" w:lineRule="auto"/>
            </w:pPr>
            <w:r>
              <w:rPr>
                <w:rFonts w:ascii="Arial" w:hAnsi="Arial" w:eastAsia="Arial"/>
                <w:b/>
                <w:i w:val="0"/>
                <w:color w:val="0A2F5C"/>
                <w:sz w:val="19"/>
              </w:rPr>
              <w:t>4.  ACUERDO  N° 000193 -2026-GRLL-CR</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Entidad emisora</w:t>
            </w:r>
          </w:p>
        </w:tc>
        <w:tc>
          <w:tcPr>
            <w:tcW w:type="dxa" w:w="7370"/>
          </w:tcPr>
          <w:p>
            <w:pPr>
              <w:spacing w:before="20" w:after="20" w:line="264" w:lineRule="auto"/>
            </w:pPr>
            <w:r>
              <w:rPr>
                <w:rFonts w:ascii="Arial" w:hAnsi="Arial" w:eastAsia="Arial"/>
                <w:b w:val="0"/>
                <w:i w:val="0"/>
                <w:sz w:val="18"/>
              </w:rPr>
              <w:t>GOBIERNO REGIONAL DE LA LIBERTAD</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Publicación</w:t>
            </w:r>
          </w:p>
        </w:tc>
        <w:tc>
          <w:tcPr>
            <w:tcW w:type="dxa" w:w="7370"/>
          </w:tcPr>
          <w:p>
            <w:pPr>
              <w:spacing w:before="20" w:after="20" w:line="264" w:lineRule="auto"/>
            </w:pPr>
            <w:r>
              <w:rPr>
                <w:rFonts w:ascii="Arial" w:hAnsi="Arial" w:eastAsia="Arial"/>
                <w:b w:val="0"/>
                <w:i w:val="0"/>
                <w:sz w:val="18"/>
              </w:rPr>
              <w:t>22/10/2026 · Edición ordinaria</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Temas</w:t>
            </w:r>
          </w:p>
        </w:tc>
        <w:tc>
          <w:tcPr>
            <w:tcW w:type="dxa" w:w="7370"/>
          </w:tcPr>
          <w:p>
            <w:pPr>
              <w:spacing w:before="20" w:after="20" w:line="264" w:lineRule="auto"/>
            </w:pPr>
            <w:r>
              <w:rPr>
                <w:rFonts w:ascii="Arial" w:hAnsi="Arial" w:eastAsia="Arial"/>
                <w:b w:val="0"/>
                <w:i w:val="0"/>
                <w:sz w:val="18"/>
              </w:rPr>
              <w:t>Normatividad presupuestal</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Sumilla</w:t>
            </w:r>
          </w:p>
        </w:tc>
        <w:tc>
          <w:tcPr>
            <w:tcW w:type="dxa" w:w="7370"/>
          </w:tcPr>
          <w:p>
            <w:pPr>
              <w:spacing w:before="20" w:after="20" w:line="264" w:lineRule="auto"/>
            </w:pPr>
            <w:r>
              <w:rPr>
                <w:rFonts w:ascii="Arial" w:hAnsi="Arial" w:eastAsia="Arial"/>
                <w:b w:val="0"/>
                <w:i w:val="0"/>
                <w:sz w:val="18"/>
              </w:rPr>
              <w:t>Aprueban transferencia financiera a favor de la Contraloría General de la República</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Disposición principal</w:t>
            </w:r>
          </w:p>
        </w:tc>
        <w:tc>
          <w:tcPr>
            <w:tcW w:type="dxa" w:w="7370"/>
          </w:tcPr>
          <w:p>
            <w:pPr>
              <w:spacing w:before="20" w:after="20" w:line="264" w:lineRule="auto"/>
            </w:pPr>
            <w:r>
              <w:rPr>
                <w:rFonts w:ascii="Arial" w:hAnsi="Arial" w:eastAsia="Arial"/>
                <w:b w:val="0"/>
                <w:i w:val="0"/>
                <w:sz w:val="18"/>
              </w:rPr>
              <w:t>Artículo Primero.- APROBAR la transferencia financiera a favor de la Contraloría General de la República, hasta por la suma total de S/ 419,268.00 (Cuatrocientos diecinueve mil doscientos sesenta y ocho con 00/100 soles), de acuerdo al siguiente detalle: C onc e p to Mon to S/ R e tri bu ción e co n ó m i ca (incl u y e I G V) corre sp o nd i e n te al p e r i o d o 202 6 , co n f or m e al T ari f ar i o a p r ob a d o p or R e s ol u ci ó n d e Co n tr a loría N ° 23 7 - 2 02 1 - CG 419,268 . 00 Con cargo a la disponibilidad presupuestal del Pliego 451 Gobierno Regional La Libertad, Unidad Ejecutora 001, debiendo la Gerencia Regional de Administración registrar el compromiso y solicitar…</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Montos citados</w:t>
            </w:r>
          </w:p>
        </w:tc>
        <w:tc>
          <w:tcPr>
            <w:tcW w:type="dxa" w:w="7370"/>
          </w:tcPr>
          <w:p>
            <w:pPr>
              <w:spacing w:before="20" w:after="20" w:line="264" w:lineRule="auto"/>
            </w:pPr>
            <w:r>
              <w:rPr>
                <w:rFonts w:ascii="Arial" w:hAnsi="Arial" w:eastAsia="Arial"/>
                <w:b w:val="0"/>
                <w:i w:val="0"/>
                <w:sz w:val="18"/>
              </w:rPr>
              <w:t>S/ 419,268.00 · S/ 63,957.00 · S/ 442,096.00</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Enlaces</w:t>
            </w:r>
          </w:p>
        </w:tc>
        <w:tc>
          <w:tcPr>
            <w:tcW w:type="dxa" w:w="7370"/>
          </w:tcPr>
          <w:p>
            <w:pPr>
              <w:spacing w:before="20" w:after="20" w:line="264" w:lineRule="auto"/>
            </w:pPr>
            <w:hyperlink r:id="rId14">
              <w:r>
                <w:rPr>
                  <w:rFonts w:ascii="Arial" w:hAnsi="Arial" w:eastAsia="Arial" w:cs="Arial"/>
                  <w:color w:val="0B5CAD"/>
                  <w:sz w:val="17"/>
                  <w:u w:val="single"/>
                </w:rPr>
                <w:t xml:space="preserve">Texto completo</w:t>
              </w:r>
            </w:hyperlink>
            <w:r>
              <w:rPr>
                <w:rFonts w:ascii="Arial" w:hAnsi="Arial" w:eastAsia="Arial"/>
                <w:b w:val="0"/>
                <w:i w:val="0"/>
                <w:color w:val="5B6880"/>
                <w:sz w:val="17"/>
              </w:rPr>
              <w:t xml:space="preserve">   ·   </w:t>
            </w:r>
            <w:hyperlink r:id="rId23">
              <w:r>
                <w:rPr>
                  <w:rFonts w:ascii="Arial" w:hAnsi="Arial" w:eastAsia="Arial" w:cs="Arial"/>
                  <w:color w:val="0B5CAD"/>
                  <w:sz w:val="17"/>
                  <w:u w:val="single"/>
                </w:rPr>
                <w:t xml:space="preserve">El Peruano</w:t>
              </w:r>
            </w:hyperlink>
            <w:r>
              <w:rPr>
                <w:rFonts w:ascii="Arial" w:hAnsi="Arial" w:eastAsia="Arial"/>
                <w:b w:val="0"/>
                <w:i w:val="0"/>
                <w:color w:val="5B6880"/>
                <w:sz w:val="17"/>
              </w:rPr>
              <w:t xml:space="preserve">   ·   </w:t>
            </w:r>
            <w:hyperlink r:id="rId24">
              <w:r>
                <w:rPr>
                  <w:rFonts w:ascii="Arial" w:hAnsi="Arial" w:eastAsia="Arial" w:cs="Arial"/>
                  <w:color w:val="0B5CAD"/>
                  <w:sz w:val="17"/>
                  <w:u w:val="single"/>
                </w:rPr>
                <w:t xml:space="preserve">PDF</w:t>
              </w:r>
            </w:hyperlink>
          </w:p>
        </w:tc>
      </w:tr>
    </w:tbl>
    <w:p>
      <w:pPr>
        <w:spacing w:before="0" w:after="120" w:line="276" w:lineRule="auto"/>
      </w:pPr>
    </w:p>
    <w:tbl>
      <w:tblPr>
        <w:tblW w:type="auto" w:w="0"/>
        <w:tblLook w:firstColumn="1" w:firstRow="1" w:lastColumn="0" w:lastRow="0" w:noHBand="0" w:noVBand="1" w:val="04A0"/>
        <w:tblBorders>
          <w:top w:val="single" w:sz="4" w:space="0" w:color="C9D2DF"/>
          <w:left w:val="single" w:sz="4" w:space="0" w:color="C9D2DF"/>
          <w:bottom w:val="single" w:sz="4" w:space="0" w:color="C9D2DF"/>
          <w:right w:val="single" w:sz="4" w:space="0" w:color="C9D2DF"/>
          <w:insideH w:val="single" w:sz="4" w:space="0" w:color="C9D2DF"/>
          <w:insideV w:val="single" w:sz="4" w:space="0" w:color="C9D2DF"/>
        </w:tblBorders>
        <w:tblLayout w:type="fixed"/>
        <w:tblCellMar>
          <w:top w:w="50" w:type="dxa"/>
          <w:bottom w:w="50" w:type="dxa"/>
          <w:left w:w="100" w:type="dxa"/>
          <w:right w:w="100" w:type="dxa"/>
        </w:tblCellMar>
      </w:tblPr>
      <w:tblGrid>
        <w:gridCol w:w="4706"/>
        <w:gridCol w:w="4706"/>
      </w:tblGrid>
      <w:tr>
        <w:trPr>
          <w:cantSplit/>
        </w:trPr>
        <w:tc>
          <w:tcPr>
            <w:tcW w:type="dxa" w:w="7370"/>
            <w:gridSpan w:val="2"/>
            <w:shd w:val="clear" w:color="auto" w:fill="E8F0FA"/>
            <w:tcBorders>
              <w:left w:val="single" w:sz="30" w:space="0" w:color="EB6834"/>
            </w:tcBorders>
          </w:tcPr>
          <w:p>
            <w:pPr>
              <w:spacing w:before="20" w:after="20" w:line="264" w:lineRule="auto"/>
            </w:pPr>
            <w:r>
              <w:rPr>
                <w:rFonts w:ascii="Arial" w:hAnsi="Arial" w:eastAsia="Arial"/>
                <w:b/>
                <w:i w:val="0"/>
                <w:color w:val="0A2F5C"/>
                <w:sz w:val="19"/>
              </w:rPr>
              <w:t>5.  DECRETO SUPREMO  N° 019-2026-TR</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Entidad emisora</w:t>
            </w:r>
          </w:p>
        </w:tc>
        <w:tc>
          <w:tcPr>
            <w:tcW w:type="dxa" w:w="7370"/>
          </w:tcPr>
          <w:p>
            <w:pPr>
              <w:spacing w:before="20" w:after="20" w:line="264" w:lineRule="auto"/>
            </w:pPr>
            <w:r>
              <w:rPr>
                <w:rFonts w:ascii="Arial" w:hAnsi="Arial" w:eastAsia="Arial"/>
                <w:b w:val="0"/>
                <w:i w:val="0"/>
                <w:sz w:val="18"/>
              </w:rPr>
              <w:t>TRABAJO Y PROMOCIÓN DEL EMPLEO</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Publicación</w:t>
            </w:r>
          </w:p>
        </w:tc>
        <w:tc>
          <w:tcPr>
            <w:tcW w:type="dxa" w:w="7370"/>
          </w:tcPr>
          <w:p>
            <w:pPr>
              <w:spacing w:before="20" w:after="20" w:line="264" w:lineRule="auto"/>
            </w:pPr>
            <w:r>
              <w:rPr>
                <w:rFonts w:ascii="Arial" w:hAnsi="Arial" w:eastAsia="Arial"/>
                <w:b w:val="0"/>
                <w:i w:val="0"/>
                <w:sz w:val="18"/>
              </w:rPr>
              <w:t>22/10/2026 · Edición ordinaria</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Temas</w:t>
            </w:r>
          </w:p>
        </w:tc>
        <w:tc>
          <w:tcPr>
            <w:tcW w:type="dxa" w:w="7370"/>
          </w:tcPr>
          <w:p>
            <w:pPr>
              <w:spacing w:before="20" w:after="20" w:line="264" w:lineRule="auto"/>
            </w:pPr>
            <w:r>
              <w:rPr>
                <w:rFonts w:ascii="Arial" w:hAnsi="Arial" w:eastAsia="Arial"/>
                <w:b w:val="0"/>
                <w:i w:val="0"/>
                <w:sz w:val="18"/>
              </w:rPr>
              <w:t>Normatividad presupuestal</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Sumilla</w:t>
            </w:r>
          </w:p>
        </w:tc>
        <w:tc>
          <w:tcPr>
            <w:tcW w:type="dxa" w:w="7370"/>
          </w:tcPr>
          <w:p>
            <w:pPr>
              <w:spacing w:before="20" w:after="20" w:line="264" w:lineRule="auto"/>
            </w:pPr>
            <w:r>
              <w:rPr>
                <w:rFonts w:ascii="Arial" w:hAnsi="Arial" w:eastAsia="Arial"/>
                <w:b w:val="0"/>
                <w:i w:val="0"/>
                <w:sz w:val="18"/>
              </w:rPr>
              <w:t>Decreto Supremo que autoriza la transferencia financiera del aporte total Programa de Empleo Temporal Llamkasun Perú a favor de organismos ejecutores del sector público con los cuales se han suscrito seiscientos noventa y tres (693) convenios para financiar la ejecución de actividades de intervención inmediata (AII-95) en los distritos comprendidos en el ámbito de la focalización geográfica del Programa de Empleo Temporal Llamkasun Perú - 2026-II</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Disposición principal</w:t>
            </w:r>
          </w:p>
        </w:tc>
        <w:tc>
          <w:tcPr>
            <w:tcW w:type="dxa" w:w="7370"/>
          </w:tcPr>
          <w:p>
            <w:pPr>
              <w:spacing w:before="20" w:after="20" w:line="264" w:lineRule="auto"/>
            </w:pPr>
            <w:r>
              <w:rPr>
                <w:rFonts w:ascii="Arial" w:hAnsi="Arial" w:eastAsia="Arial"/>
                <w:b w:val="0"/>
                <w:i w:val="0"/>
                <w:sz w:val="18"/>
              </w:rPr>
              <w:t>Artículo 1.- Objeto Se autoriza la transferencia financiera del Programa de Empleo Temporal “Llamkasun Perú” a favor de seiscientos noventa y tres (693) organismos ejecutores del sector público, con los cuales se han suscrito igual número de convenios con el objeto de financiar la ejecución de actividades de intervención inmediata (AII-95) en los distritos comprendidos en el ámbito de la focalización geográfica del Programa de Empleo Temporal “Llamkasun Perú ” - 2026-II, por el importe total de S/ 129 148 581,00 (Ciento Veintinueve Millones Ciento Cuarenta y Ocho Mil Quinientos Ochenta y Uno y 00/100 Soles), conforme al Anexo que forma parte integrante del presente Decreto Supremo. Artículo…</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Montos citados</w:t>
            </w:r>
          </w:p>
        </w:tc>
        <w:tc>
          <w:tcPr>
            <w:tcW w:type="dxa" w:w="7370"/>
          </w:tcPr>
          <w:p>
            <w:pPr>
              <w:spacing w:before="20" w:after="20" w:line="264" w:lineRule="auto"/>
            </w:pPr>
            <w:r>
              <w:rPr>
                <w:rFonts w:ascii="Arial" w:hAnsi="Arial" w:eastAsia="Arial"/>
                <w:b w:val="0"/>
                <w:i w:val="0"/>
                <w:sz w:val="18"/>
              </w:rPr>
              <w:t>S/ 129 314 090,00 · S/ 129 148 581,00</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Enlaces</w:t>
            </w:r>
          </w:p>
        </w:tc>
        <w:tc>
          <w:tcPr>
            <w:tcW w:type="dxa" w:w="7370"/>
          </w:tcPr>
          <w:p>
            <w:pPr>
              <w:spacing w:before="20" w:after="20" w:line="264" w:lineRule="auto"/>
            </w:pPr>
            <w:hyperlink r:id="rId15">
              <w:r>
                <w:rPr>
                  <w:rFonts w:ascii="Arial" w:hAnsi="Arial" w:eastAsia="Arial" w:cs="Arial"/>
                  <w:color w:val="0B5CAD"/>
                  <w:sz w:val="17"/>
                  <w:u w:val="single"/>
                </w:rPr>
                <w:t xml:space="preserve">Texto completo</w:t>
              </w:r>
            </w:hyperlink>
            <w:r>
              <w:rPr>
                <w:rFonts w:ascii="Arial" w:hAnsi="Arial" w:eastAsia="Arial"/>
                <w:b w:val="0"/>
                <w:i w:val="0"/>
                <w:color w:val="5B6880"/>
                <w:sz w:val="17"/>
              </w:rPr>
              <w:t xml:space="preserve">   ·   </w:t>
            </w:r>
            <w:hyperlink r:id="rId25">
              <w:r>
                <w:rPr>
                  <w:rFonts w:ascii="Arial" w:hAnsi="Arial" w:eastAsia="Arial" w:cs="Arial"/>
                  <w:color w:val="0B5CAD"/>
                  <w:sz w:val="17"/>
                  <w:u w:val="single"/>
                </w:rPr>
                <w:t xml:space="preserve">El Peruano</w:t>
              </w:r>
            </w:hyperlink>
            <w:r>
              <w:rPr>
                <w:rFonts w:ascii="Arial" w:hAnsi="Arial" w:eastAsia="Arial"/>
                <w:b w:val="0"/>
                <w:i w:val="0"/>
                <w:color w:val="5B6880"/>
                <w:sz w:val="17"/>
              </w:rPr>
              <w:t xml:space="preserve">   ·   </w:t>
            </w:r>
            <w:hyperlink r:id="rId26">
              <w:r>
                <w:rPr>
                  <w:rFonts w:ascii="Arial" w:hAnsi="Arial" w:eastAsia="Arial" w:cs="Arial"/>
                  <w:color w:val="0B5CAD"/>
                  <w:sz w:val="17"/>
                  <w:u w:val="single"/>
                </w:rPr>
                <w:t xml:space="preserve">PDF</w:t>
              </w:r>
            </w:hyperlink>
          </w:p>
        </w:tc>
      </w:tr>
    </w:tbl>
    <w:p>
      <w:pPr>
        <w:spacing w:before="0" w:after="120" w:line="276" w:lineRule="auto"/>
      </w:pPr>
    </w:p>
    <w:p>
      <w:pPr>
        <w:keepNext/>
        <w:spacing w:before="160" w:after="80" w:line="276" w:lineRule="auto"/>
      </w:pPr>
      <w:r>
        <w:rPr>
          <w:rFonts w:ascii="Arial" w:hAnsi="Arial" w:eastAsia="Arial"/>
          <w:b/>
          <w:i w:val="0"/>
          <w:color w:val="0B5CAD"/>
          <w:sz w:val="21"/>
        </w:rPr>
        <w:t>2.2  Inversiones</w:t>
      </w:r>
    </w:p>
    <w:tbl>
      <w:tblPr>
        <w:tblW w:type="auto" w:w="0"/>
        <w:tblLook w:firstColumn="1" w:firstRow="1" w:lastColumn="0" w:lastRow="0" w:noHBand="0" w:noVBand="1" w:val="04A0"/>
        <w:tblBorders>
          <w:top w:val="single" w:sz="4" w:space="0" w:color="C9D2DF"/>
          <w:left w:val="single" w:sz="4" w:space="0" w:color="C9D2DF"/>
          <w:bottom w:val="single" w:sz="4" w:space="0" w:color="C9D2DF"/>
          <w:right w:val="single" w:sz="4" w:space="0" w:color="C9D2DF"/>
          <w:insideH w:val="single" w:sz="4" w:space="0" w:color="C9D2DF"/>
          <w:insideV w:val="single" w:sz="4" w:space="0" w:color="C9D2DF"/>
        </w:tblBorders>
        <w:tblLayout w:type="fixed"/>
        <w:tblCellMar>
          <w:top w:w="50" w:type="dxa"/>
          <w:bottom w:w="50" w:type="dxa"/>
          <w:left w:w="100" w:type="dxa"/>
          <w:right w:w="100" w:type="dxa"/>
        </w:tblCellMar>
      </w:tblPr>
      <w:tblGrid>
        <w:gridCol w:w="4706"/>
        <w:gridCol w:w="4706"/>
      </w:tblGrid>
      <w:tr>
        <w:trPr>
          <w:cantSplit/>
        </w:trPr>
        <w:tc>
          <w:tcPr>
            <w:tcW w:type="dxa" w:w="7370"/>
            <w:gridSpan w:val="2"/>
            <w:shd w:val="clear" w:color="auto" w:fill="E8F0FA"/>
            <w:tcBorders>
              <w:left w:val="single" w:sz="30" w:space="0" w:color="1BAF7A"/>
            </w:tcBorders>
          </w:tcPr>
          <w:p>
            <w:pPr>
              <w:spacing w:before="20" w:after="20" w:line="264" w:lineRule="auto"/>
            </w:pPr>
            <w:r>
              <w:rPr>
                <w:rFonts w:ascii="Arial" w:hAnsi="Arial" w:eastAsia="Arial"/>
                <w:b/>
                <w:i w:val="0"/>
                <w:color w:val="0A2F5C"/>
                <w:sz w:val="19"/>
              </w:rPr>
              <w:t>6.  RESOLUCIÓN MINISTERIAL  N° 01292-2026-DE</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Entidad emisora</w:t>
            </w:r>
          </w:p>
        </w:tc>
        <w:tc>
          <w:tcPr>
            <w:tcW w:type="dxa" w:w="7370"/>
          </w:tcPr>
          <w:p>
            <w:pPr>
              <w:spacing w:before="20" w:after="20" w:line="264" w:lineRule="auto"/>
            </w:pPr>
            <w:r>
              <w:rPr>
                <w:rFonts w:ascii="Arial" w:hAnsi="Arial" w:eastAsia="Arial"/>
                <w:b w:val="0"/>
                <w:i w:val="0"/>
                <w:sz w:val="18"/>
              </w:rPr>
              <w:t>DEFENSA</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Publicación</w:t>
            </w:r>
          </w:p>
        </w:tc>
        <w:tc>
          <w:tcPr>
            <w:tcW w:type="dxa" w:w="7370"/>
          </w:tcPr>
          <w:p>
            <w:pPr>
              <w:spacing w:before="20" w:after="20" w:line="264" w:lineRule="auto"/>
            </w:pPr>
            <w:r>
              <w:rPr>
                <w:rFonts w:ascii="Arial" w:hAnsi="Arial" w:eastAsia="Arial"/>
                <w:b w:val="0"/>
                <w:i w:val="0"/>
                <w:sz w:val="18"/>
              </w:rPr>
              <w:t>22/10/2026 · Edición ordinaria</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Temas</w:t>
            </w:r>
          </w:p>
        </w:tc>
        <w:tc>
          <w:tcPr>
            <w:tcW w:type="dxa" w:w="7370"/>
          </w:tcPr>
          <w:p>
            <w:pPr>
              <w:spacing w:before="20" w:after="20" w:line="264" w:lineRule="auto"/>
            </w:pPr>
            <w:r>
              <w:rPr>
                <w:rFonts w:ascii="Arial" w:hAnsi="Arial" w:eastAsia="Arial"/>
                <w:b w:val="0"/>
                <w:i w:val="0"/>
                <w:sz w:val="18"/>
              </w:rPr>
              <w:t>Inversiones</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Sumilla</w:t>
            </w:r>
          </w:p>
        </w:tc>
        <w:tc>
          <w:tcPr>
            <w:tcW w:type="dxa" w:w="7370"/>
          </w:tcPr>
          <w:p>
            <w:pPr>
              <w:spacing w:before="20" w:after="20" w:line="264" w:lineRule="auto"/>
            </w:pPr>
            <w:r>
              <w:rPr>
                <w:rFonts w:ascii="Arial" w:hAnsi="Arial" w:eastAsia="Arial"/>
                <w:b w:val="0"/>
                <w:i w:val="0"/>
                <w:sz w:val="18"/>
              </w:rPr>
              <w:t>Aprueban relación de servicios que pueden ejecutarse bajo el régimen excepcional del mecanismo de Obras por Impuestos en el marco de lo establecido por el Decreto de Urgencia N° 010-2026</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Disposición principal</w:t>
            </w:r>
          </w:p>
        </w:tc>
        <w:tc>
          <w:tcPr>
            <w:tcW w:type="dxa" w:w="7370"/>
          </w:tcPr>
          <w:p>
            <w:pPr>
              <w:spacing w:before="20" w:after="20" w:line="264" w:lineRule="auto"/>
            </w:pPr>
            <w:r>
              <w:rPr>
                <w:rFonts w:ascii="Arial" w:hAnsi="Arial" w:eastAsia="Arial"/>
                <w:b w:val="0"/>
                <w:i w:val="0"/>
                <w:sz w:val="18"/>
              </w:rPr>
              <w:t>Artículo 1.- Objeto Aprobar la relación de servicios que pueden ejecutarse bajo el régimen excepcional del mecanismo de Obras por Impuestos, en el marco de lo establecido por el Decreto de Urgencia Nº 010-2026, y que se detallan en el Anexo I, así como sus respectivos contenidos mínimos, precisados en el Anexo II, los cuales forman parte integrante de la presente Resolución Ministerial. Artículo 2.- Remisión a PROINVERSIÓN Remitir copia de la presente Resolución Ministerial y de sus Anexos I y II a la Agencia de Promoción de la Inversión Privada (PROINVERSIÓN), para los fines pertinentes, en el marco del seguimiento y difusión del mecanismo de Obras por Impuestos. Artículo 3.- Notificación…</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Enlaces</w:t>
            </w:r>
          </w:p>
        </w:tc>
        <w:tc>
          <w:tcPr>
            <w:tcW w:type="dxa" w:w="7370"/>
          </w:tcPr>
          <w:p>
            <w:pPr>
              <w:spacing w:before="20" w:after="20" w:line="264" w:lineRule="auto"/>
            </w:pPr>
            <w:hyperlink r:id="rId16">
              <w:r>
                <w:rPr>
                  <w:rFonts w:ascii="Arial" w:hAnsi="Arial" w:eastAsia="Arial" w:cs="Arial"/>
                  <w:color w:val="0B5CAD"/>
                  <w:sz w:val="17"/>
                  <w:u w:val="single"/>
                </w:rPr>
                <w:t xml:space="preserve">Texto completo</w:t>
              </w:r>
            </w:hyperlink>
            <w:r>
              <w:rPr>
                <w:rFonts w:ascii="Arial" w:hAnsi="Arial" w:eastAsia="Arial"/>
                <w:b w:val="0"/>
                <w:i w:val="0"/>
                <w:color w:val="5B6880"/>
                <w:sz w:val="17"/>
              </w:rPr>
              <w:t xml:space="preserve">   ·   </w:t>
            </w:r>
            <w:hyperlink r:id="rId27">
              <w:r>
                <w:rPr>
                  <w:rFonts w:ascii="Arial" w:hAnsi="Arial" w:eastAsia="Arial" w:cs="Arial"/>
                  <w:color w:val="0B5CAD"/>
                  <w:sz w:val="17"/>
                  <w:u w:val="single"/>
                </w:rPr>
                <w:t xml:space="preserve">El Peruano</w:t>
              </w:r>
            </w:hyperlink>
            <w:r>
              <w:rPr>
                <w:rFonts w:ascii="Arial" w:hAnsi="Arial" w:eastAsia="Arial"/>
                <w:b w:val="0"/>
                <w:i w:val="0"/>
                <w:color w:val="5B6880"/>
                <w:sz w:val="17"/>
              </w:rPr>
              <w:t xml:space="preserve">   ·   </w:t>
            </w:r>
            <w:hyperlink r:id="rId28">
              <w:r>
                <w:rPr>
                  <w:rFonts w:ascii="Arial" w:hAnsi="Arial" w:eastAsia="Arial" w:cs="Arial"/>
                  <w:color w:val="0B5CAD"/>
                  <w:sz w:val="17"/>
                  <w:u w:val="single"/>
                </w:rPr>
                <w:t xml:space="preserve">PDF</w:t>
              </w:r>
            </w:hyperlink>
          </w:p>
        </w:tc>
      </w:tr>
    </w:tbl>
    <w:p>
      <w:pPr>
        <w:spacing w:before="0" w:after="120" w:line="276" w:lineRule="auto"/>
      </w:pPr>
    </w:p>
    <w:p>
      <w:pPr>
        <w:spacing w:before="200" w:after="0" w:line="276" w:lineRule="auto"/>
        <w:jc w:val="both"/>
        <w:pBdr>
          <w:top w:val="single" w:sz="4" w:space="4" w:color="C9D2DF"/>
        </w:pBdr>
      </w:pPr>
      <w:r>
        <w:rPr>
          <w:rFonts w:ascii="Arial" w:hAnsi="Arial" w:eastAsia="Arial"/>
          <w:b/>
          <w:i w:val="0"/>
          <w:color w:val="5B6880"/>
          <w:sz w:val="15"/>
        </w:rPr>
        <w:t xml:space="preserve">Nota metodológica: </w:t>
      </w:r>
      <w:r>
        <w:rPr>
          <w:rFonts w:ascii="Arial" w:hAnsi="Arial" w:eastAsia="Arial"/>
          <w:b w:val="0"/>
          <w:i w:val="0"/>
          <w:color w:val="5B6880"/>
          <w:sz w:val="15"/>
        </w:rPr>
        <w:t xml:space="preserve">se revisan todas las normas publicadas en el Diario Oficial El Peruano en el periodo. Una norma se selecciona cuando su entidad, título o sumilla contiene alguno de los términos definidos para cada tema, o cuando su texto completo menciona a la ATU. Los criterios pueden consultarse y editarse en el panel: </w:t>
      </w:r>
      <w:hyperlink r:id="rId29">
        <w:r>
          <w:rPr>
            <w:rFonts w:ascii="Arial" w:hAnsi="Arial" w:eastAsia="Arial" w:cs="Arial"/>
            <w:color w:val="0B5CAD"/>
            <w:sz w:val="15"/>
            <w:u w:val="single"/>
          </w:rPr>
          <w:t xml:space="preserve">reneearmasr.github.io/monitor-normas-elperuano</w:t>
        </w:r>
      </w:hyperlink>
    </w:p>
    <w:sectPr w:rsidR="00FC693F" w:rsidRPr="0006063C" w:rsidSect="00034616">
      <w:headerReference w:type="default" r:id="rId9"/>
      <w:footerReference w:type="default" r:id="rId10"/>
      <w:pgSz w:w="11906" w:h="16838"/>
      <w:pgMar w:top="1361" w:right="1247" w:bottom="1134" w:left="1247" w:header="567"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4680" w:val="clear"/>
        <w:tab w:pos="9360" w:val="clear"/>
        <w:tab w:pos="9411" w:val="right"/>
      </w:tabs>
      <w:pBdr>
        <w:top w:val="single" w:sz="6" w:space="4" w:color="C9D2DF"/>
      </w:pBdr>
    </w:pPr>
    <w:r>
      <w:rPr>
        <w:rFonts w:ascii="Arial" w:hAnsi="Arial" w:eastAsia="Arial"/>
        <w:b w:val="0"/>
        <w:i w:val="0"/>
        <w:color w:val="5B6880"/>
        <w:sz w:val="15"/>
      </w:rPr>
      <w:t>Fuente: Diario Oficial El Peruano · Elaboración automática</w:t>
    </w:r>
    <w:r>
      <w:rPr>
        <w:rFonts w:ascii="Arial" w:hAnsi="Arial" w:eastAsia="Arial"/>
        <w:b w:val="0"/>
        <w:i w:val="0"/>
        <w:color w:val="5B6880"/>
        <w:sz w:val="15"/>
      </w:rPr>
      <w:tab/>
      <w:t xml:space="preserve">Página </w:t>
    </w:r>
    <w:r>
      <w:rPr>
        <w:rFonts w:ascii="Arial" w:hAnsi="Arial" w:eastAsia="Arial"/>
        <w:b w:val="0"/>
        <w:i w:val="0"/>
        <w:color w:val="5B6880"/>
        <w:sz w:val="15"/>
      </w:rPr>
      <w:fldChar w:fldCharType="begin"/>
      <w:instrText xml:space="preserve"> PAGE </w:instrText>
      <w:fldChar w:fldCharType="separate"/>
      <w:t>1</w:t>
      <w:fldChar w:fldCharType="end"/>
    </w:r>
    <w:r>
      <w:rPr>
        <w:rFonts w:ascii="Arial" w:hAnsi="Arial" w:eastAsia="Arial"/>
        <w:b w:val="0"/>
        <w:i w:val="0"/>
        <w:color w:val="5B6880"/>
        <w:sz w:val="15"/>
      </w:rPr>
      <w:t xml:space="preserve"> de </w:t>
    </w:r>
    <w:r>
      <w:rPr>
        <w:rFonts w:ascii="Arial" w:hAnsi="Arial" w:eastAsia="Arial"/>
        <w:b w:val="0"/>
        <w:i w:val="0"/>
        <w:color w:val="5B6880"/>
        <w:sz w:val="15"/>
      </w:rPr>
      <w:fldChar w:fldCharType="begin"/>
      <w:instrText xml:space="preserve"> NUMPAGES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4680" w:val="clear"/>
        <w:tab w:pos="9360" w:val="clear"/>
        <w:tab w:pos="9411" w:val="right"/>
      </w:tabs>
      <w:pBdr>
        <w:bottom w:val="single" w:sz="8" w:space="4" w:color="0A2F5C"/>
      </w:pBdr>
    </w:pPr>
    <w:r>
      <w:rPr>
        <w:rFonts w:ascii="Arial" w:hAnsi="Arial" w:eastAsia="Arial"/>
        <w:b/>
        <w:i w:val="0"/>
        <w:color w:val="0A2F5C"/>
        <w:sz w:val="15"/>
      </w:rPr>
      <w:t>AUTORIDAD DE TRANSPORTE URBANO PARA LIMA Y CALLAO</w:t>
    </w:r>
    <w:r>
      <w:rPr>
        <w:rFonts w:ascii="Arial" w:hAnsi="Arial" w:eastAsia="Arial"/>
        <w:b w:val="0"/>
        <w:i w:val="0"/>
        <w:color w:val="5B6880"/>
        <w:sz w:val="15"/>
      </w:rPr>
      <w:tab/>
      <w:t>Monitor de Normas Legales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busquedas.elperuano.pe/api/visor_html/2562100-1" TargetMode="External"/><Relationship Id="rId12" Type="http://schemas.openxmlformats.org/officeDocument/2006/relationships/hyperlink" Target="https://busquedas.elperuano.pe/api/visor_html/2566489-1" TargetMode="External"/><Relationship Id="rId13" Type="http://schemas.openxmlformats.org/officeDocument/2006/relationships/hyperlink" Target="https://busquedas.elperuano.pe/api/visor_html/2566493-1" TargetMode="External"/><Relationship Id="rId14" Type="http://schemas.openxmlformats.org/officeDocument/2006/relationships/hyperlink" Target="https://busquedas.elperuano.pe/api/visor_html/2566496-1" TargetMode="External"/><Relationship Id="rId15" Type="http://schemas.openxmlformats.org/officeDocument/2006/relationships/hyperlink" Target="https://busquedas.elperuano.pe/api/visor_html/2567163-4" TargetMode="External"/><Relationship Id="rId16" Type="http://schemas.openxmlformats.org/officeDocument/2006/relationships/hyperlink" Target="https://busquedas.elperuano.pe/api/visor_html/2567161-1" TargetMode="External"/><Relationship Id="rId17" Type="http://schemas.openxmlformats.org/officeDocument/2006/relationships/hyperlink" Target="https://busquedas.elperuano.pe/dispositivo/NL/2562100-1" TargetMode="External"/><Relationship Id="rId18" Type="http://schemas.openxmlformats.org/officeDocument/2006/relationships/hyperlink" Target="https://busquedas.elperuano.pe/dispositivo/NL/2562100-1/pdf" TargetMode="External"/><Relationship Id="rId19" Type="http://schemas.openxmlformats.org/officeDocument/2006/relationships/hyperlink" Target="https://busquedas.elperuano.pe/dispositivo/NL/2566489-1" TargetMode="External"/><Relationship Id="rId20" Type="http://schemas.openxmlformats.org/officeDocument/2006/relationships/hyperlink" Target="https://busquedas.elperuano.pe/dispositivo/NL/2566489-1/pdf" TargetMode="External"/><Relationship Id="rId21" Type="http://schemas.openxmlformats.org/officeDocument/2006/relationships/hyperlink" Target="https://busquedas.elperuano.pe/dispositivo/NL/2566493-1" TargetMode="External"/><Relationship Id="rId22" Type="http://schemas.openxmlformats.org/officeDocument/2006/relationships/hyperlink" Target="https://busquedas.elperuano.pe/dispositivo/NL/2566493-1/pdf" TargetMode="External"/><Relationship Id="rId23" Type="http://schemas.openxmlformats.org/officeDocument/2006/relationships/hyperlink" Target="https://busquedas.elperuano.pe/dispositivo/NL/2566496-1" TargetMode="External"/><Relationship Id="rId24" Type="http://schemas.openxmlformats.org/officeDocument/2006/relationships/hyperlink" Target="https://busquedas.elperuano.pe/dispositivo/NL/2566496-1/pdf" TargetMode="External"/><Relationship Id="rId25" Type="http://schemas.openxmlformats.org/officeDocument/2006/relationships/hyperlink" Target="https://busquedas.elperuano.pe/dispositivo/NL/2567163-4" TargetMode="External"/><Relationship Id="rId26" Type="http://schemas.openxmlformats.org/officeDocument/2006/relationships/hyperlink" Target="https://busquedas.elperuano.pe/dispositivo/NL/2567163-4/pdf" TargetMode="External"/><Relationship Id="rId27" Type="http://schemas.openxmlformats.org/officeDocument/2006/relationships/hyperlink" Target="https://busquedas.elperuano.pe/dispositivo/NL/2567161-1" TargetMode="External"/><Relationship Id="rId28" Type="http://schemas.openxmlformats.org/officeDocument/2006/relationships/hyperlink" Target="https://busquedas.elperuano.pe/dispositivo/NL/2567161-1/pdf" TargetMode="External"/><Relationship Id="rId29" Type="http://schemas.openxmlformats.org/officeDocument/2006/relationships/hyperlink" Target="https://reneearmasr.github.io/monitor-normas-elperuano/"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