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76" w:lineRule="auto"/>
        <w:jc w:val="center"/>
      </w:pPr>
      <w:r>
        <w:rPr>
          <w:rFonts w:ascii="Arial" w:hAnsi="Arial" w:eastAsia="Arial"/>
          <w:b/>
          <w:i w:val="0"/>
          <w:color w:val="0A2F5C"/>
          <w:sz w:val="36"/>
        </w:rPr>
        <w:t>RESUMEN DE NORMAS LEGALES</w:t>
      </w:r>
    </w:p>
    <w:p>
      <w:pPr>
        <w:spacing w:before="0" w:after="40" w:line="276" w:lineRule="auto"/>
        <w:jc w:val="center"/>
      </w:pPr>
      <w:r>
        <w:rPr>
          <w:rFonts w:ascii="Arial" w:hAnsi="Arial" w:eastAsia="Arial"/>
          <w:b w:val="0"/>
          <w:i w:val="0"/>
          <w:color w:val="5B6880"/>
          <w:sz w:val="21"/>
        </w:rPr>
        <w:t>Diario Oficial El Peruano · Viernes 23 de octubre de 2026</w:t>
      </w:r>
    </w:p>
    <w:p>
      <w:pPr>
        <w:spacing w:before="0" w:after="200" w:line="276" w:lineRule="auto"/>
        <w:pBdr>
          <w:bottom w:val="single" w:sz="18" w:space="1" w:color="0A2F5C"/>
        </w:pBdr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C9D2DF"/>
          <w:left w:val="single" w:sz="4" w:space="0" w:color="C9D2DF"/>
          <w:bottom w:val="single" w:sz="4" w:space="0" w:color="C9D2DF"/>
          <w:right w:val="single" w:sz="4" w:space="0" w:color="C9D2DF"/>
          <w:insideH w:val="single" w:sz="4" w:space="0" w:color="C9D2DF"/>
          <w:insideV w:val="single" w:sz="4" w:space="0" w:color="C9D2DF"/>
        </w:tblBorders>
        <w:tblLayout w:type="fixed"/>
        <w:tblCellMar>
          <w:top w:w="50" w:type="dxa"/>
          <w:bottom w:w="50" w:type="dxa"/>
          <w:left w:w="100" w:type="dxa"/>
          <w:right w:w="100" w:type="dxa"/>
        </w:tblCellMar>
      </w:tblPr>
      <w:tblGrid>
        <w:gridCol w:w="2353"/>
        <w:gridCol w:w="2353"/>
        <w:gridCol w:w="2353"/>
        <w:gridCol w:w="2353"/>
      </w:tblGrid>
      <w:tr>
        <w:tc>
          <w:tcPr>
            <w:tcW w:type="dxa" w:w="2041"/>
            <w:shd w:val="clear" w:color="auto" w:fill="F2F5FA"/>
          </w:tcPr>
          <w:p>
            <w:pPr>
              <w:spacing w:before="20" w:after="20" w:line="264" w:lineRule="auto"/>
            </w:pPr>
            <w:r>
              <w:rPr>
                <w:rFonts w:ascii="Arial" w:hAnsi="Arial" w:eastAsia="Arial"/>
                <w:b/>
                <w:i w:val="0"/>
                <w:color w:val="0A2F5C"/>
                <w:sz w:val="17"/>
              </w:rPr>
              <w:t>Periodo revisado</w:t>
            </w:r>
          </w:p>
        </w:tc>
        <w:tc>
          <w:tcPr>
            <w:tcW w:type="dxa" w:w="2665"/>
          </w:tcPr>
          <w:p>
            <w:pPr>
              <w:spacing w:before="20" w:after="20" w:line="264" w:lineRule="auto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23/10/2026</w:t>
            </w:r>
          </w:p>
        </w:tc>
        <w:tc>
          <w:tcPr>
            <w:tcW w:type="dxa" w:w="2041"/>
            <w:shd w:val="clear" w:color="auto" w:fill="F2F5FA"/>
          </w:tcPr>
          <w:p>
            <w:pPr>
              <w:spacing w:before="20" w:after="20" w:line="264" w:lineRule="auto"/>
            </w:pPr>
            <w:r>
              <w:rPr>
                <w:rFonts w:ascii="Arial" w:hAnsi="Arial" w:eastAsia="Arial"/>
                <w:b/>
                <w:i w:val="0"/>
                <w:color w:val="0A2F5C"/>
                <w:sz w:val="17"/>
              </w:rPr>
              <w:t>Fecha de elaboración</w:t>
            </w:r>
          </w:p>
        </w:tc>
        <w:tc>
          <w:tcPr>
            <w:tcW w:type="dxa" w:w="2665"/>
          </w:tcPr>
          <w:p>
            <w:pPr>
              <w:spacing w:before="20" w:after="20" w:line="264" w:lineRule="auto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26/10/2026 17:10</w:t>
            </w:r>
          </w:p>
        </w:tc>
      </w:tr>
      <w:tr>
        <w:tc>
          <w:tcPr>
            <w:tcW w:type="dxa" w:w="2041"/>
            <w:shd w:val="clear" w:color="auto" w:fill="F2F5FA"/>
          </w:tcPr>
          <w:p>
            <w:pPr>
              <w:spacing w:before="20" w:after="20" w:line="264" w:lineRule="auto"/>
            </w:pPr>
            <w:r>
              <w:rPr>
                <w:rFonts w:ascii="Arial" w:hAnsi="Arial" w:eastAsia="Arial"/>
                <w:b/>
                <w:i w:val="0"/>
                <w:color w:val="0A2F5C"/>
                <w:sz w:val="17"/>
              </w:rPr>
              <w:t>Normas publicadas</w:t>
            </w:r>
          </w:p>
        </w:tc>
        <w:tc>
          <w:tcPr>
            <w:tcW w:type="dxa" w:w="2665"/>
          </w:tcPr>
          <w:p>
            <w:pPr>
              <w:spacing w:before="20" w:after="20" w:line="264" w:lineRule="auto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60</w:t>
            </w:r>
          </w:p>
        </w:tc>
        <w:tc>
          <w:tcPr>
            <w:tcW w:type="dxa" w:w="2041"/>
            <w:shd w:val="clear" w:color="auto" w:fill="F2F5FA"/>
          </w:tcPr>
          <w:p>
            <w:pPr>
              <w:spacing w:before="20" w:after="20" w:line="264" w:lineRule="auto"/>
            </w:pPr>
            <w:r>
              <w:rPr>
                <w:rFonts w:ascii="Arial" w:hAnsi="Arial" w:eastAsia="Arial"/>
                <w:b/>
                <w:i w:val="0"/>
                <w:color w:val="0A2F5C"/>
                <w:sz w:val="17"/>
              </w:rPr>
              <w:t>Normas de interés</w:t>
            </w:r>
          </w:p>
        </w:tc>
        <w:tc>
          <w:tcPr>
            <w:tcW w:type="dxa" w:w="2665"/>
          </w:tcPr>
          <w:p>
            <w:pPr>
              <w:spacing w:before="20" w:after="20" w:line="264" w:lineRule="auto"/>
            </w:pPr>
            <w:r>
              <w:rPr>
                <w:rFonts w:ascii="Arial" w:hAnsi="Arial" w:eastAsia="Arial"/>
                <w:b/>
                <w:i w:val="0"/>
                <w:color w:val="0A2F5C"/>
                <w:sz w:val="19"/>
              </w:rPr>
              <w:t>3</w:t>
            </w:r>
          </w:p>
        </w:tc>
      </w:tr>
    </w:tbl>
    <w:p>
      <w:pPr>
        <w:spacing w:before="280" w:after="120" w:line="276" w:lineRule="auto"/>
        <w:keepNext/>
        <w:pBdr>
          <w:bottom w:val="single" w:sz="6" w:space="2" w:color="C9D2DF"/>
        </w:pBdr>
      </w:pPr>
      <w:r>
        <w:rPr>
          <w:rFonts w:ascii="Arial" w:hAnsi="Arial" w:eastAsia="Arial"/>
          <w:b/>
          <w:i w:val="0"/>
          <w:color w:val="0A2F5C"/>
          <w:sz w:val="22"/>
        </w:rPr>
        <w:t>1. RESUMEN EJECUTIVO</w:t>
      </w:r>
    </w:p>
    <w:p>
      <w:pPr>
        <w:spacing w:before="0" w:after="160" w:line="276" w:lineRule="auto"/>
        <w:jc w:val="both"/>
      </w:pPr>
      <w:r>
        <w:rPr>
          <w:rFonts w:ascii="Arial" w:hAnsi="Arial" w:eastAsia="Arial"/>
          <w:b w:val="0"/>
          <w:i w:val="0"/>
          <w:sz w:val="20"/>
        </w:rPr>
        <w:t>De las 60 normas publicadas en el periodo, 3 resultan de interés institucional: 1 sobre la ATU y el transporte urbano, 1 de normatividad presupuestal y 1 de inversiones. El Cuadro 1 presenta la relación completa y la sección 2, el detalle de cada norma.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F4C7C3"/>
          <w:left w:val="single" w:sz="4" w:space="0" w:color="F4C7C3"/>
          <w:bottom w:val="single" w:sz="4" w:space="0" w:color="F4C7C3"/>
          <w:right w:val="single" w:sz="4" w:space="0" w:color="F4C7C3"/>
        </w:tblBorders>
        <w:tblLayout w:type="fixed"/>
        <w:tblCellMar>
          <w:top w:w="50" w:type="dxa"/>
          <w:bottom w:w="50" w:type="dxa"/>
          <w:left w:w="100" w:type="dxa"/>
          <w:right w:w="100" w:type="dxa"/>
        </w:tblCellMar>
      </w:tblPr>
      <w:tblGrid>
        <w:gridCol w:w="9412"/>
      </w:tblGrid>
      <w:tr>
        <w:tc>
          <w:tcPr>
            <w:tcW w:type="dxa" w:w="9411"/>
            <w:shd w:val="clear" w:color="auto" w:fill="FDF3F2"/>
            <w:tcBorders>
              <w:left w:val="single" w:sz="24" w:space="0" w:color="B42318"/>
            </w:tcBorders>
          </w:tcPr>
          <w:p>
            <w:pPr>
              <w:spacing w:before="20" w:after="20" w:line="264" w:lineRule="auto"/>
            </w:pPr>
            <w:r>
              <w:rPr>
                <w:rFonts w:ascii="Arial" w:hAnsi="Arial" w:eastAsia="Arial"/>
                <w:b/>
                <w:i w:val="0"/>
                <w:color w:val="B42318"/>
                <w:sz w:val="18"/>
              </w:rPr>
              <w:t>ATENCIÓN: 1 norma involucra directamente a la ATU</w:t>
            </w:r>
          </w:p>
          <w:p>
            <w:pPr>
              <w:spacing w:before="0" w:after="20" w:line="264" w:lineRule="auto"/>
            </w:pPr>
            <w:r>
              <w:rPr>
                <w:rFonts w:ascii="Arial" w:hAnsi="Arial" w:eastAsia="Arial"/>
                <w:b w:val="0"/>
                <w:i w:val="0"/>
                <w:color w:val="B42318"/>
                <w:sz w:val="18"/>
              </w:rPr>
              <w:t xml:space="preserve">▪ </w:t>
            </w:r>
            <w:r>
              <w:rPr>
                <w:rFonts w:ascii="Arial" w:hAnsi="Arial" w:eastAsia="Arial"/>
                <w:b/>
                <w:i w:val="0"/>
                <w:sz w:val="18"/>
              </w:rPr>
              <w:t>RESOLUCIÓN  N° 248-2026-ATU/PE</w:t>
            </w:r>
            <w:r>
              <w:rPr>
                <w:rFonts w:ascii="Arial" w:hAnsi="Arial" w:eastAsia="Arial"/>
                <w:b w:val="0"/>
                <w:i w:val="0"/>
                <w:sz w:val="18"/>
              </w:rPr>
              <w:t xml:space="preserve"> (Autoridad de Transporte Urbano para Lima y Callao): Designan Asesora de Gerencia General de la ATU</w:t>
            </w:r>
          </w:p>
        </w:tc>
      </w:tr>
    </w:tbl>
    <w:p>
      <w:pPr>
        <w:spacing w:before="0" w:after="80" w:line="276" w:lineRule="auto"/>
      </w:pPr>
    </w:p>
    <w:p>
      <w:pPr>
        <w:keepNext/>
        <w:spacing w:before="80" w:after="60" w:line="276" w:lineRule="auto"/>
      </w:pPr>
      <w:r>
        <w:rPr>
          <w:rFonts w:ascii="Arial" w:hAnsi="Arial" w:eastAsia="Arial"/>
          <w:b/>
          <w:i w:val="0"/>
          <w:color w:val="0A2F5C"/>
          <w:sz w:val="18"/>
        </w:rPr>
        <w:t>Cuadro 1. Normas de interés identificadas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C9D2DF"/>
          <w:left w:val="single" w:sz="4" w:space="0" w:color="C9D2DF"/>
          <w:bottom w:val="single" w:sz="4" w:space="0" w:color="C9D2DF"/>
          <w:right w:val="single" w:sz="4" w:space="0" w:color="C9D2DF"/>
          <w:insideH w:val="single" w:sz="4" w:space="0" w:color="C9D2DF"/>
          <w:insideV w:val="single" w:sz="4" w:space="0" w:color="C9D2DF"/>
        </w:tblBorders>
        <w:tblLayout w:type="fixed"/>
        <w:tblCellMar>
          <w:top w:w="50" w:type="dxa"/>
          <w:bottom w:w="50" w:type="dxa"/>
          <w:left w:w="100" w:type="dxa"/>
          <w:right w:w="100" w:type="dxa"/>
        </w:tblCellMar>
      </w:tblPr>
      <w:tblGrid>
        <w:gridCol w:w="2353"/>
        <w:gridCol w:w="2353"/>
        <w:gridCol w:w="2353"/>
        <w:gridCol w:w="2353"/>
      </w:tblGrid>
      <w:tr>
        <w:trPr>
          <w:cantSplit/>
          <w:tblHeader/>
        </w:trPr>
        <w:tc>
          <w:tcPr>
            <w:tcW w:type="dxa" w:w="567"/>
            <w:shd w:val="clear" w:color="auto" w:fill="0A2F5C"/>
          </w:tcPr>
          <w:p>
            <w:pPr>
              <w:spacing w:before="20" w:after="20" w:line="264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17"/>
              </w:rPr>
              <w:t>N.°</w:t>
            </w:r>
          </w:p>
        </w:tc>
        <w:tc>
          <w:tcPr>
            <w:tcW w:type="dxa" w:w="2835"/>
            <w:shd w:val="clear" w:color="auto" w:fill="0A2F5C"/>
          </w:tcPr>
          <w:p>
            <w:pPr>
              <w:spacing w:before="20" w:after="20" w:line="264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17"/>
              </w:rPr>
              <w:t>Norma y entidad emisora</w:t>
            </w:r>
          </w:p>
        </w:tc>
        <w:tc>
          <w:tcPr>
            <w:tcW w:type="dxa" w:w="4762"/>
            <w:shd w:val="clear" w:color="auto" w:fill="0A2F5C"/>
          </w:tcPr>
          <w:p>
            <w:pPr>
              <w:spacing w:before="20" w:after="20" w:line="264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17"/>
              </w:rPr>
              <w:t>Sumilla</w:t>
            </w:r>
          </w:p>
        </w:tc>
        <w:tc>
          <w:tcPr>
            <w:tcW w:type="dxa" w:w="1247"/>
            <w:shd w:val="clear" w:color="auto" w:fill="0A2F5C"/>
          </w:tcPr>
          <w:p>
            <w:pPr>
              <w:spacing w:before="20" w:after="20" w:line="264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17"/>
              </w:rPr>
              <w:t>Publicación</w:t>
            </w:r>
          </w:p>
        </w:tc>
      </w:tr>
      <w:tr>
        <w:trPr>
          <w:cantSplit/>
        </w:trPr>
        <w:tc>
          <w:tcPr>
            <w:tcW w:type="dxa" w:w="1247"/>
            <w:gridSpan w:val="4"/>
            <w:shd w:val="clear" w:color="auto" w:fill="F2F5FA"/>
            <w:tcBorders>
              <w:left w:val="single" w:sz="30" w:space="0" w:color="2A78D6"/>
            </w:tcBorders>
          </w:tcPr>
          <w:p>
            <w:pPr>
              <w:spacing w:before="20" w:after="20" w:line="264" w:lineRule="auto"/>
            </w:pPr>
            <w:r>
              <w:rPr>
                <w:rFonts w:ascii="Arial" w:hAnsi="Arial" w:eastAsia="Arial"/>
                <w:b/>
                <w:i w:val="0"/>
                <w:color w:val="0A2F5C"/>
                <w:sz w:val="17"/>
              </w:rPr>
              <w:t>ATU Y TRANSPORTE URBANO  (1)</w:t>
            </w:r>
          </w:p>
        </w:tc>
      </w:tr>
      <w:tr>
        <w:trPr>
          <w:cantSplit/>
        </w:trPr>
        <w:tc>
          <w:tcPr>
            <w:tcW w:type="dxa" w:w="567"/>
          </w:tcPr>
          <w:p>
            <w:pPr>
              <w:spacing w:before="20" w:after="20" w:line="264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0A2F5C"/>
                <w:sz w:val="18"/>
              </w:rPr>
              <w:t>1</w:t>
            </w:r>
          </w:p>
        </w:tc>
        <w:tc>
          <w:tcPr>
            <w:tcW w:type="dxa" w:w="2835"/>
          </w:tcPr>
          <w:p>
            <w:pPr>
              <w:spacing w:before="20" w:after="20" w:line="264" w:lineRule="auto"/>
            </w:pPr>
            <w:hyperlink r:id="rId11">
              <w:r>
                <w:rPr>
                  <w:rFonts w:ascii="Arial" w:hAnsi="Arial" w:eastAsia="Arial" w:cs="Arial"/>
                  <w:b/>
                  <w:color w:val="0B5CAD"/>
                  <w:sz w:val="17"/>
                  <w:u w:val="single"/>
                </w:rPr>
                <w:t xml:space="preserve">RESOLUCIÓN  N° 248-2026-ATU/PE</w:t>
              </w:r>
            </w:hyperlink>
          </w:p>
          <w:p>
            <w:pPr>
              <w:spacing w:before="0" w:after="20" w:line="252" w:lineRule="auto"/>
            </w:pPr>
            <w:r>
              <w:rPr>
                <w:rFonts w:ascii="Arial" w:hAnsi="Arial" w:eastAsia="Arial"/>
                <w:b w:val="0"/>
                <w:i w:val="0"/>
                <w:color w:val="5B6880"/>
                <w:sz w:val="15"/>
              </w:rPr>
              <w:t>AUTORIDAD DE TRANSPORTE URBANO PARA LIMA Y CALLAO</w:t>
            </w:r>
          </w:p>
        </w:tc>
        <w:tc>
          <w:tcPr>
            <w:tcW w:type="dxa" w:w="4762"/>
          </w:tcPr>
          <w:p>
            <w:pPr>
              <w:spacing w:before="20" w:after="20" w:line="264" w:lineRule="auto"/>
            </w:pPr>
            <w:r>
              <w:rPr>
                <w:rFonts w:ascii="Arial" w:hAnsi="Arial" w:eastAsia="Arial"/>
                <w:b w:val="0"/>
                <w:i w:val="0"/>
                <w:sz w:val="17"/>
              </w:rPr>
              <w:t>Designan Asesora de Gerencia General de la ATU</w:t>
            </w:r>
          </w:p>
        </w:tc>
        <w:tc>
          <w:tcPr>
            <w:tcW w:type="dxa" w:w="1247"/>
          </w:tcPr>
          <w:p>
            <w:pPr>
              <w:spacing w:before="20" w:after="20" w:line="264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7"/>
              </w:rPr>
              <w:t>23/10/2026</w:t>
            </w:r>
          </w:p>
        </w:tc>
      </w:tr>
      <w:tr>
        <w:trPr>
          <w:cantSplit/>
        </w:trPr>
        <w:tc>
          <w:tcPr>
            <w:tcW w:type="dxa" w:w="1247"/>
            <w:gridSpan w:val="4"/>
            <w:shd w:val="clear" w:color="auto" w:fill="F2F5FA"/>
            <w:tcBorders>
              <w:left w:val="single" w:sz="30" w:space="0" w:color="EB6834"/>
            </w:tcBorders>
          </w:tcPr>
          <w:p>
            <w:pPr>
              <w:spacing w:before="20" w:after="20" w:line="264" w:lineRule="auto"/>
            </w:pPr>
            <w:r>
              <w:rPr>
                <w:rFonts w:ascii="Arial" w:hAnsi="Arial" w:eastAsia="Arial"/>
                <w:b/>
                <w:i w:val="0"/>
                <w:color w:val="0A2F5C"/>
                <w:sz w:val="17"/>
              </w:rPr>
              <w:t>NORMATIVIDAD PRESUPUESTAL  (1)</w:t>
            </w:r>
          </w:p>
        </w:tc>
      </w:tr>
      <w:tr>
        <w:trPr>
          <w:cantSplit/>
        </w:trPr>
        <w:tc>
          <w:tcPr>
            <w:tcW w:type="dxa" w:w="567"/>
          </w:tcPr>
          <w:p>
            <w:pPr>
              <w:spacing w:before="20" w:after="20" w:line="264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0A2F5C"/>
                <w:sz w:val="18"/>
              </w:rPr>
              <w:t>2</w:t>
            </w:r>
          </w:p>
        </w:tc>
        <w:tc>
          <w:tcPr>
            <w:tcW w:type="dxa" w:w="2835"/>
          </w:tcPr>
          <w:p>
            <w:pPr>
              <w:spacing w:before="20" w:after="20" w:line="264" w:lineRule="auto"/>
            </w:pPr>
            <w:hyperlink r:id="rId12">
              <w:r>
                <w:rPr>
                  <w:rFonts w:ascii="Arial" w:hAnsi="Arial" w:eastAsia="Arial" w:cs="Arial"/>
                  <w:b/>
                  <w:color w:val="0B5CAD"/>
                  <w:sz w:val="17"/>
                  <w:u w:val="single"/>
                </w:rPr>
                <w:t xml:space="preserve">RESOLUCIÓN MINISTERIAL  N° 396-2026-JUS</w:t>
              </w:r>
            </w:hyperlink>
          </w:p>
          <w:p>
            <w:pPr>
              <w:spacing w:before="0" w:after="20" w:line="252" w:lineRule="auto"/>
            </w:pPr>
            <w:r>
              <w:rPr>
                <w:rFonts w:ascii="Arial" w:hAnsi="Arial" w:eastAsia="Arial"/>
                <w:b w:val="0"/>
                <w:i w:val="0"/>
                <w:color w:val="5B6880"/>
                <w:sz w:val="15"/>
              </w:rPr>
              <w:t>JUSTICIA Y DERECHOS HUMANOS</w:t>
            </w:r>
          </w:p>
        </w:tc>
        <w:tc>
          <w:tcPr>
            <w:tcW w:type="dxa" w:w="4762"/>
          </w:tcPr>
          <w:p>
            <w:pPr>
              <w:spacing w:before="20" w:after="20" w:line="264" w:lineRule="auto"/>
            </w:pPr>
            <w:r>
              <w:rPr>
                <w:rFonts w:ascii="Arial" w:hAnsi="Arial" w:eastAsia="Arial"/>
                <w:b w:val="0"/>
                <w:i w:val="0"/>
                <w:sz w:val="17"/>
              </w:rPr>
              <w:t>Aprueban el Presupuesto Analítico de Personal 2026 de la Unidad Ejecutora 004-1716 - Centros Juveniles</w:t>
            </w:r>
          </w:p>
        </w:tc>
        <w:tc>
          <w:tcPr>
            <w:tcW w:type="dxa" w:w="1247"/>
          </w:tcPr>
          <w:p>
            <w:pPr>
              <w:spacing w:before="20" w:after="20" w:line="264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7"/>
              </w:rPr>
              <w:t>23/10/2026</w:t>
            </w:r>
          </w:p>
        </w:tc>
      </w:tr>
      <w:tr>
        <w:trPr>
          <w:cantSplit/>
        </w:trPr>
        <w:tc>
          <w:tcPr>
            <w:tcW w:type="dxa" w:w="1247"/>
            <w:gridSpan w:val="4"/>
            <w:shd w:val="clear" w:color="auto" w:fill="F2F5FA"/>
            <w:tcBorders>
              <w:left w:val="single" w:sz="30" w:space="0" w:color="1BAF7A"/>
            </w:tcBorders>
          </w:tcPr>
          <w:p>
            <w:pPr>
              <w:spacing w:before="20" w:after="20" w:line="264" w:lineRule="auto"/>
            </w:pPr>
            <w:r>
              <w:rPr>
                <w:rFonts w:ascii="Arial" w:hAnsi="Arial" w:eastAsia="Arial"/>
                <w:b/>
                <w:i w:val="0"/>
                <w:color w:val="0A2F5C"/>
                <w:sz w:val="17"/>
              </w:rPr>
              <w:t>INVERSIONES  (1)</w:t>
            </w:r>
          </w:p>
        </w:tc>
      </w:tr>
      <w:tr>
        <w:trPr>
          <w:cantSplit/>
        </w:trPr>
        <w:tc>
          <w:tcPr>
            <w:tcW w:type="dxa" w:w="567"/>
          </w:tcPr>
          <w:p>
            <w:pPr>
              <w:spacing w:before="20" w:after="20" w:line="264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0A2F5C"/>
                <w:sz w:val="18"/>
              </w:rPr>
              <w:t>3</w:t>
            </w:r>
          </w:p>
        </w:tc>
        <w:tc>
          <w:tcPr>
            <w:tcW w:type="dxa" w:w="2835"/>
          </w:tcPr>
          <w:p>
            <w:pPr>
              <w:spacing w:before="20" w:after="20" w:line="264" w:lineRule="auto"/>
            </w:pPr>
            <w:hyperlink r:id="rId13">
              <w:r>
                <w:rPr>
                  <w:rFonts w:ascii="Arial" w:hAnsi="Arial" w:eastAsia="Arial" w:cs="Arial"/>
                  <w:b/>
                  <w:color w:val="0B5CAD"/>
                  <w:sz w:val="17"/>
                  <w:u w:val="single"/>
                </w:rPr>
                <w:t xml:space="preserve">RESOLUCIÓN N° 000154-2026-P/IPD</w:t>
              </w:r>
            </w:hyperlink>
          </w:p>
          <w:p>
            <w:pPr>
              <w:spacing w:before="0" w:after="20" w:line="252" w:lineRule="auto"/>
            </w:pPr>
            <w:r>
              <w:rPr>
                <w:rFonts w:ascii="Arial" w:hAnsi="Arial" w:eastAsia="Arial"/>
                <w:b w:val="0"/>
                <w:i w:val="0"/>
                <w:color w:val="5B6880"/>
                <w:sz w:val="15"/>
              </w:rPr>
              <w:t>INSTITUTO PERUANO DEL DEPORTE</w:t>
            </w:r>
          </w:p>
        </w:tc>
        <w:tc>
          <w:tcPr>
            <w:tcW w:type="dxa" w:w="4762"/>
          </w:tcPr>
          <w:p>
            <w:pPr>
              <w:spacing w:before="20" w:after="20" w:line="264" w:lineRule="auto"/>
            </w:pPr>
            <w:r>
              <w:rPr>
                <w:rFonts w:ascii="Arial" w:hAnsi="Arial" w:eastAsia="Arial"/>
                <w:b w:val="0"/>
                <w:i w:val="0"/>
                <w:sz w:val="17"/>
              </w:rPr>
              <w:t>Modifican la Resolución de Presidencia Nº 000008-2026-P/IPD sobre delegación de facultades y atribuciones en materia de contrataciones públicas del Instituto Peruano del Deporte</w:t>
            </w:r>
          </w:p>
        </w:tc>
        <w:tc>
          <w:tcPr>
            <w:tcW w:type="dxa" w:w="1247"/>
          </w:tcPr>
          <w:p>
            <w:pPr>
              <w:spacing w:before="20" w:after="20" w:line="264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7"/>
              </w:rPr>
              <w:t>23/10/2026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color w:val="B42318"/>
                <w:sz w:val="14"/>
              </w:rPr>
              <w:t>Edición extraordinaria</w:t>
            </w:r>
          </w:p>
        </w:tc>
      </w:tr>
    </w:tbl>
    <w:p>
      <w:pPr>
        <w:spacing w:before="280" w:after="120" w:line="276" w:lineRule="auto"/>
        <w:keepNext/>
        <w:pBdr>
          <w:bottom w:val="single" w:sz="6" w:space="2" w:color="C9D2DF"/>
        </w:pBdr>
      </w:pPr>
      <w:r>
        <w:rPr>
          <w:rFonts w:ascii="Arial" w:hAnsi="Arial" w:eastAsia="Arial"/>
          <w:b/>
          <w:i w:val="0"/>
          <w:color w:val="0A2F5C"/>
          <w:sz w:val="22"/>
        </w:rPr>
        <w:t>2. DETALLE DE LAS NORMAS</w:t>
      </w:r>
    </w:p>
    <w:p>
      <w:pPr>
        <w:keepNext/>
        <w:spacing w:before="160" w:after="80" w:line="276" w:lineRule="auto"/>
      </w:pPr>
      <w:r>
        <w:rPr>
          <w:rFonts w:ascii="Arial" w:hAnsi="Arial" w:eastAsia="Arial"/>
          <w:b/>
          <w:i w:val="0"/>
          <w:color w:val="0B5CAD"/>
          <w:sz w:val="21"/>
        </w:rPr>
        <w:t>2.1  ATU y transporte urbano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C9D2DF"/>
          <w:left w:val="single" w:sz="4" w:space="0" w:color="C9D2DF"/>
          <w:bottom w:val="single" w:sz="4" w:space="0" w:color="C9D2DF"/>
          <w:right w:val="single" w:sz="4" w:space="0" w:color="C9D2DF"/>
          <w:insideH w:val="single" w:sz="4" w:space="0" w:color="C9D2DF"/>
          <w:insideV w:val="single" w:sz="4" w:space="0" w:color="C9D2DF"/>
        </w:tblBorders>
        <w:tblLayout w:type="fixed"/>
        <w:tblCellMar>
          <w:top w:w="50" w:type="dxa"/>
          <w:bottom w:w="50" w:type="dxa"/>
          <w:left w:w="100" w:type="dxa"/>
          <w:right w:w="100" w:type="dxa"/>
        </w:tblCellMar>
      </w:tblPr>
      <w:tblGrid>
        <w:gridCol w:w="4706"/>
        <w:gridCol w:w="4706"/>
      </w:tblGrid>
      <w:tr>
        <w:trPr>
          <w:cantSplit/>
        </w:trPr>
        <w:tc>
          <w:tcPr>
            <w:tcW w:type="dxa" w:w="7370"/>
            <w:gridSpan w:val="2"/>
            <w:shd w:val="clear" w:color="auto" w:fill="E8F0FA"/>
            <w:tcBorders>
              <w:left w:val="single" w:sz="30" w:space="0" w:color="2A78D6"/>
            </w:tcBorders>
          </w:tcPr>
          <w:p>
            <w:pPr>
              <w:spacing w:before="20" w:after="20" w:line="264" w:lineRule="auto"/>
            </w:pPr>
            <w:r>
              <w:rPr>
                <w:rFonts w:ascii="Arial" w:hAnsi="Arial" w:eastAsia="Arial"/>
                <w:b/>
                <w:i w:val="0"/>
                <w:color w:val="0A2F5C"/>
                <w:sz w:val="19"/>
              </w:rPr>
              <w:t>1.  RESOLUCIÓN  N° 248-2026-ATU/PE</w:t>
            </w:r>
          </w:p>
        </w:tc>
      </w:tr>
      <w:tr>
        <w:trPr>
          <w:cantSplit/>
        </w:trPr>
        <w:tc>
          <w:tcPr>
            <w:tcW w:type="dxa" w:w="2041"/>
            <w:shd w:val="clear" w:color="auto" w:fill="F2F5FA"/>
          </w:tcPr>
          <w:p>
            <w:pPr>
              <w:spacing w:before="20" w:after="20" w:line="264" w:lineRule="auto"/>
            </w:pPr>
            <w:r>
              <w:rPr>
                <w:rFonts w:ascii="Arial" w:hAnsi="Arial" w:eastAsia="Arial"/>
                <w:b/>
                <w:i w:val="0"/>
                <w:color w:val="0A2F5C"/>
                <w:sz w:val="17"/>
              </w:rPr>
              <w:t>Entidad emisora</w:t>
            </w:r>
          </w:p>
        </w:tc>
        <w:tc>
          <w:tcPr>
            <w:tcW w:type="dxa" w:w="7370"/>
          </w:tcPr>
          <w:p>
            <w:pPr>
              <w:spacing w:before="20" w:after="20" w:line="264" w:lineRule="auto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AUTORIDAD DE TRANSPORTE URBANO PARA LIMA Y CALLAO</w:t>
            </w:r>
          </w:p>
        </w:tc>
      </w:tr>
      <w:tr>
        <w:trPr>
          <w:cantSplit/>
        </w:trPr>
        <w:tc>
          <w:tcPr>
            <w:tcW w:type="dxa" w:w="2041"/>
            <w:shd w:val="clear" w:color="auto" w:fill="F2F5FA"/>
          </w:tcPr>
          <w:p>
            <w:pPr>
              <w:spacing w:before="20" w:after="20" w:line="264" w:lineRule="auto"/>
            </w:pPr>
            <w:r>
              <w:rPr>
                <w:rFonts w:ascii="Arial" w:hAnsi="Arial" w:eastAsia="Arial"/>
                <w:b/>
                <w:i w:val="0"/>
                <w:color w:val="0A2F5C"/>
                <w:sz w:val="17"/>
              </w:rPr>
              <w:t>Publicación</w:t>
            </w:r>
          </w:p>
        </w:tc>
        <w:tc>
          <w:tcPr>
            <w:tcW w:type="dxa" w:w="7370"/>
          </w:tcPr>
          <w:p>
            <w:pPr>
              <w:spacing w:before="20" w:after="20" w:line="264" w:lineRule="auto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23/10/2026 · Edición ordinaria</w:t>
            </w:r>
          </w:p>
        </w:tc>
      </w:tr>
      <w:tr>
        <w:trPr>
          <w:cantSplit/>
        </w:trPr>
        <w:tc>
          <w:tcPr>
            <w:tcW w:type="dxa" w:w="2041"/>
            <w:shd w:val="clear" w:color="auto" w:fill="F2F5FA"/>
          </w:tcPr>
          <w:p>
            <w:pPr>
              <w:spacing w:before="20" w:after="20" w:line="264" w:lineRule="auto"/>
            </w:pPr>
            <w:r>
              <w:rPr>
                <w:rFonts w:ascii="Arial" w:hAnsi="Arial" w:eastAsia="Arial"/>
                <w:b/>
                <w:i w:val="0"/>
                <w:color w:val="0A2F5C"/>
                <w:sz w:val="17"/>
              </w:rPr>
              <w:t>Temas</w:t>
            </w:r>
          </w:p>
        </w:tc>
        <w:tc>
          <w:tcPr>
            <w:tcW w:type="dxa" w:w="7370"/>
          </w:tcPr>
          <w:p>
            <w:pPr>
              <w:spacing w:before="20" w:after="20" w:line="264" w:lineRule="auto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ATU y transporte urbano</w:t>
            </w:r>
          </w:p>
        </w:tc>
      </w:tr>
      <w:tr>
        <w:trPr>
          <w:cantSplit/>
        </w:trPr>
        <w:tc>
          <w:tcPr>
            <w:tcW w:type="dxa" w:w="2041"/>
            <w:shd w:val="clear" w:color="auto" w:fill="F2F5FA"/>
          </w:tcPr>
          <w:p>
            <w:pPr>
              <w:spacing w:before="20" w:after="20" w:line="264" w:lineRule="auto"/>
            </w:pPr>
            <w:r>
              <w:rPr>
                <w:rFonts w:ascii="Arial" w:hAnsi="Arial" w:eastAsia="Arial"/>
                <w:b/>
                <w:i w:val="0"/>
                <w:color w:val="0A2F5C"/>
                <w:sz w:val="17"/>
              </w:rPr>
              <w:t>Sumilla</w:t>
            </w:r>
          </w:p>
        </w:tc>
        <w:tc>
          <w:tcPr>
            <w:tcW w:type="dxa" w:w="7370"/>
          </w:tcPr>
          <w:p>
            <w:pPr>
              <w:spacing w:before="20" w:after="20" w:line="264" w:lineRule="auto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Designan Asesora de Gerencia General de la ATU</w:t>
            </w:r>
          </w:p>
        </w:tc>
      </w:tr>
      <w:tr>
        <w:trPr>
          <w:cantSplit/>
        </w:trPr>
        <w:tc>
          <w:tcPr>
            <w:tcW w:type="dxa" w:w="2041"/>
            <w:shd w:val="clear" w:color="auto" w:fill="F2F5FA"/>
          </w:tcPr>
          <w:p>
            <w:pPr>
              <w:spacing w:before="20" w:after="20" w:line="264" w:lineRule="auto"/>
            </w:pPr>
            <w:r>
              <w:rPr>
                <w:rFonts w:ascii="Arial" w:hAnsi="Arial" w:eastAsia="Arial"/>
                <w:b/>
                <w:i w:val="0"/>
                <w:color w:val="0A2F5C"/>
                <w:sz w:val="17"/>
              </w:rPr>
              <w:t>Enlaces</w:t>
            </w:r>
          </w:p>
        </w:tc>
        <w:tc>
          <w:tcPr>
            <w:tcW w:type="dxa" w:w="7370"/>
          </w:tcPr>
          <w:p>
            <w:pPr>
              <w:spacing w:before="20" w:after="20" w:line="264" w:lineRule="auto"/>
            </w:pPr>
            <w:hyperlink r:id="rId11">
              <w:r>
                <w:rPr>
                  <w:rFonts w:ascii="Arial" w:hAnsi="Arial" w:eastAsia="Arial" w:cs="Arial"/>
                  <w:color w:val="0B5CAD"/>
                  <w:sz w:val="17"/>
                  <w:u w:val="single"/>
                </w:rPr>
                <w:t xml:space="preserve">Texto completo</w:t>
              </w:r>
            </w:hyperlink>
            <w:r>
              <w:rPr>
                <w:rFonts w:ascii="Arial" w:hAnsi="Arial" w:eastAsia="Arial"/>
                <w:b w:val="0"/>
                <w:i w:val="0"/>
                <w:color w:val="5B6880"/>
                <w:sz w:val="17"/>
              </w:rPr>
              <w:t xml:space="preserve">   ·   </w:t>
            </w:r>
            <w:hyperlink r:id="rId14">
              <w:r>
                <w:rPr>
                  <w:rFonts w:ascii="Arial" w:hAnsi="Arial" w:eastAsia="Arial" w:cs="Arial"/>
                  <w:color w:val="0B5CAD"/>
                  <w:sz w:val="17"/>
                  <w:u w:val="single"/>
                </w:rPr>
                <w:t xml:space="preserve">El Peruano</w:t>
              </w:r>
            </w:hyperlink>
            <w:r>
              <w:rPr>
                <w:rFonts w:ascii="Arial" w:hAnsi="Arial" w:eastAsia="Arial"/>
                <w:b w:val="0"/>
                <w:i w:val="0"/>
                <w:color w:val="5B6880"/>
                <w:sz w:val="17"/>
              </w:rPr>
              <w:t xml:space="preserve">   ·   </w:t>
            </w:r>
            <w:hyperlink r:id="rId15">
              <w:r>
                <w:rPr>
                  <w:rFonts w:ascii="Arial" w:hAnsi="Arial" w:eastAsia="Arial" w:cs="Arial"/>
                  <w:color w:val="0B5CAD"/>
                  <w:sz w:val="17"/>
                  <w:u w:val="single"/>
                </w:rPr>
                <w:t xml:space="preserve">PDF</w:t>
              </w:r>
            </w:hyperlink>
          </w:p>
        </w:tc>
      </w:tr>
    </w:tbl>
    <w:p>
      <w:pPr>
        <w:spacing w:before="0" w:after="120" w:line="276" w:lineRule="auto"/>
      </w:pPr>
    </w:p>
    <w:p>
      <w:pPr>
        <w:keepNext/>
        <w:spacing w:before="160" w:after="80" w:line="276" w:lineRule="auto"/>
      </w:pPr>
      <w:r>
        <w:rPr>
          <w:rFonts w:ascii="Arial" w:hAnsi="Arial" w:eastAsia="Arial"/>
          <w:b/>
          <w:i w:val="0"/>
          <w:color w:val="0B5CAD"/>
          <w:sz w:val="21"/>
        </w:rPr>
        <w:t>2.2  Normatividad presupuestal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C9D2DF"/>
          <w:left w:val="single" w:sz="4" w:space="0" w:color="C9D2DF"/>
          <w:bottom w:val="single" w:sz="4" w:space="0" w:color="C9D2DF"/>
          <w:right w:val="single" w:sz="4" w:space="0" w:color="C9D2DF"/>
          <w:insideH w:val="single" w:sz="4" w:space="0" w:color="C9D2DF"/>
          <w:insideV w:val="single" w:sz="4" w:space="0" w:color="C9D2DF"/>
        </w:tblBorders>
        <w:tblLayout w:type="fixed"/>
        <w:tblCellMar>
          <w:top w:w="50" w:type="dxa"/>
          <w:bottom w:w="50" w:type="dxa"/>
          <w:left w:w="100" w:type="dxa"/>
          <w:right w:w="100" w:type="dxa"/>
        </w:tblCellMar>
      </w:tblPr>
      <w:tblGrid>
        <w:gridCol w:w="4706"/>
        <w:gridCol w:w="4706"/>
      </w:tblGrid>
      <w:tr>
        <w:trPr>
          <w:cantSplit/>
        </w:trPr>
        <w:tc>
          <w:tcPr>
            <w:tcW w:type="dxa" w:w="7370"/>
            <w:gridSpan w:val="2"/>
            <w:shd w:val="clear" w:color="auto" w:fill="E8F0FA"/>
            <w:tcBorders>
              <w:left w:val="single" w:sz="30" w:space="0" w:color="EB6834"/>
            </w:tcBorders>
          </w:tcPr>
          <w:p>
            <w:pPr>
              <w:spacing w:before="20" w:after="20" w:line="264" w:lineRule="auto"/>
            </w:pPr>
            <w:r>
              <w:rPr>
                <w:rFonts w:ascii="Arial" w:hAnsi="Arial" w:eastAsia="Arial"/>
                <w:b/>
                <w:i w:val="0"/>
                <w:color w:val="0A2F5C"/>
                <w:sz w:val="19"/>
              </w:rPr>
              <w:t>2.  RESOLUCIÓN MINISTERIAL  N° 396-2026-JUS</w:t>
            </w:r>
          </w:p>
        </w:tc>
      </w:tr>
      <w:tr>
        <w:trPr>
          <w:cantSplit/>
        </w:trPr>
        <w:tc>
          <w:tcPr>
            <w:tcW w:type="dxa" w:w="2041"/>
            <w:shd w:val="clear" w:color="auto" w:fill="F2F5FA"/>
          </w:tcPr>
          <w:p>
            <w:pPr>
              <w:spacing w:before="20" w:after="20" w:line="264" w:lineRule="auto"/>
            </w:pPr>
            <w:r>
              <w:rPr>
                <w:rFonts w:ascii="Arial" w:hAnsi="Arial" w:eastAsia="Arial"/>
                <w:b/>
                <w:i w:val="0"/>
                <w:color w:val="0A2F5C"/>
                <w:sz w:val="17"/>
              </w:rPr>
              <w:t>Entidad emisora</w:t>
            </w:r>
          </w:p>
        </w:tc>
        <w:tc>
          <w:tcPr>
            <w:tcW w:type="dxa" w:w="7370"/>
          </w:tcPr>
          <w:p>
            <w:pPr>
              <w:spacing w:before="20" w:after="20" w:line="264" w:lineRule="auto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JUSTICIA Y DERECHOS HUMANOS</w:t>
            </w:r>
          </w:p>
        </w:tc>
      </w:tr>
      <w:tr>
        <w:trPr>
          <w:cantSplit/>
        </w:trPr>
        <w:tc>
          <w:tcPr>
            <w:tcW w:type="dxa" w:w="2041"/>
            <w:shd w:val="clear" w:color="auto" w:fill="F2F5FA"/>
          </w:tcPr>
          <w:p>
            <w:pPr>
              <w:spacing w:before="20" w:after="20" w:line="264" w:lineRule="auto"/>
            </w:pPr>
            <w:r>
              <w:rPr>
                <w:rFonts w:ascii="Arial" w:hAnsi="Arial" w:eastAsia="Arial"/>
                <w:b/>
                <w:i w:val="0"/>
                <w:color w:val="0A2F5C"/>
                <w:sz w:val="17"/>
              </w:rPr>
              <w:t>Publicación</w:t>
            </w:r>
          </w:p>
        </w:tc>
        <w:tc>
          <w:tcPr>
            <w:tcW w:type="dxa" w:w="7370"/>
          </w:tcPr>
          <w:p>
            <w:pPr>
              <w:spacing w:before="20" w:after="20" w:line="264" w:lineRule="auto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23/10/2026 · Edición ordinaria</w:t>
            </w:r>
          </w:p>
        </w:tc>
      </w:tr>
      <w:tr>
        <w:trPr>
          <w:cantSplit/>
        </w:trPr>
        <w:tc>
          <w:tcPr>
            <w:tcW w:type="dxa" w:w="2041"/>
            <w:shd w:val="clear" w:color="auto" w:fill="F2F5FA"/>
          </w:tcPr>
          <w:p>
            <w:pPr>
              <w:spacing w:before="20" w:after="20" w:line="264" w:lineRule="auto"/>
            </w:pPr>
            <w:r>
              <w:rPr>
                <w:rFonts w:ascii="Arial" w:hAnsi="Arial" w:eastAsia="Arial"/>
                <w:b/>
                <w:i w:val="0"/>
                <w:color w:val="0A2F5C"/>
                <w:sz w:val="17"/>
              </w:rPr>
              <w:t>Temas</w:t>
            </w:r>
          </w:p>
        </w:tc>
        <w:tc>
          <w:tcPr>
            <w:tcW w:type="dxa" w:w="7370"/>
          </w:tcPr>
          <w:p>
            <w:pPr>
              <w:spacing w:before="20" w:after="20" w:line="264" w:lineRule="auto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Normatividad presupuestal</w:t>
            </w:r>
          </w:p>
        </w:tc>
      </w:tr>
      <w:tr>
        <w:trPr>
          <w:cantSplit/>
        </w:trPr>
        <w:tc>
          <w:tcPr>
            <w:tcW w:type="dxa" w:w="2041"/>
            <w:shd w:val="clear" w:color="auto" w:fill="F2F5FA"/>
          </w:tcPr>
          <w:p>
            <w:pPr>
              <w:spacing w:before="20" w:after="20" w:line="264" w:lineRule="auto"/>
            </w:pPr>
            <w:r>
              <w:rPr>
                <w:rFonts w:ascii="Arial" w:hAnsi="Arial" w:eastAsia="Arial"/>
                <w:b/>
                <w:i w:val="0"/>
                <w:color w:val="0A2F5C"/>
                <w:sz w:val="17"/>
              </w:rPr>
              <w:t>Sumilla</w:t>
            </w:r>
          </w:p>
        </w:tc>
        <w:tc>
          <w:tcPr>
            <w:tcW w:type="dxa" w:w="7370"/>
          </w:tcPr>
          <w:p>
            <w:pPr>
              <w:spacing w:before="20" w:after="20" w:line="264" w:lineRule="auto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Aprueban el Presupuesto Analítico de Personal 2026 de la Unidad Ejecutora 004-1716 - Centros Juveniles</w:t>
            </w:r>
          </w:p>
        </w:tc>
      </w:tr>
      <w:tr>
        <w:trPr>
          <w:cantSplit/>
        </w:trPr>
        <w:tc>
          <w:tcPr>
            <w:tcW w:type="dxa" w:w="2041"/>
            <w:shd w:val="clear" w:color="auto" w:fill="F2F5FA"/>
          </w:tcPr>
          <w:p>
            <w:pPr>
              <w:spacing w:before="20" w:after="20" w:line="264" w:lineRule="auto"/>
            </w:pPr>
            <w:r>
              <w:rPr>
                <w:rFonts w:ascii="Arial" w:hAnsi="Arial" w:eastAsia="Arial"/>
                <w:b/>
                <w:i w:val="0"/>
                <w:color w:val="0A2F5C"/>
                <w:sz w:val="17"/>
              </w:rPr>
              <w:t>Disposición principal</w:t>
            </w:r>
          </w:p>
        </w:tc>
        <w:tc>
          <w:tcPr>
            <w:tcW w:type="dxa" w:w="7370"/>
          </w:tcPr>
          <w:p>
            <w:pPr>
              <w:spacing w:before="20" w:after="20" w:line="264" w:lineRule="auto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Artículo 1.- Aprobar el Presupuesto Analítico de Personal 2026 de la Unidad Ejecutora 004-1716 - Centros Juveniles, conforme se detalla en los Formatos: A.1, A.2, B y C que forman parte integrante de la presente Resolución. Artículo 2.- Remitir copia de la presente Resolución a la Dirección General de Gestión Fiscal de los Recursos Humanos del Ministerio de Economía y Finanzas, así como al Programa Nacional de Centros Juveniles. Artículo 3.- Disponer la publicación de la presente Resolución Ministerial y sus Anexos en la sede digital del Ministerio de Justicia y Derechos Humanos (www.gob.pe/minjus), en la misma fecha de la publicación de la Resolución Ministerial en el Diario Oficial El…</w:t>
            </w:r>
          </w:p>
        </w:tc>
      </w:tr>
      <w:tr>
        <w:trPr>
          <w:cantSplit/>
        </w:trPr>
        <w:tc>
          <w:tcPr>
            <w:tcW w:type="dxa" w:w="2041"/>
            <w:shd w:val="clear" w:color="auto" w:fill="F2F5FA"/>
          </w:tcPr>
          <w:p>
            <w:pPr>
              <w:spacing w:before="20" w:after="20" w:line="264" w:lineRule="auto"/>
            </w:pPr>
            <w:r>
              <w:rPr>
                <w:rFonts w:ascii="Arial" w:hAnsi="Arial" w:eastAsia="Arial"/>
                <w:b/>
                <w:i w:val="0"/>
                <w:color w:val="0A2F5C"/>
                <w:sz w:val="17"/>
              </w:rPr>
              <w:t>Montos citados</w:t>
            </w:r>
          </w:p>
        </w:tc>
        <w:tc>
          <w:tcPr>
            <w:tcW w:type="dxa" w:w="7370"/>
          </w:tcPr>
          <w:p>
            <w:pPr>
              <w:spacing w:before="20" w:after="20" w:line="264" w:lineRule="auto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S/ 11 350 706,24</w:t>
            </w:r>
          </w:p>
        </w:tc>
      </w:tr>
      <w:tr>
        <w:trPr>
          <w:cantSplit/>
        </w:trPr>
        <w:tc>
          <w:tcPr>
            <w:tcW w:type="dxa" w:w="2041"/>
            <w:shd w:val="clear" w:color="auto" w:fill="F2F5FA"/>
          </w:tcPr>
          <w:p>
            <w:pPr>
              <w:spacing w:before="20" w:after="20" w:line="264" w:lineRule="auto"/>
            </w:pPr>
            <w:r>
              <w:rPr>
                <w:rFonts w:ascii="Arial" w:hAnsi="Arial" w:eastAsia="Arial"/>
                <w:b/>
                <w:i w:val="0"/>
                <w:color w:val="0A2F5C"/>
                <w:sz w:val="17"/>
              </w:rPr>
              <w:t>Enlaces</w:t>
            </w:r>
          </w:p>
        </w:tc>
        <w:tc>
          <w:tcPr>
            <w:tcW w:type="dxa" w:w="7370"/>
          </w:tcPr>
          <w:p>
            <w:pPr>
              <w:spacing w:before="20" w:after="20" w:line="264" w:lineRule="auto"/>
            </w:pPr>
            <w:hyperlink r:id="rId12">
              <w:r>
                <w:rPr>
                  <w:rFonts w:ascii="Arial" w:hAnsi="Arial" w:eastAsia="Arial" w:cs="Arial"/>
                  <w:color w:val="0B5CAD"/>
                  <w:sz w:val="17"/>
                  <w:u w:val="single"/>
                </w:rPr>
                <w:t xml:space="preserve">Texto completo</w:t>
              </w:r>
            </w:hyperlink>
            <w:r>
              <w:rPr>
                <w:rFonts w:ascii="Arial" w:hAnsi="Arial" w:eastAsia="Arial"/>
                <w:b w:val="0"/>
                <w:i w:val="0"/>
                <w:color w:val="5B6880"/>
                <w:sz w:val="17"/>
              </w:rPr>
              <w:t xml:space="preserve">   ·   </w:t>
            </w:r>
            <w:hyperlink r:id="rId16">
              <w:r>
                <w:rPr>
                  <w:rFonts w:ascii="Arial" w:hAnsi="Arial" w:eastAsia="Arial" w:cs="Arial"/>
                  <w:color w:val="0B5CAD"/>
                  <w:sz w:val="17"/>
                  <w:u w:val="single"/>
                </w:rPr>
                <w:t xml:space="preserve">El Peruano</w:t>
              </w:r>
            </w:hyperlink>
            <w:r>
              <w:rPr>
                <w:rFonts w:ascii="Arial" w:hAnsi="Arial" w:eastAsia="Arial"/>
                <w:b w:val="0"/>
                <w:i w:val="0"/>
                <w:color w:val="5B6880"/>
                <w:sz w:val="17"/>
              </w:rPr>
              <w:t xml:space="preserve">   ·   </w:t>
            </w:r>
            <w:hyperlink r:id="rId17">
              <w:r>
                <w:rPr>
                  <w:rFonts w:ascii="Arial" w:hAnsi="Arial" w:eastAsia="Arial" w:cs="Arial"/>
                  <w:color w:val="0B5CAD"/>
                  <w:sz w:val="17"/>
                  <w:u w:val="single"/>
                </w:rPr>
                <w:t xml:space="preserve">PDF</w:t>
              </w:r>
            </w:hyperlink>
          </w:p>
        </w:tc>
      </w:tr>
    </w:tbl>
    <w:p>
      <w:pPr>
        <w:spacing w:before="0" w:after="120" w:line="276" w:lineRule="auto"/>
      </w:pPr>
    </w:p>
    <w:p>
      <w:pPr>
        <w:keepNext/>
        <w:spacing w:before="160" w:after="80" w:line="276" w:lineRule="auto"/>
      </w:pPr>
      <w:r>
        <w:rPr>
          <w:rFonts w:ascii="Arial" w:hAnsi="Arial" w:eastAsia="Arial"/>
          <w:b/>
          <w:i w:val="0"/>
          <w:color w:val="0B5CAD"/>
          <w:sz w:val="21"/>
        </w:rPr>
        <w:t>2.3  Inversiones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C9D2DF"/>
          <w:left w:val="single" w:sz="4" w:space="0" w:color="C9D2DF"/>
          <w:bottom w:val="single" w:sz="4" w:space="0" w:color="C9D2DF"/>
          <w:right w:val="single" w:sz="4" w:space="0" w:color="C9D2DF"/>
          <w:insideH w:val="single" w:sz="4" w:space="0" w:color="C9D2DF"/>
          <w:insideV w:val="single" w:sz="4" w:space="0" w:color="C9D2DF"/>
        </w:tblBorders>
        <w:tblLayout w:type="fixed"/>
        <w:tblCellMar>
          <w:top w:w="50" w:type="dxa"/>
          <w:bottom w:w="50" w:type="dxa"/>
          <w:left w:w="100" w:type="dxa"/>
          <w:right w:w="100" w:type="dxa"/>
        </w:tblCellMar>
      </w:tblPr>
      <w:tblGrid>
        <w:gridCol w:w="4706"/>
        <w:gridCol w:w="4706"/>
      </w:tblGrid>
      <w:tr>
        <w:trPr>
          <w:cantSplit/>
        </w:trPr>
        <w:tc>
          <w:tcPr>
            <w:tcW w:type="dxa" w:w="7370"/>
            <w:gridSpan w:val="2"/>
            <w:shd w:val="clear" w:color="auto" w:fill="E8F0FA"/>
            <w:tcBorders>
              <w:left w:val="single" w:sz="30" w:space="0" w:color="1BAF7A"/>
            </w:tcBorders>
          </w:tcPr>
          <w:p>
            <w:pPr>
              <w:spacing w:before="20" w:after="20" w:line="264" w:lineRule="auto"/>
            </w:pPr>
            <w:r>
              <w:rPr>
                <w:rFonts w:ascii="Arial" w:hAnsi="Arial" w:eastAsia="Arial"/>
                <w:b/>
                <w:i w:val="0"/>
                <w:color w:val="0A2F5C"/>
                <w:sz w:val="19"/>
              </w:rPr>
              <w:t>3.  RESOLUCIÓN N° 000154-2026-P/IPD</w:t>
            </w:r>
          </w:p>
        </w:tc>
      </w:tr>
      <w:tr>
        <w:trPr>
          <w:cantSplit/>
        </w:trPr>
        <w:tc>
          <w:tcPr>
            <w:tcW w:type="dxa" w:w="2041"/>
            <w:shd w:val="clear" w:color="auto" w:fill="F2F5FA"/>
          </w:tcPr>
          <w:p>
            <w:pPr>
              <w:spacing w:before="20" w:after="20" w:line="264" w:lineRule="auto"/>
            </w:pPr>
            <w:r>
              <w:rPr>
                <w:rFonts w:ascii="Arial" w:hAnsi="Arial" w:eastAsia="Arial"/>
                <w:b/>
                <w:i w:val="0"/>
                <w:color w:val="0A2F5C"/>
                <w:sz w:val="17"/>
              </w:rPr>
              <w:t>Entidad emisora</w:t>
            </w:r>
          </w:p>
        </w:tc>
        <w:tc>
          <w:tcPr>
            <w:tcW w:type="dxa" w:w="7370"/>
          </w:tcPr>
          <w:p>
            <w:pPr>
              <w:spacing w:before="20" w:after="20" w:line="264" w:lineRule="auto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INSTITUTO PERUANO DEL DEPORTE</w:t>
            </w:r>
          </w:p>
        </w:tc>
      </w:tr>
      <w:tr>
        <w:trPr>
          <w:cantSplit/>
        </w:trPr>
        <w:tc>
          <w:tcPr>
            <w:tcW w:type="dxa" w:w="2041"/>
            <w:shd w:val="clear" w:color="auto" w:fill="F2F5FA"/>
          </w:tcPr>
          <w:p>
            <w:pPr>
              <w:spacing w:before="20" w:after="20" w:line="264" w:lineRule="auto"/>
            </w:pPr>
            <w:r>
              <w:rPr>
                <w:rFonts w:ascii="Arial" w:hAnsi="Arial" w:eastAsia="Arial"/>
                <w:b/>
                <w:i w:val="0"/>
                <w:color w:val="0A2F5C"/>
                <w:sz w:val="17"/>
              </w:rPr>
              <w:t>Publicación</w:t>
            </w:r>
          </w:p>
        </w:tc>
        <w:tc>
          <w:tcPr>
            <w:tcW w:type="dxa" w:w="7370"/>
          </w:tcPr>
          <w:p>
            <w:pPr>
              <w:spacing w:before="20" w:after="20" w:line="264" w:lineRule="auto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23/10/2026 · Edición extraordinaria</w:t>
            </w:r>
          </w:p>
        </w:tc>
      </w:tr>
      <w:tr>
        <w:trPr>
          <w:cantSplit/>
        </w:trPr>
        <w:tc>
          <w:tcPr>
            <w:tcW w:type="dxa" w:w="2041"/>
            <w:shd w:val="clear" w:color="auto" w:fill="F2F5FA"/>
          </w:tcPr>
          <w:p>
            <w:pPr>
              <w:spacing w:before="20" w:after="20" w:line="264" w:lineRule="auto"/>
            </w:pPr>
            <w:r>
              <w:rPr>
                <w:rFonts w:ascii="Arial" w:hAnsi="Arial" w:eastAsia="Arial"/>
                <w:b/>
                <w:i w:val="0"/>
                <w:color w:val="0A2F5C"/>
                <w:sz w:val="17"/>
              </w:rPr>
              <w:t>Temas</w:t>
            </w:r>
          </w:p>
        </w:tc>
        <w:tc>
          <w:tcPr>
            <w:tcW w:type="dxa" w:w="7370"/>
          </w:tcPr>
          <w:p>
            <w:pPr>
              <w:spacing w:before="20" w:after="20" w:line="264" w:lineRule="auto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Inversiones</w:t>
            </w:r>
          </w:p>
        </w:tc>
      </w:tr>
      <w:tr>
        <w:trPr>
          <w:cantSplit/>
        </w:trPr>
        <w:tc>
          <w:tcPr>
            <w:tcW w:type="dxa" w:w="2041"/>
            <w:shd w:val="clear" w:color="auto" w:fill="F2F5FA"/>
          </w:tcPr>
          <w:p>
            <w:pPr>
              <w:spacing w:before="20" w:after="20" w:line="264" w:lineRule="auto"/>
            </w:pPr>
            <w:r>
              <w:rPr>
                <w:rFonts w:ascii="Arial" w:hAnsi="Arial" w:eastAsia="Arial"/>
                <w:b/>
                <w:i w:val="0"/>
                <w:color w:val="0A2F5C"/>
                <w:sz w:val="17"/>
              </w:rPr>
              <w:t>Sumilla</w:t>
            </w:r>
          </w:p>
        </w:tc>
        <w:tc>
          <w:tcPr>
            <w:tcW w:type="dxa" w:w="7370"/>
          </w:tcPr>
          <w:p>
            <w:pPr>
              <w:spacing w:before="20" w:after="20" w:line="264" w:lineRule="auto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Modifican la Resolución de Presidencia Nº 000008-2026-P/IPD sobre delegación de facultades y atribuciones en materia de contrataciones públicas del Instituto Peruano del Deporte</w:t>
            </w:r>
          </w:p>
        </w:tc>
      </w:tr>
      <w:tr>
        <w:trPr>
          <w:cantSplit/>
        </w:trPr>
        <w:tc>
          <w:tcPr>
            <w:tcW w:type="dxa" w:w="2041"/>
            <w:shd w:val="clear" w:color="auto" w:fill="F2F5FA"/>
          </w:tcPr>
          <w:p>
            <w:pPr>
              <w:spacing w:before="20" w:after="20" w:line="264" w:lineRule="auto"/>
            </w:pPr>
            <w:r>
              <w:rPr>
                <w:rFonts w:ascii="Arial" w:hAnsi="Arial" w:eastAsia="Arial"/>
                <w:b/>
                <w:i w:val="0"/>
                <w:color w:val="0A2F5C"/>
                <w:sz w:val="17"/>
              </w:rPr>
              <w:t>Disposición principal</w:t>
            </w:r>
          </w:p>
        </w:tc>
        <w:tc>
          <w:tcPr>
            <w:tcW w:type="dxa" w:w="7370"/>
          </w:tcPr>
          <w:p>
            <w:pPr>
              <w:spacing w:before="20" w:after="20" w:line="264" w:lineRule="auto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Artículo 1.- Modificar el literal a) del numeral 1.3 del artículo 1 de la Resolución de Presidencia N° 000008-2026-P/IPD Modificar el literal a) del numeral 1.3 del artículo 1 de la Resolución de Presidencia N° 000008-2026-P/IPD, el cual queda redactado en los siguientes términos: «Artículo 1°.- Delegación a la Gerencia General Delegar en el/la Gerente General del Instituto Peruano del Deporte, durante el año fiscal 2026, las siguientes facultades y atribuciones: (…) 1.3. En materia de Contrataciones Públicas a) Aprobar los procedimientos de selección no competitivos en las causales establecidas en los literales b) y k) del numeral 55.1 del artículo 55° de la Ley General de Contrataciones…</w:t>
            </w:r>
          </w:p>
        </w:tc>
      </w:tr>
      <w:tr>
        <w:trPr>
          <w:cantSplit/>
        </w:trPr>
        <w:tc>
          <w:tcPr>
            <w:tcW w:type="dxa" w:w="2041"/>
            <w:shd w:val="clear" w:color="auto" w:fill="F2F5FA"/>
          </w:tcPr>
          <w:p>
            <w:pPr>
              <w:spacing w:before="20" w:after="20" w:line="264" w:lineRule="auto"/>
            </w:pPr>
            <w:r>
              <w:rPr>
                <w:rFonts w:ascii="Arial" w:hAnsi="Arial" w:eastAsia="Arial"/>
                <w:b/>
                <w:i w:val="0"/>
                <w:color w:val="0A2F5C"/>
                <w:sz w:val="17"/>
              </w:rPr>
              <w:t>Enlaces</w:t>
            </w:r>
          </w:p>
        </w:tc>
        <w:tc>
          <w:tcPr>
            <w:tcW w:type="dxa" w:w="7370"/>
          </w:tcPr>
          <w:p>
            <w:pPr>
              <w:spacing w:before="20" w:after="20" w:line="264" w:lineRule="auto"/>
            </w:pPr>
            <w:hyperlink r:id="rId13">
              <w:r>
                <w:rPr>
                  <w:rFonts w:ascii="Arial" w:hAnsi="Arial" w:eastAsia="Arial" w:cs="Arial"/>
                  <w:color w:val="0B5CAD"/>
                  <w:sz w:val="17"/>
                  <w:u w:val="single"/>
                </w:rPr>
                <w:t xml:space="preserve">Texto completo</w:t>
              </w:r>
            </w:hyperlink>
            <w:r>
              <w:rPr>
                <w:rFonts w:ascii="Arial" w:hAnsi="Arial" w:eastAsia="Arial"/>
                <w:b w:val="0"/>
                <w:i w:val="0"/>
                <w:color w:val="5B6880"/>
                <w:sz w:val="17"/>
              </w:rPr>
              <w:t xml:space="preserve">   ·   </w:t>
            </w:r>
            <w:hyperlink r:id="rId18">
              <w:r>
                <w:rPr>
                  <w:rFonts w:ascii="Arial" w:hAnsi="Arial" w:eastAsia="Arial" w:cs="Arial"/>
                  <w:color w:val="0B5CAD"/>
                  <w:sz w:val="17"/>
                  <w:u w:val="single"/>
                </w:rPr>
                <w:t xml:space="preserve">El Peruano</w:t>
              </w:r>
            </w:hyperlink>
            <w:r>
              <w:rPr>
                <w:rFonts w:ascii="Arial" w:hAnsi="Arial" w:eastAsia="Arial"/>
                <w:b w:val="0"/>
                <w:i w:val="0"/>
                <w:color w:val="5B6880"/>
                <w:sz w:val="17"/>
              </w:rPr>
              <w:t xml:space="preserve">   ·   </w:t>
            </w:r>
            <w:hyperlink r:id="rId19">
              <w:r>
                <w:rPr>
                  <w:rFonts w:ascii="Arial" w:hAnsi="Arial" w:eastAsia="Arial" w:cs="Arial"/>
                  <w:color w:val="0B5CAD"/>
                  <w:sz w:val="17"/>
                  <w:u w:val="single"/>
                </w:rPr>
                <w:t xml:space="preserve">PDF</w:t>
              </w:r>
            </w:hyperlink>
          </w:p>
        </w:tc>
      </w:tr>
    </w:tbl>
    <w:p>
      <w:pPr>
        <w:spacing w:before="0" w:after="120" w:line="276" w:lineRule="auto"/>
      </w:pPr>
    </w:p>
    <w:p>
      <w:pPr>
        <w:spacing w:before="200" w:after="0" w:line="276" w:lineRule="auto"/>
        <w:jc w:val="both"/>
        <w:pBdr>
          <w:top w:val="single" w:sz="4" w:space="4" w:color="C9D2DF"/>
        </w:pBdr>
      </w:pPr>
      <w:r>
        <w:rPr>
          <w:rFonts w:ascii="Arial" w:hAnsi="Arial" w:eastAsia="Arial"/>
          <w:b/>
          <w:i w:val="0"/>
          <w:color w:val="5B6880"/>
          <w:sz w:val="15"/>
        </w:rPr>
        <w:t xml:space="preserve">Nota metodológica: </w:t>
      </w:r>
      <w:r>
        <w:rPr>
          <w:rFonts w:ascii="Arial" w:hAnsi="Arial" w:eastAsia="Arial"/>
          <w:b w:val="0"/>
          <w:i w:val="0"/>
          <w:color w:val="5B6880"/>
          <w:sz w:val="15"/>
        </w:rPr>
        <w:t xml:space="preserve">se revisan todas las normas publicadas en el Diario Oficial El Peruano en el periodo. Una norma se selecciona cuando su entidad, título o sumilla contiene alguno de los términos definidos para cada tema, o cuando su texto completo menciona a la ATU. Los criterios pueden consultarse y editarse en el panel: </w:t>
      </w:r>
      <w:hyperlink r:id="rId20">
        <w:r>
          <w:rPr>
            <w:rFonts w:ascii="Arial" w:hAnsi="Arial" w:eastAsia="Arial" w:cs="Arial"/>
            <w:color w:val="0B5CAD"/>
            <w:sz w:val="15"/>
            <w:u w:val="single"/>
          </w:rPr>
          <w:t xml:space="preserve">reneearmasr.github.io/monitor-normas-elperuano</w:t>
        </w:r>
      </w:hyperlink>
    </w:p>
    <w:sectPr w:rsidR="00FC693F" w:rsidRPr="0006063C" w:rsidSect="00034616">
      <w:headerReference w:type="default" r:id="rId9"/>
      <w:footerReference w:type="default" r:id="rId10"/>
      <w:pgSz w:w="11906" w:h="16838"/>
      <w:pgMar w:top="1361" w:right="1247" w:bottom="1134" w:left="1247" w:header="567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4680" w:val="clear"/>
        <w:tab w:pos="9360" w:val="clear"/>
        <w:tab w:pos="9411" w:val="right"/>
      </w:tabs>
      <w:pBdr>
        <w:top w:val="single" w:sz="6" w:space="4" w:color="C9D2DF"/>
      </w:pBdr>
    </w:pPr>
    <w:r>
      <w:rPr>
        <w:rFonts w:ascii="Arial" w:hAnsi="Arial" w:eastAsia="Arial"/>
        <w:b w:val="0"/>
        <w:i w:val="0"/>
        <w:color w:val="5B6880"/>
        <w:sz w:val="15"/>
      </w:rPr>
      <w:t>Fuente: Diario Oficial El Peruano · Elaboración automática</w:t>
    </w:r>
    <w:r>
      <w:rPr>
        <w:rFonts w:ascii="Arial" w:hAnsi="Arial" w:eastAsia="Arial"/>
        <w:b w:val="0"/>
        <w:i w:val="0"/>
        <w:color w:val="5B6880"/>
        <w:sz w:val="15"/>
      </w:rPr>
      <w:tab/>
      <w:t xml:space="preserve">Página </w:t>
    </w:r>
    <w:r>
      <w:rPr>
        <w:rFonts w:ascii="Arial" w:hAnsi="Arial" w:eastAsia="Arial"/>
        <w:b w:val="0"/>
        <w:i w:val="0"/>
        <w:color w:val="5B6880"/>
        <w:sz w:val="15"/>
      </w:rPr>
      <w:fldChar w:fldCharType="begin"/>
      <w:instrText xml:space="preserve"> PAGE </w:instrText>
      <w:fldChar w:fldCharType="separate"/>
      <w:t>1</w:t>
      <w:fldChar w:fldCharType="end"/>
    </w:r>
    <w:r>
      <w:rPr>
        <w:rFonts w:ascii="Arial" w:hAnsi="Arial" w:eastAsia="Arial"/>
        <w:b w:val="0"/>
        <w:i w:val="0"/>
        <w:color w:val="5B6880"/>
        <w:sz w:val="15"/>
      </w:rPr>
      <w:t xml:space="preserve"> de </w:t>
    </w:r>
    <w:r>
      <w:rPr>
        <w:rFonts w:ascii="Arial" w:hAnsi="Arial" w:eastAsia="Arial"/>
        <w:b w:val="0"/>
        <w:i w:val="0"/>
        <w:color w:val="5B6880"/>
        <w:sz w:val="15"/>
      </w:rPr>
      <w:fldChar w:fldCharType="begin"/>
      <w:instrText xml:space="preserve"> NUMPAGES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4680" w:val="clear"/>
        <w:tab w:pos="9360" w:val="clear"/>
        <w:tab w:pos="9411" w:val="right"/>
      </w:tabs>
      <w:pBdr>
        <w:bottom w:val="single" w:sz="8" w:space="4" w:color="0A2F5C"/>
      </w:pBdr>
    </w:pPr>
    <w:r>
      <w:rPr>
        <w:rFonts w:ascii="Arial" w:hAnsi="Arial" w:eastAsia="Arial"/>
        <w:b/>
        <w:i w:val="0"/>
        <w:color w:val="0A2F5C"/>
        <w:sz w:val="15"/>
      </w:rPr>
      <w:t>AUTORIDAD DE TRANSPORTE URBANO PARA LIMA Y CALLAO</w:t>
    </w:r>
    <w:r>
      <w:rPr>
        <w:rFonts w:ascii="Arial" w:hAnsi="Arial" w:eastAsia="Arial"/>
        <w:b w:val="0"/>
        <w:i w:val="0"/>
        <w:color w:val="5B6880"/>
        <w:sz w:val="15"/>
      </w:rPr>
      <w:tab/>
      <w:t>Monitor de Normas Legales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busquedas.elperuano.pe/api/visor_html/2567550-1" TargetMode="External"/><Relationship Id="rId12" Type="http://schemas.openxmlformats.org/officeDocument/2006/relationships/hyperlink" Target="https://busquedas.elperuano.pe/api/visor_html/2567210-1" TargetMode="External"/><Relationship Id="rId13" Type="http://schemas.openxmlformats.org/officeDocument/2006/relationships/hyperlink" Target="https://busquedas.elperuano.pe/api/visor_html/2567683-1" TargetMode="External"/><Relationship Id="rId14" Type="http://schemas.openxmlformats.org/officeDocument/2006/relationships/hyperlink" Target="https://busquedas.elperuano.pe/dispositivo/NL/2567550-1" TargetMode="External"/><Relationship Id="rId15" Type="http://schemas.openxmlformats.org/officeDocument/2006/relationships/hyperlink" Target="https://busquedas.elperuano.pe/dispositivo/NL/2567550-1/pdf" TargetMode="External"/><Relationship Id="rId16" Type="http://schemas.openxmlformats.org/officeDocument/2006/relationships/hyperlink" Target="https://busquedas.elperuano.pe/dispositivo/NL/2567210-1" TargetMode="External"/><Relationship Id="rId17" Type="http://schemas.openxmlformats.org/officeDocument/2006/relationships/hyperlink" Target="https://busquedas.elperuano.pe/dispositivo/NL/2567210-1/pdf" TargetMode="External"/><Relationship Id="rId18" Type="http://schemas.openxmlformats.org/officeDocument/2006/relationships/hyperlink" Target="https://busquedas.elperuano.pe/dispositivo/EX/2567683-1" TargetMode="External"/><Relationship Id="rId19" Type="http://schemas.openxmlformats.org/officeDocument/2006/relationships/hyperlink" Target="https://busquedas.elperuano.pe/dispositivo/EX/2567683-1/pdf" TargetMode="External"/><Relationship Id="rId20" Type="http://schemas.openxmlformats.org/officeDocument/2006/relationships/hyperlink" Target="https://reneearmasr.github.io/monitor-normas-elperuano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