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 w:eastAsia="Arial"/>
          <w:b/>
          <w:i w:val="0"/>
          <w:color w:val="0A2F5C"/>
          <w:sz w:val="36"/>
        </w:rPr>
        <w:t>RESUMEN DE NORMAS LEGALES</w:t>
      </w:r>
    </w:p>
    <w:p>
      <w:pPr>
        <w:spacing w:before="0" w:after="40" w:line="276" w:lineRule="auto"/>
        <w:jc w:val="center"/>
      </w:pPr>
      <w:r>
        <w:rPr>
          <w:rFonts w:ascii="Arial" w:hAnsi="Arial" w:eastAsia="Arial"/>
          <w:b w:val="0"/>
          <w:i w:val="0"/>
          <w:color w:val="5B6880"/>
          <w:sz w:val="21"/>
        </w:rPr>
        <w:t>Diario Oficial El Peruano · Lunes 26 de octubre de 2026</w:t>
      </w:r>
    </w:p>
    <w:p>
      <w:pPr>
        <w:spacing w:before="0" w:after="200" w:line="276" w:lineRule="auto"/>
        <w:pBdr>
          <w:bottom w:val="single" w:sz="18" w:space="1" w:color="0A2F5C"/>
        </w:pBdr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Periodo revisado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Fecha de elaboración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26/10/2026 17:10</w:t>
            </w:r>
          </w:p>
        </w:tc>
      </w:tr>
      <w:t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publicadas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9"/>
              </w:rPr>
              <w:t>11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Normas de interés</w:t>
            </w:r>
          </w:p>
        </w:tc>
        <w:tc>
          <w:tcPr>
            <w:tcW w:type="dxa" w:w="2665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1. RESUMEN EJECUTIVO</w:t>
      </w:r>
    </w:p>
    <w:p>
      <w:pPr>
        <w:spacing w:before="0" w:after="160" w:line="276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De las 11 normas publicadas en el periodo, 1 resulta de interés institucional: 1 sobre la ATU y el transporte urbano. El Cuadro 1 presenta la relación completa y la sección 2, el detalle de cada norma.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F4C7C3"/>
          <w:left w:val="single" w:sz="4" w:space="0" w:color="F4C7C3"/>
          <w:bottom w:val="single" w:sz="4" w:space="0" w:color="F4C7C3"/>
          <w:right w:val="single" w:sz="4" w:space="0" w:color="F4C7C3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9412"/>
      </w:tblGrid>
      <w:tr>
        <w:tc>
          <w:tcPr>
            <w:tcW w:type="dxa" w:w="9411"/>
            <w:shd w:val="clear" w:color="auto" w:fill="FDF3F2"/>
            <w:tcBorders>
              <w:left w:val="single" w:sz="24" w:space="0" w:color="B42318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B42318"/>
                <w:sz w:val="18"/>
              </w:rPr>
              <w:t>ATENCIÓN: 1 norma involucra directamente a la ATU</w:t>
            </w:r>
          </w:p>
          <w:p>
            <w:pPr>
              <w:spacing w:before="0" w:after="20" w:line="264" w:lineRule="auto"/>
            </w:pPr>
            <w:r>
              <w:rPr>
                <w:rFonts w:ascii="Arial" w:hAnsi="Arial" w:eastAsia="Arial"/>
                <w:b w:val="0"/>
                <w:i w:val="0"/>
                <w:color w:val="B42318"/>
                <w:sz w:val="18"/>
              </w:rPr>
              <w:t xml:space="preserve">▪ </w:t>
            </w:r>
            <w:r>
              <w:rPr>
                <w:rFonts w:ascii="Arial" w:hAnsi="Arial" w:eastAsia="Arial"/>
                <w:b/>
                <w:i w:val="0"/>
                <w:sz w:val="18"/>
              </w:rPr>
              <w:t>RESOLUCIÓN  N° 247-2026-ATU/PE</w:t>
            </w:r>
            <w:r>
              <w:rPr>
                <w:rFonts w:ascii="Arial" w:hAnsi="Arial" w:eastAsia="Arial"/>
                <w:b w:val="0"/>
                <w:i w:val="0"/>
                <w:sz w:val="18"/>
              </w:rPr>
              <w:t xml:space="preserve"> (Autoridad de Transporte Urbano para Lima y Callao): Designan Ejecutivo de la Unidad de Atención a la Ciudadanía y Gestión Documental de la ATU</w:t>
            </w:r>
          </w:p>
        </w:tc>
      </w:tr>
    </w:tbl>
    <w:p>
      <w:pPr>
        <w:spacing w:before="0" w:after="80" w:line="276" w:lineRule="auto"/>
      </w:pPr>
    </w:p>
    <w:p>
      <w:pPr>
        <w:keepNext/>
        <w:spacing w:before="80" w:after="60" w:line="276" w:lineRule="auto"/>
      </w:pPr>
      <w:r>
        <w:rPr>
          <w:rFonts w:ascii="Arial" w:hAnsi="Arial" w:eastAsia="Arial"/>
          <w:b/>
          <w:i w:val="0"/>
          <w:color w:val="0A2F5C"/>
          <w:sz w:val="18"/>
        </w:rPr>
        <w:t>Cuadro 1. Normas de interés identificadas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353"/>
        <w:gridCol w:w="2353"/>
        <w:gridCol w:w="2353"/>
        <w:gridCol w:w="2353"/>
      </w:tblGrid>
      <w:tr>
        <w:trPr>
          <w:cantSplit/>
          <w:tblHeader/>
        </w:trPr>
        <w:tc>
          <w:tcPr>
            <w:tcW w:type="dxa" w:w="56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N.°</w:t>
            </w:r>
          </w:p>
        </w:tc>
        <w:tc>
          <w:tcPr>
            <w:tcW w:type="dxa" w:w="2835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Norma y entidad emisora</w:t>
            </w:r>
          </w:p>
        </w:tc>
        <w:tc>
          <w:tcPr>
            <w:tcW w:type="dxa" w:w="4762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Sumilla</w:t>
            </w:r>
          </w:p>
        </w:tc>
        <w:tc>
          <w:tcPr>
            <w:tcW w:type="dxa" w:w="1247"/>
            <w:shd w:val="clear" w:color="auto" w:fill="0A2F5C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Publicación</w:t>
            </w:r>
          </w:p>
        </w:tc>
      </w:tr>
      <w:tr>
        <w:trPr>
          <w:cantSplit/>
        </w:trPr>
        <w:tc>
          <w:tcPr>
            <w:tcW w:type="dxa" w:w="1247"/>
            <w:gridSpan w:val="4"/>
            <w:shd w:val="clear" w:color="auto" w:fill="F2F5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ATU Y TRANSPORTE URBANO  (1)</w:t>
            </w:r>
          </w:p>
        </w:tc>
      </w:tr>
      <w:tr>
        <w:trPr>
          <w:cantSplit/>
        </w:trPr>
        <w:tc>
          <w:tcPr>
            <w:tcW w:type="dxa" w:w="56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/>
                <w:i w:val="0"/>
                <w:color w:val="0A2F5C"/>
                <w:sz w:val="18"/>
              </w:rPr>
              <w:t>1</w:t>
            </w:r>
          </w:p>
        </w:tc>
        <w:tc>
          <w:tcPr>
            <w:tcW w:type="dxa" w:w="2835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b/>
                  <w:color w:val="0B5CAD"/>
                  <w:sz w:val="17"/>
                  <w:u w:val="single"/>
                </w:rPr>
                <w:t xml:space="preserve">RESOLUCIÓN  N° 247-2026-ATU/PE</w:t>
              </w:r>
            </w:hyperlink>
          </w:p>
          <w:p>
            <w:pPr>
              <w:spacing w:before="0" w:after="20" w:line="252" w:lineRule="auto"/>
            </w:pPr>
            <w:r>
              <w:rPr>
                <w:rFonts w:ascii="Arial" w:hAnsi="Arial" w:eastAsia="Arial"/>
                <w:b w:val="0"/>
                <w:i w:val="0"/>
                <w:color w:val="5B6880"/>
                <w:sz w:val="15"/>
              </w:rPr>
              <w:t>AUTORIDAD DE TRANSPORTE URBANO PARA LIMA Y CALLAO</w:t>
            </w:r>
          </w:p>
        </w:tc>
        <w:tc>
          <w:tcPr>
            <w:tcW w:type="dxa" w:w="4762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Designan Ejecutivo de la Unidad de Atención a la Ciudadanía y Gestión Documental de la ATU</w:t>
            </w:r>
          </w:p>
        </w:tc>
        <w:tc>
          <w:tcPr>
            <w:tcW w:type="dxa" w:w="1247"/>
          </w:tcPr>
          <w:p>
            <w:pPr>
              <w:spacing w:before="20" w:after="20" w:line="264" w:lineRule="auto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</w:rPr>
              <w:t>26/10/2026</w:t>
            </w:r>
          </w:p>
        </w:tc>
      </w:tr>
    </w:tbl>
    <w:p>
      <w:pPr>
        <w:spacing w:before="280" w:after="120" w:line="276" w:lineRule="auto"/>
        <w:keepNext/>
        <w:pBdr>
          <w:bottom w:val="single" w:sz="6" w:space="2" w:color="C9D2DF"/>
        </w:pBdr>
      </w:pPr>
      <w:r>
        <w:rPr>
          <w:rFonts w:ascii="Arial" w:hAnsi="Arial" w:eastAsia="Arial"/>
          <w:b/>
          <w:i w:val="0"/>
          <w:color w:val="0A2F5C"/>
          <w:sz w:val="22"/>
        </w:rPr>
        <w:t>2. DETALLE DE LAS NORMAS</w:t>
      </w:r>
    </w:p>
    <w:p>
      <w:pPr>
        <w:keepNext/>
        <w:spacing w:before="160" w:after="80" w:line="276" w:lineRule="auto"/>
      </w:pPr>
      <w:r>
        <w:rPr>
          <w:rFonts w:ascii="Arial" w:hAnsi="Arial" w:eastAsia="Arial"/>
          <w:b/>
          <w:i w:val="0"/>
          <w:color w:val="0B5CAD"/>
          <w:sz w:val="21"/>
        </w:rPr>
        <w:t>2.1  ATU y transporte urbano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2DF"/>
          <w:left w:val="single" w:sz="4" w:space="0" w:color="C9D2DF"/>
          <w:bottom w:val="single" w:sz="4" w:space="0" w:color="C9D2DF"/>
          <w:right w:val="single" w:sz="4" w:space="0" w:color="C9D2DF"/>
          <w:insideH w:val="single" w:sz="4" w:space="0" w:color="C9D2DF"/>
          <w:insideV w:val="single" w:sz="4" w:space="0" w:color="C9D2DF"/>
        </w:tblBorders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4706"/>
        <w:gridCol w:w="4706"/>
      </w:tblGrid>
      <w:tr>
        <w:trPr>
          <w:cantSplit/>
        </w:trPr>
        <w:tc>
          <w:tcPr>
            <w:tcW w:type="dxa" w:w="7370"/>
            <w:gridSpan w:val="2"/>
            <w:shd w:val="clear" w:color="auto" w:fill="E8F0FA"/>
            <w:tcBorders>
              <w:left w:val="single" w:sz="30" w:space="0" w:color="2A78D6"/>
            </w:tcBorders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9"/>
              </w:rPr>
              <w:t>1.  RESOLUCIÓN  N° 247-2026-ATU/PE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Entidad emisora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AUTORIDAD DE TRANSPORTE URBANO PARA LIMA Y CALLAO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Publicación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26/10/2026 · Edición ordinaria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Temas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ATU y transporte urbano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Sumilla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Designan Ejecutivo de la Unidad de Atención a la Ciudadanía y Gestión Documental de la ATU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Disposición principal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 w:val="0"/>
                <w:i w:val="0"/>
                <w:sz w:val="18"/>
              </w:rPr>
              <w:t>Artículo 1.- Designar, a partir del día 26 de octubre de 2026, al señor CHRISTIAN IVÁN APONTE FAJARDO en el puesto de Ejecutivo de la Unidad de Atención a la Ciudadanía y Gestión Documental con Código AIRHSP N° 002840 de la Autoridad de Transporte Urbano para Lima y Callao - ATU. Artículo 2.- Notificar la presente resolución al señor CHRISTIAN IVÁN APONTE FAJARDO y a la Oficina de Gestión de Recursos Humanos, para los fines pertinentes. Artículo 3.- Disponer la publicación de la presente resolución en el Diario Oficial “El Peruano” y en la sede digital de la Autoridad de Transporte Urbano para Lima y Callao - ATU (https://www.gob.pe/atu). Regístrese, comuníquese y publíquese. DAVID AUGUSTO…</w:t>
            </w:r>
          </w:p>
        </w:tc>
      </w:tr>
      <w:tr>
        <w:trPr>
          <w:cantSplit/>
        </w:trPr>
        <w:tc>
          <w:tcPr>
            <w:tcW w:type="dxa" w:w="2041"/>
            <w:shd w:val="clear" w:color="auto" w:fill="F2F5FA"/>
          </w:tcPr>
          <w:p>
            <w:pPr>
              <w:spacing w:before="20" w:after="20" w:line="264" w:lineRule="auto"/>
            </w:pPr>
            <w:r>
              <w:rPr>
                <w:rFonts w:ascii="Arial" w:hAnsi="Arial" w:eastAsia="Arial"/>
                <w:b/>
                <w:i w:val="0"/>
                <w:color w:val="0A2F5C"/>
                <w:sz w:val="17"/>
              </w:rPr>
              <w:t>Enlaces</w:t>
            </w:r>
          </w:p>
        </w:tc>
        <w:tc>
          <w:tcPr>
            <w:tcW w:type="dxa" w:w="7370"/>
          </w:tcPr>
          <w:p>
            <w:pPr>
              <w:spacing w:before="20" w:after="20" w:line="264" w:lineRule="auto"/>
            </w:pPr>
            <w:hyperlink r:id="rId11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Texto completo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2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El Peruano</w:t>
              </w:r>
            </w:hyperlink>
            <w:r>
              <w:rPr>
                <w:rFonts w:ascii="Arial" w:hAnsi="Arial" w:eastAsia="Arial"/>
                <w:b w:val="0"/>
                <w:i w:val="0"/>
                <w:color w:val="5B6880"/>
                <w:sz w:val="17"/>
              </w:rPr>
              <w:t xml:space="preserve">   ·   </w:t>
            </w:r>
            <w:hyperlink r:id="rId13">
              <w:r>
                <w:rPr>
                  <w:rFonts w:ascii="Arial" w:hAnsi="Arial" w:eastAsia="Arial" w:cs="Arial"/>
                  <w:color w:val="0B5CAD"/>
                  <w:sz w:val="17"/>
                  <w:u w:val="single"/>
                </w:rPr>
                <w:t xml:space="preserve">PDF</w:t>
              </w:r>
            </w:hyperlink>
          </w:p>
        </w:tc>
      </w:tr>
    </w:tbl>
    <w:p>
      <w:pPr>
        <w:spacing w:before="0" w:after="120" w:line="276" w:lineRule="auto"/>
      </w:pPr>
    </w:p>
    <w:p>
      <w:pPr>
        <w:spacing w:before="200" w:after="0" w:line="276" w:lineRule="auto"/>
        <w:jc w:val="both"/>
        <w:pBdr>
          <w:top w:val="single" w:sz="4" w:space="4" w:color="C9D2DF"/>
        </w:pBdr>
      </w:pPr>
      <w:r>
        <w:rPr>
          <w:rFonts w:ascii="Arial" w:hAnsi="Arial" w:eastAsia="Arial"/>
          <w:b/>
          <w:i w:val="0"/>
          <w:color w:val="5B6880"/>
          <w:sz w:val="15"/>
        </w:rPr>
        <w:t xml:space="preserve">Nota metodológica: </w:t>
      </w:r>
      <w:r>
        <w:rPr>
          <w:rFonts w:ascii="Arial" w:hAnsi="Arial" w:eastAsia="Arial"/>
          <w:b w:val="0"/>
          <w:i w:val="0"/>
          <w:color w:val="5B6880"/>
          <w:sz w:val="15"/>
        </w:rPr>
        <w:t xml:space="preserve">se revisan todas las normas publicadas en el Diario Oficial El Peruano en el periodo. Una norma se selecciona cuando su entidad, título o sumilla contiene alguno de los términos definidos para cada tema, o cuando su texto completo menciona a la ATU. Los criterios pueden consultarse y editarse en el panel: </w:t>
      </w:r>
      <w:hyperlink r:id="rId14">
        <w:r>
          <w:rPr>
            <w:rFonts w:ascii="Arial" w:hAnsi="Arial" w:eastAsia="Arial" w:cs="Arial"/>
            <w:color w:val="0B5CAD"/>
            <w:sz w:val="15"/>
            <w:u w:val="single"/>
          </w:rPr>
          <w:t xml:space="preserve">reneearmasr.github.io/monitor-normas-elperuano</w:t>
        </w:r>
      </w:hyperlink>
    </w:p>
    <w:sectPr w:rsidR="00FC693F" w:rsidRPr="0006063C" w:rsidSect="00034616">
      <w:headerReference w:type="default" r:id="rId9"/>
      <w:footerReference w:type="default" r:id="rId10"/>
      <w:pgSz w:w="11906" w:h="16838"/>
      <w:pgMar w:top="1361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9411" w:val="right"/>
      </w:tabs>
      <w:pBdr>
        <w:top w:val="single" w:sz="6" w:space="4" w:color="C9D2DF"/>
      </w:pBdr>
    </w:pPr>
    <w:r>
      <w:rPr>
        <w:rFonts w:ascii="Arial" w:hAnsi="Arial" w:eastAsia="Arial"/>
        <w:b w:val="0"/>
        <w:i w:val="0"/>
        <w:color w:val="5B6880"/>
        <w:sz w:val="15"/>
      </w:rPr>
      <w:t>Fuente: Diario Oficial El Peruano · Elaboración automática</w:t>
    </w:r>
    <w:r>
      <w:rPr>
        <w:rFonts w:ascii="Arial" w:hAnsi="Arial" w:eastAsia="Arial"/>
        <w:b w:val="0"/>
        <w:i w:val="0"/>
        <w:color w:val="5B6880"/>
        <w:sz w:val="15"/>
      </w:rPr>
      <w:tab/>
      <w:t xml:space="preserve">Página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Arial" w:hAnsi="Arial" w:eastAsia="Arial"/>
        <w:b w:val="0"/>
        <w:i w:val="0"/>
        <w:color w:val="5B6880"/>
        <w:sz w:val="15"/>
      </w:rPr>
      <w:t xml:space="preserve"> de </w:t>
    </w:r>
    <w:r>
      <w:rPr>
        <w:rFonts w:ascii="Arial" w:hAnsi="Arial" w:eastAsia="Arial"/>
        <w:b w:val="0"/>
        <w:i w:val="0"/>
        <w:color w:val="5B6880"/>
        <w:sz w:val="15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4680" w:val="clear"/>
        <w:tab w:pos="9360" w:val="clear"/>
        <w:tab w:pos="9411" w:val="right"/>
      </w:tabs>
      <w:pBdr>
        <w:bottom w:val="single" w:sz="8" w:space="4" w:color="0A2F5C"/>
      </w:pBdr>
    </w:pPr>
    <w:r>
      <w:rPr>
        <w:rFonts w:ascii="Arial" w:hAnsi="Arial" w:eastAsia="Arial"/>
        <w:b/>
        <w:i w:val="0"/>
        <w:color w:val="0A2F5C"/>
        <w:sz w:val="15"/>
      </w:rPr>
      <w:t>AUTORIDAD DE TRANSPORTE URBANO PARA LIMA Y CALLAO</w:t>
    </w:r>
    <w:r>
      <w:rPr>
        <w:rFonts w:ascii="Arial" w:hAnsi="Arial" w:eastAsia="Arial"/>
        <w:b w:val="0"/>
        <w:i w:val="0"/>
        <w:color w:val="5B6880"/>
        <w:sz w:val="15"/>
      </w:rPr>
      <w:tab/>
      <w:t>Monitor de Normas Legales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busquedas.elperuano.pe/api/visor_html/2566976-1" TargetMode="External"/><Relationship Id="rId12" Type="http://schemas.openxmlformats.org/officeDocument/2006/relationships/hyperlink" Target="https://busquedas.elperuano.pe/dispositivo/NL/2566976-1" TargetMode="External"/><Relationship Id="rId13" Type="http://schemas.openxmlformats.org/officeDocument/2006/relationships/hyperlink" Target="https://busquedas.elperuano.pe/dispositivo/NL/2566976-1/pdf" TargetMode="External"/><Relationship Id="rId14" Type="http://schemas.openxmlformats.org/officeDocument/2006/relationships/hyperlink" Target="https://reneearmasr.github.io/monitor-normas-elperuan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