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Viernes 4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04/09/2026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10:57</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104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8</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104 normas publicadas en el periodo, 8 resultan de interés institucional: 1 sobre la ATU y el transporte urbano, 5 de normatividad presupuestal y 2 de inversiones. El Cuadro 1 presenta la relación completa y la sección 2, el detalle de cada norma.</w:t>
      </w:r>
    </w:p>
    <w:tbl>
      <w:tblPr>
        <w:tblW w:type="auto" w:w="0"/>
        <w:tblLook w:firstColumn="1" w:firstRow="1" w:lastColumn="0" w:lastRow="0" w:noHBand="0" w:noVBand="1" w:val="04A0"/>
        <w:tblBorders>
          <w:top w:val="single" w:sz="4" w:space="0" w:color="F4C7C3"/>
          <w:left w:val="single" w:sz="4" w:space="0" w:color="F4C7C3"/>
          <w:bottom w:val="single" w:sz="4" w:space="0" w:color="F4C7C3"/>
          <w:right w:val="single" w:sz="4" w:space="0" w:color="F4C7C3"/>
        </w:tblBorders>
        <w:tblLayout w:type="fixed"/>
        <w:tblCellMar>
          <w:top w:w="50" w:type="dxa"/>
          <w:bottom w:w="50" w:type="dxa"/>
          <w:left w:w="100" w:type="dxa"/>
          <w:right w:w="100" w:type="dxa"/>
        </w:tblCellMar>
      </w:tblPr>
      <w:tblGrid>
        <w:gridCol w:w="9412"/>
      </w:tblGrid>
      <w:tr>
        <w:tc>
          <w:tcPr>
            <w:tcW w:type="dxa" w:w="9411"/>
            <w:shd w:val="clear" w:color="auto" w:fill="FDF3F2"/>
            <w:tcBorders>
              <w:left w:val="single" w:sz="24" w:space="0" w:color="B42318"/>
            </w:tcBorders>
          </w:tcPr>
          <w:p>
            <w:pPr>
              <w:spacing w:before="20" w:after="20" w:line="264" w:lineRule="auto"/>
            </w:pPr>
            <w:r>
              <w:rPr>
                <w:rFonts w:ascii="Arial" w:hAnsi="Arial" w:eastAsia="Arial"/>
                <w:b/>
                <w:i w:val="0"/>
                <w:color w:val="B42318"/>
                <w:sz w:val="18"/>
              </w:rPr>
              <w:t>ATENCIÓN: 1 norma involucra directamente a la ATU</w:t>
            </w:r>
          </w:p>
          <w:p>
            <w:pPr>
              <w:spacing w:before="0" w:after="20" w:line="264" w:lineRule="auto"/>
            </w:pPr>
            <w:r>
              <w:rPr>
                <w:rFonts w:ascii="Arial" w:hAnsi="Arial" w:eastAsia="Arial"/>
                <w:b w:val="0"/>
                <w:i w:val="0"/>
                <w:color w:val="B42318"/>
                <w:sz w:val="18"/>
              </w:rPr>
              <w:t xml:space="preserve">▪ </w:t>
            </w:r>
            <w:r>
              <w:rPr>
                <w:rFonts w:ascii="Arial" w:hAnsi="Arial" w:eastAsia="Arial"/>
                <w:b/>
                <w:i w:val="0"/>
                <w:sz w:val="18"/>
              </w:rPr>
              <w:t>RESOLUCIÓN N° 206-2026-ATU/PE</w:t>
            </w:r>
            <w:r>
              <w:rPr>
                <w:rFonts w:ascii="Arial" w:hAnsi="Arial" w:eastAsia="Arial"/>
                <w:b w:val="0"/>
                <w:i w:val="0"/>
                <w:sz w:val="18"/>
              </w:rPr>
              <w:t xml:space="preserve"> (Autoridad de Transporte Urbano para Lima y Callao): Modifican delegación de funciones en el/la Jefe/a de la Oficina de Administración de la ATU durante el Año Fiscal 2026</w:t>
            </w:r>
          </w:p>
        </w:tc>
      </w:tr>
    </w:tbl>
    <w:p>
      <w:pPr>
        <w:spacing w:before="0" w:after="80" w:line="276" w:lineRule="auto"/>
      </w:pP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2A78D6"/>
            </w:tcBorders>
          </w:tcPr>
          <w:p>
            <w:pPr>
              <w:spacing w:before="20" w:after="20" w:line="264" w:lineRule="auto"/>
            </w:pPr>
            <w:r>
              <w:rPr>
                <w:rFonts w:ascii="Arial" w:hAnsi="Arial" w:eastAsia="Arial"/>
                <w:b/>
                <w:i w:val="0"/>
                <w:color w:val="0A2F5C"/>
                <w:sz w:val="17"/>
              </w:rPr>
              <w:t>ATU Y TRANSPORTE URBANO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206-2026-ATU/PE</w:t>
              </w:r>
            </w:hyperlink>
          </w:p>
          <w:p>
            <w:pPr>
              <w:spacing w:before="0" w:after="20" w:line="252" w:lineRule="auto"/>
            </w:pPr>
            <w:r>
              <w:rPr>
                <w:rFonts w:ascii="Arial" w:hAnsi="Arial" w:eastAsia="Arial"/>
                <w:b w:val="0"/>
                <w:i w:val="0"/>
                <w:color w:val="5B6880"/>
                <w:sz w:val="15"/>
              </w:rPr>
              <w:t>AUTORIDAD DE TRANSPORTE URBANO PARA LIMA Y CALLAO</w:t>
            </w:r>
          </w:p>
        </w:tc>
        <w:tc>
          <w:tcPr>
            <w:tcW w:type="dxa" w:w="4762"/>
          </w:tcPr>
          <w:p>
            <w:pPr>
              <w:spacing w:before="20" w:after="20" w:line="264" w:lineRule="auto"/>
            </w:pPr>
            <w:r>
              <w:rPr>
                <w:rFonts w:ascii="Arial" w:hAnsi="Arial" w:eastAsia="Arial"/>
                <w:b w:val="0"/>
                <w:i w:val="0"/>
                <w:sz w:val="17"/>
              </w:rPr>
              <w:t>Modifican delegación de funciones en el/la Jefe/a de la Oficina de Administración de la ATU durante el Año Fiscal 2026</w:t>
            </w:r>
          </w:p>
        </w:tc>
        <w:tc>
          <w:tcPr>
            <w:tcW w:type="dxa" w:w="1247"/>
          </w:tcPr>
          <w:p>
            <w:pPr>
              <w:spacing w:before="20" w:after="20" w:line="264" w:lineRule="auto"/>
              <w:jc w:val="center"/>
            </w:pPr>
            <w:r>
              <w:rPr>
                <w:rFonts w:ascii="Arial" w:hAnsi="Arial" w:eastAsia="Arial"/>
                <w:b w:val="0"/>
                <w:i w:val="0"/>
                <w:sz w:val="17"/>
              </w:rPr>
              <w:t>04/09/2026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(5)</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SEPARATA ESPECIAL  Proposiciones Legislativas N° 00002-2026-2031-CR, N° 00003-2026-2031-CR y N° 00004-2026-2031-CR</w:t>
              </w:r>
            </w:hyperlink>
          </w:p>
          <w:p>
            <w:pPr>
              <w:spacing w:before="0" w:after="20" w:line="252" w:lineRule="auto"/>
            </w:pPr>
            <w:r>
              <w:rPr>
                <w:rFonts w:ascii="Arial" w:hAnsi="Arial" w:eastAsia="Arial"/>
                <w:b w:val="0"/>
                <w:i w:val="0"/>
                <w:color w:val="5B6880"/>
                <w:sz w:val="15"/>
              </w:rPr>
              <w:t>CONGRESO DE LA REPÚBLICA</w:t>
            </w:r>
          </w:p>
        </w:tc>
        <w:tc>
          <w:tcPr>
            <w:tcW w:type="dxa" w:w="4762"/>
          </w:tcPr>
          <w:p>
            <w:pPr>
              <w:spacing w:before="20" w:after="20" w:line="264" w:lineRule="auto"/>
            </w:pPr>
            <w:r>
              <w:rPr>
                <w:rFonts w:ascii="Arial" w:hAnsi="Arial" w:eastAsia="Arial"/>
                <w:b w:val="0"/>
                <w:i w:val="0"/>
                <w:sz w:val="17"/>
              </w:rPr>
              <w:t>Proposición Legislativa de Presupuesto del Sector Público para el Año Fiscal 2027 - Proposición Legislativa de Equilibrio Financiero del Presupuesto del Sector Público para el Año Fiscal 2027 - Proposición Legislativa de Endeudamiento del Sector Público para el Año Fiscal 2027</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DECRETO SUPREMO  N° 173-2026-EF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un gobierno regional y de diversos gobiernos locales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DECRETO SUPREMO  N° 174-2026-EF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locales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DECRETO SUPREMO  N° 175-2026-EF</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Decreto Supremo que autoriza Transferencia de Partidas en el Presupuesto del Sector Público para el Año Fiscal 2026 a favor de diversos gobiernos regionales</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6</w:t>
            </w:r>
          </w:p>
        </w:tc>
        <w:tc>
          <w:tcPr>
            <w:tcW w:type="dxa" w:w="2835"/>
          </w:tcPr>
          <w:p>
            <w:pPr>
              <w:spacing w:before="20" w:after="20" w:line="264" w:lineRule="auto"/>
            </w:pPr>
            <w:hyperlink r:id="rId16">
              <w:r>
                <w:rPr>
                  <w:rFonts w:ascii="Arial" w:hAnsi="Arial" w:eastAsia="Arial" w:cs="Arial"/>
                  <w:b/>
                  <w:color w:val="0B5CAD"/>
                  <w:sz w:val="17"/>
                  <w:u w:val="single"/>
                </w:rPr>
                <w:t xml:space="preserve">DECRETO SUPREMO  N° 012-2026-TR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aprueba la transferencia financiera del aporte total del Programa Llamkasun Perú a favor de la Municipalidad Distrital de Villa El Salvador en virtud del Convenio de Ejecución de Actividad de Intervención Inmediata (AII-93) y en el marco del Decreto Supremo N° 117-2026-PCM</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(2)</w:t>
            </w:r>
          </w:p>
        </w:tc>
      </w:tr>
      <w:tr>
        <w:trPr>
          <w:cantSplit/>
        </w:trPr>
        <w:tc>
          <w:tcPr>
            <w:tcW w:type="dxa" w:w="567"/>
          </w:tcPr>
          <w:p>
            <w:pPr>
              <w:spacing w:before="20" w:after="20" w:line="264" w:lineRule="auto"/>
              <w:jc w:val="center"/>
            </w:pPr>
            <w:r>
              <w:rPr>
                <w:rFonts w:ascii="Arial" w:hAnsi="Arial" w:eastAsia="Arial"/>
                <w:b/>
                <w:i w:val="0"/>
                <w:color w:val="0A2F5C"/>
                <w:sz w:val="18"/>
              </w:rPr>
              <w:t>7</w:t>
            </w:r>
          </w:p>
        </w:tc>
        <w:tc>
          <w:tcPr>
            <w:tcW w:type="dxa" w:w="2835"/>
          </w:tcPr>
          <w:p>
            <w:pPr>
              <w:spacing w:before="20" w:after="20" w:line="264" w:lineRule="auto"/>
            </w:pPr>
            <w:hyperlink r:id="rId17">
              <w:r>
                <w:rPr>
                  <w:rFonts w:ascii="Arial" w:hAnsi="Arial" w:eastAsia="Arial" w:cs="Arial"/>
                  <w:b/>
                  <w:color w:val="0B5CAD"/>
                  <w:sz w:val="17"/>
                  <w:u w:val="single"/>
                </w:rPr>
                <w:t xml:space="preserve">ACUERDO  N° 000394-2026-GR.LAMB/CR [516097481 - 87]</w:t>
              </w:r>
            </w:hyperlink>
          </w:p>
          <w:p>
            <w:pPr>
              <w:spacing w:before="0" w:after="20" w:line="252" w:lineRule="auto"/>
            </w:pPr>
            <w:r>
              <w:rPr>
                <w:rFonts w:ascii="Arial" w:hAnsi="Arial" w:eastAsia="Arial"/>
                <w:b w:val="0"/>
                <w:i w:val="0"/>
                <w:color w:val="5B6880"/>
                <w:sz w:val="15"/>
              </w:rPr>
              <w:t>GOBIERNO REGIONAL DE LAMBAYEQUE</w:t>
            </w:r>
          </w:p>
        </w:tc>
        <w:tc>
          <w:tcPr>
            <w:tcW w:type="dxa" w:w="4762"/>
          </w:tcPr>
          <w:p>
            <w:pPr>
              <w:spacing w:before="20" w:after="20" w:line="264" w:lineRule="auto"/>
            </w:pPr>
            <w:r>
              <w:rPr>
                <w:rFonts w:ascii="Arial" w:hAnsi="Arial" w:eastAsia="Arial"/>
                <w:b w:val="0"/>
                <w:i w:val="0"/>
                <w:sz w:val="17"/>
              </w:rPr>
              <w:t>Aprueban la Actualización del Informe Multianual de Inversiones en Asociaciones Público Privadas (IMIAPP) 2026 - 2028 del Gobierno Regional Lambayeque</w:t>
            </w:r>
          </w:p>
        </w:tc>
        <w:tc>
          <w:tcPr>
            <w:tcW w:type="dxa" w:w="1247"/>
          </w:tcPr>
          <w:p>
            <w:pPr>
              <w:spacing w:before="20" w:after="20" w:line="264" w:lineRule="auto"/>
              <w:jc w:val="center"/>
            </w:pPr>
            <w:r>
              <w:rPr>
                <w:rFonts w:ascii="Arial" w:hAnsi="Arial" w:eastAsia="Arial"/>
                <w:b w:val="0"/>
                <w:i w:val="0"/>
                <w:sz w:val="17"/>
              </w:rPr>
              <w:t>04/09/2026</w:t>
            </w:r>
          </w:p>
        </w:tc>
      </w:tr>
      <w:tr>
        <w:trPr>
          <w:cantSplit/>
        </w:trPr>
        <w:tc>
          <w:tcPr>
            <w:tcW w:type="dxa" w:w="567"/>
          </w:tcPr>
          <w:p>
            <w:pPr>
              <w:spacing w:before="20" w:after="20" w:line="264" w:lineRule="auto"/>
              <w:jc w:val="center"/>
            </w:pPr>
            <w:r>
              <w:rPr>
                <w:rFonts w:ascii="Arial" w:hAnsi="Arial" w:eastAsia="Arial"/>
                <w:b/>
                <w:i w:val="0"/>
                <w:color w:val="0A2F5C"/>
                <w:sz w:val="18"/>
              </w:rPr>
              <w:t>8</w:t>
            </w:r>
          </w:p>
        </w:tc>
        <w:tc>
          <w:tcPr>
            <w:tcW w:type="dxa" w:w="2835"/>
          </w:tcPr>
          <w:p>
            <w:pPr>
              <w:spacing w:before="20" w:after="20" w:line="264" w:lineRule="auto"/>
            </w:pPr>
            <w:hyperlink r:id="rId18">
              <w:r>
                <w:rPr>
                  <w:rFonts w:ascii="Arial" w:hAnsi="Arial" w:eastAsia="Arial" w:cs="Arial"/>
                  <w:b/>
                  <w:color w:val="0B5CAD"/>
                  <w:sz w:val="17"/>
                  <w:u w:val="single"/>
                </w:rPr>
                <w:t xml:space="preserve">RESOLUCIÓN MINISTERIAL N° 359-2026-VIVIENDA</w:t>
              </w:r>
            </w:hyperlink>
          </w:p>
          <w:p>
            <w:pPr>
              <w:spacing w:before="0" w:after="20" w:line="252" w:lineRule="auto"/>
            </w:pPr>
            <w:r>
              <w:rPr>
                <w:rFonts w:ascii="Arial" w:hAnsi="Arial" w:eastAsia="Arial"/>
                <w:b w:val="0"/>
                <w:i w:val="0"/>
                <w:color w:val="5B6880"/>
                <w:sz w:val="15"/>
              </w:rPr>
              <w:t>VIVIENDA, CONSTRUCCIÓN Y SANEAMIENTO</w:t>
            </w:r>
          </w:p>
        </w:tc>
        <w:tc>
          <w:tcPr>
            <w:tcW w:type="dxa" w:w="4762"/>
          </w:tcPr>
          <w:p>
            <w:pPr>
              <w:spacing w:before="20" w:after="20" w:line="264" w:lineRule="auto"/>
            </w:pPr>
            <w:r>
              <w:rPr>
                <w:rFonts w:ascii="Arial" w:hAnsi="Arial" w:eastAsia="Arial"/>
                <w:b w:val="0"/>
                <w:i w:val="0"/>
                <w:sz w:val="17"/>
              </w:rPr>
              <w:t>Aprueban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w:t>
            </w:r>
          </w:p>
        </w:tc>
        <w:tc>
          <w:tcPr>
            <w:tcW w:type="dxa" w:w="1247"/>
          </w:tcPr>
          <w:p>
            <w:pPr>
              <w:spacing w:before="20" w:after="20" w:line="264" w:lineRule="auto"/>
              <w:jc w:val="center"/>
            </w:pPr>
            <w:r>
              <w:rPr>
                <w:rFonts w:ascii="Arial" w:hAnsi="Arial" w:eastAsia="Arial"/>
                <w:b w:val="0"/>
                <w:i w:val="0"/>
                <w:sz w:val="17"/>
              </w:rPr>
              <w:t>04/09/2026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ATU y transporte urbano</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2A78D6"/>
            </w:tcBorders>
          </w:tcPr>
          <w:p>
            <w:pPr>
              <w:spacing w:before="20" w:after="20" w:line="264" w:lineRule="auto"/>
            </w:pPr>
            <w:r>
              <w:rPr>
                <w:rFonts w:ascii="Arial" w:hAnsi="Arial" w:eastAsia="Arial"/>
                <w:b/>
                <w:i w:val="0"/>
                <w:color w:val="0A2F5C"/>
                <w:sz w:val="19"/>
              </w:rPr>
              <w:t>1.  RESOLUCIÓN N° 206-2026-ATU/PE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AUTORIDAD DE TRANSPORTE URBANO PARA LIMA Y CALLAO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ATU y transporte urbano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Modifican delegación de funciones en el/la Jefe/a de la Oficina de Administración de la ATU durante el Año Fiscal 2026</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Modificar el literal g) del numeral 2.3 del artículo 2 de la Resolución de Presidencia Ejecutiva Nº 409-2025-ATU/PE, modificada por la Resolución de Presidencia Ejecutiva Nº 179-2026-ATU/PE, en los siguientes términos: Artículo 2.- Delegar en el/la Jefe/a de la Oficina de Administración de la Autoridad de Transporte Urbano para Lima y Callao - ATU, durante el periodo que comprende el Año Fiscal 2026, las siguientes funciones: 2.3 En materia de acciones administrativas: g) Suscribir en representación de la Autoridad de Transporte Urbano para Lima y Callao - ATU, los contratos, adendas, convenios, documentos y formatos con las entidades financieras y otras entidades no…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SEPARATA ESPECIAL  Proposiciones Legislativas N° 00002-2026-2031-CR, N° 00003-2026-2031-CR y N° 00004-2026-2031-CR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CONGRESO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Proposición Legislativa de Presupuesto del Sector Público para el Año Fiscal 2027 - Proposición Legislativa de Equilibrio Financiero del Presupuesto del Sector Público para el Año Fiscal 2027 - Proposición Legislativa de Endeudamiento del Sector Público para el Año Fiscal 2027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El Peruano</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3.  DECRETO SUPREMO  N° 173-2026-EF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un gobierno regional y de diversos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16 200 000,00 (DIECISÉIS MILLONES DOSCIENTOS MIL Y 00/100 SOLES), por la fuente de financiamiento Recursos Ordinarios, a favor de ciento cincuenta y siete (157) gobiernos locales y un (01) gobierno regional, para financiar ciento cincuenta y ocho (158) intervenciones priorizadas en el Acta Nº 57 de la Comisión Multisectorial del Fondo para intervenciones ante la ocurrencia de desastres naturales (FONDES), con cargo a los recursos del presupuesto institucional del Instituto Nacional de Defensa Civil (INDECI), en el marco de lo dispuesto en…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359 257 869,00 · S/ 16 200 000,00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4.  DECRETO SUPREMO  N° 174-2026-EF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locales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7 169 994,00 (SIETE MILLONES CIENTO SESENTA Y NUEVE MIL NOVECIENTOS NOVENTA Y CUATRO Y 00/100 SOLES), por la fuente de financiamiento Recursos Ordinarios, con cargo a los recursos del presupuesto institucional del Ministerio de Vivienda, Construcción y Saneamiento, a favor de novecientos cuarenta y cuatro (944) gobiernos locales, para financiar la adquisición de insumos de cloración (hipoclorito de calcio y reactivos DPD) para trece mil setecientos noventa y cuatro (13 794) Sistemas de Agua Potable (SAP) de los departamentos de Amazonas,…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7 169 994,00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5.  DECRETO SUPREMO  N° 175-2026-EF</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autoriza Transferencia de Partidas en el Presupuesto del Sector Público para el Año Fiscal 2026 a favor de diversos gobiernos regionales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1.1. Se autoriza una Transferencia de Partidas en el Presupuesto del Sector Público para el Año Fiscal 2026, hasta por la suma de S/ 876 000,00 (OCHOCIENTOS SETENTA Y SEIS MIL Y 00/100 SOLES) , a favor de diversos gobiernos regionales, para financiar la sostenibilidad del pago de la bonificación económica por otorgamiento correspondiente a los condecorados con las Palmas Magisteriales hasta el año 2024, en el marco del literal f) del numeral 82.1 del artículo 82 de la Ley Nº 32513, Ley de Presupuesto del Sector Público para el Año Fiscal 2026, con cargo a los recursos del presupuesto institucional del Ministerio de Educación, de acuerdo con el siguiente detalle: DE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587 272 027,00 · S/ 876 000,00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7">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6.  DECRETO SUPREMO  N° 012-2026-TR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transferencia financiera del aporte total del Programa Llamkasun Perú a favor de la Municipalidad Distrital de Villa El Salvador en virtud del Convenio de Ejecución de Actividad de Intervención Inmediata (AII-93) y en el marco del Decreto Supremo N° 117-2026-PCM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Autorizar la transferencia financiera del Programa de Empleo Temporal “Llamkasun Perú” a favor de la Municipalidad Distrital de Villa El Salvador, con quien se ha suscrito un (01) convenio con el objeto de financiar la ejecución de una actividad de intervención inmediata (AII-93), en el marco del Decreto Supremo Nº117-2026-PCM, Decreto Supremo que declara el Estado de Emergencia en los distritos de Villa El Salvador y de Villa María del Triunfo de la provincia y departamento de Lima, por impacto de daños a consecuencia de aniegos por lloviznas persistentes; por el importe total de S/ 147 418,00 (Ciento Cuarenta y Siete Mil Cuatrocientos Dieciocho y 00/100 Soles),…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147 418,00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6">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9">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2.3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7.  ACUERDO  N° 000394-2026-GR.LAMB/CR [516097481 - 87]</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GOBIERNO REGIONAL DE LAMBAYEQUE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la Actualización del Informe Multianual de Inversiones en Asociaciones Público Privadas (IMIAPP) 2026 - 2028 del Gobierno Regional Lambayeque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Primero.- APROBAR la Actualización del Informe Multianual de Inversiones en Asociaciones Público Privadas (IMIAPP) 2026 - 2028 del Gobierno Regional Lambayeque, el mismo que en detalle se encuentran en los informes técnicos que obran en el expediente con registro SISGEDO 516097481. Artículo Segundo.- REMITIR copia del presente Acuerdo Regional y sus anexos que forman parte del presente a la Dirección General de Política de Promoción de la Inversión Privada del Ministerio de Economía y Finanzas dentro del plazo de cinco (5) días hábiles posteriores a la aprobación del presente acuerdo. Artículo Tercero.- NOTIFICAR al Gobernador Regional Lambayeque, Gerencia General Regional y a las…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7">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8.  RESOLUCIÓN MINISTERIAL N° 359-2026-VIVIENDA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VIVIENDA, CONSTRUCCIÓN Y SANEAMIENTO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04/09/2026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Aprobar las “Disposiciones sectoriales para el Servicio de Implementación Integral de Módulos Temporales de Vivienda mediante el mecanismo de Obras por Impuestos, en el marco del Decreto de Urgencia N° 009-2026, Decreto de Urgencia que dicta medidas extraordinarias y temporales para la ejecución de intervenciones de mejoramiento de viviendas rurales y Obras por Impuestos, a consecuencia del sismo ocurrido en diversos distritos de las provincias de Chupaca y Huancayo en el departamento de Junín”, que como Anexo forman parte integrante de la presente Resolución Ministerial. Artículo 2.- Ámbito de aplicación Las disposiciones aprobadas en el artículo precedente son…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8">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3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3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3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023-1" TargetMode="External"/><Relationship Id="rId12" Type="http://schemas.openxmlformats.org/officeDocument/2006/relationships/hyperlink" Target="https://busquedas.elperuano.pe/api/visor_html/2550625-1" TargetMode="External"/><Relationship Id="rId13" Type="http://schemas.openxmlformats.org/officeDocument/2006/relationships/hyperlink" Target="https://busquedas.elperuano.pe/api/visor_html/2550846-1" TargetMode="External"/><Relationship Id="rId14" Type="http://schemas.openxmlformats.org/officeDocument/2006/relationships/hyperlink" Target="https://busquedas.elperuano.pe/api/visor_html/2550846-2" TargetMode="External"/><Relationship Id="rId15" Type="http://schemas.openxmlformats.org/officeDocument/2006/relationships/hyperlink" Target="https://busquedas.elperuano.pe/api/visor_html/2550846-3" TargetMode="External"/><Relationship Id="rId16" Type="http://schemas.openxmlformats.org/officeDocument/2006/relationships/hyperlink" Target="https://busquedas.elperuano.pe/api/visor_html/2550846-4" TargetMode="External"/><Relationship Id="rId17" Type="http://schemas.openxmlformats.org/officeDocument/2006/relationships/hyperlink" Target="https://busquedas.elperuano.pe/api/visor_html/2550492-1" TargetMode="External"/><Relationship Id="rId18" Type="http://schemas.openxmlformats.org/officeDocument/2006/relationships/hyperlink" Target="https://busquedas.elperuano.pe/api/visor_html/2551219-1" TargetMode="External"/><Relationship Id="rId19" Type="http://schemas.openxmlformats.org/officeDocument/2006/relationships/hyperlink" Target="https://busquedas.elperuano.pe/dispositivo/EX/2551023-1" TargetMode="External"/><Relationship Id="rId20" Type="http://schemas.openxmlformats.org/officeDocument/2006/relationships/hyperlink" Target="https://busquedas.elperuano.pe/dispositivo/EX/2551023-1/pdf" TargetMode="External"/><Relationship Id="rId21" Type="http://schemas.openxmlformats.org/officeDocument/2006/relationships/hyperlink" Target="https://epdoc2.elperuano.pe/EpPo/VistaNLSE.asp?Referencias=MjU1MDYyNS0xMjAyNjA5MDQ=" TargetMode="External"/><Relationship Id="rId22" Type="http://schemas.openxmlformats.org/officeDocument/2006/relationships/hyperlink" Target="https://busquedas.elperuano.pe/dispositivo/NL/2550846-1" TargetMode="External"/><Relationship Id="rId23" Type="http://schemas.openxmlformats.org/officeDocument/2006/relationships/hyperlink" Target="https://busquedas.elperuano.pe/dispositivo/NL/2550846-1/pdf" TargetMode="External"/><Relationship Id="rId24" Type="http://schemas.openxmlformats.org/officeDocument/2006/relationships/hyperlink" Target="https://busquedas.elperuano.pe/dispositivo/NL/2550846-2" TargetMode="External"/><Relationship Id="rId25" Type="http://schemas.openxmlformats.org/officeDocument/2006/relationships/hyperlink" Target="https://busquedas.elperuano.pe/dispositivo/NL/2550846-2/pdf" TargetMode="External"/><Relationship Id="rId26" Type="http://schemas.openxmlformats.org/officeDocument/2006/relationships/hyperlink" Target="https://busquedas.elperuano.pe/dispositivo/NL/2550846-3" TargetMode="External"/><Relationship Id="rId27" Type="http://schemas.openxmlformats.org/officeDocument/2006/relationships/hyperlink" Target="https://busquedas.elperuano.pe/dispositivo/NL/2550846-3/pdf" TargetMode="External"/><Relationship Id="rId28" Type="http://schemas.openxmlformats.org/officeDocument/2006/relationships/hyperlink" Target="https://busquedas.elperuano.pe/dispositivo/NL/2550846-4" TargetMode="External"/><Relationship Id="rId29" Type="http://schemas.openxmlformats.org/officeDocument/2006/relationships/hyperlink" Target="https://busquedas.elperuano.pe/dispositivo/NL/2550846-4/pdf" TargetMode="External"/><Relationship Id="rId30" Type="http://schemas.openxmlformats.org/officeDocument/2006/relationships/hyperlink" Target="https://busquedas.elperuano.pe/dispositivo/NL/2550492-1" TargetMode="External"/><Relationship Id="rId31" Type="http://schemas.openxmlformats.org/officeDocument/2006/relationships/hyperlink" Target="https://busquedas.elperuano.pe/dispositivo/NL/2550492-1/pdf" TargetMode="External"/><Relationship Id="rId32" Type="http://schemas.openxmlformats.org/officeDocument/2006/relationships/hyperlink" Target="https://busquedas.elperuano.pe/dispositivo/EX/2551219-1" TargetMode="External"/><Relationship Id="rId33" Type="http://schemas.openxmlformats.org/officeDocument/2006/relationships/hyperlink" Target="https://busquedas.elperuano.pe/dispositivo/EX/2551219-1/pdf" TargetMode="External"/><Relationship Id="rId3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