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Arial" w:hAnsi="Arial" w:eastAsia="Arial"/>
          <w:b/>
          <w:i w:val="0"/>
          <w:color w:val="0A2F5C"/>
          <w:sz w:val="36"/>
        </w:rPr>
        <w:t>RESUMEN DE NORMAS LEGALES</w:t>
      </w:r>
    </w:p>
    <w:p>
      <w:pPr>
        <w:spacing w:before="0" w:after="40" w:line="276" w:lineRule="auto"/>
        <w:jc w:val="center"/>
      </w:pPr>
      <w:r>
        <w:rPr>
          <w:rFonts w:ascii="Arial" w:hAnsi="Arial" w:eastAsia="Arial"/>
          <w:b w:val="0"/>
          <w:i w:val="0"/>
          <w:color w:val="5B6880"/>
          <w:sz w:val="21"/>
        </w:rPr>
        <w:t>Diario Oficial El Peruano · Sábado 5 de septiembre de 2026</w:t>
      </w:r>
    </w:p>
    <w:p>
      <w:pPr>
        <w:spacing w:before="0" w:after="200" w:line="276" w:lineRule="auto"/>
        <w:pBdr>
          <w:bottom w:val="single" w:sz="18" w:space="1" w:color="0A2F5C"/>
        </w:pBdr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Periodo revisado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05/09/2026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Fecha de elaboración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27/10/2026 10:58</w:t>
            </w:r>
          </w:p>
        </w:tc>
      </w:tr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publicadas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127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de interés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5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1. RESUMEN EJECUTIVO</w:t>
      </w:r>
    </w:p>
    <w:p>
      <w:pPr>
        <w:spacing w:before="0" w:after="160" w:line="276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De las 127 normas publicadas en el periodo, 5 resultan de interés institucional: 4 de normatividad presupuestal y 1 de inversiones. No se identificaron normas que involucren a la ATU. El Cuadro 1 presenta la relación completa y la sección 2, el detalle de cada norma.</w:t>
      </w:r>
    </w:p>
    <w:p>
      <w:pPr>
        <w:keepNext/>
        <w:spacing w:before="80" w:after="60" w:line="276" w:lineRule="auto"/>
      </w:pPr>
      <w:r>
        <w:rPr>
          <w:rFonts w:ascii="Arial" w:hAnsi="Arial" w:eastAsia="Arial"/>
          <w:b/>
          <w:i w:val="0"/>
          <w:color w:val="0A2F5C"/>
          <w:sz w:val="18"/>
        </w:rPr>
        <w:t>Cuadro 1. Normas de interés identificadas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56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N.°</w:t>
            </w:r>
          </w:p>
        </w:tc>
        <w:tc>
          <w:tcPr>
            <w:tcW w:type="dxa" w:w="2835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Norma y entidad emisora</w:t>
            </w:r>
          </w:p>
        </w:tc>
        <w:tc>
          <w:tcPr>
            <w:tcW w:type="dxa" w:w="4762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Sumilla</w:t>
            </w:r>
          </w:p>
        </w:tc>
        <w:tc>
          <w:tcPr>
            <w:tcW w:type="dxa" w:w="124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Publicación</w:t>
            </w:r>
          </w:p>
        </w:tc>
      </w:tr>
      <w:tr>
        <w:trPr>
          <w:cantSplit/>
        </w:trPr>
        <w:tc>
          <w:tcPr>
            <w:tcW w:type="dxa" w:w="1247"/>
            <w:gridSpan w:val="4"/>
            <w:shd w:val="clear" w:color="auto" w:fill="F2F5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NORMATIVIDAD PRESUPUESTAL  (4)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1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DECRETO SUPREMO  N° 178-2026-EF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ECONOMÍA Y FINANZAS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Decreto Supremo que autoriza Transferencia de Partidas en el Presupuesto del Sector Público para el Año Fiscal 2026 a favor del Ministerio de Desarrollo Agrario y Riego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05/09/2026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2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2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DECRETO SUPREMO  N° 176-2026-EF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ECONOMÍA Y FINANZAS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Decreto Supremo que autoriza Transferencia de Partidas en el Presupuesto del Sector Público para el Año Fiscal 2026 a favor del Ministerio de Relaciones Exteriores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05/09/2026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3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3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DECRETO SUPREMO  N° 177-2026-EF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ECONOMÍA Y FINANZAS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Decreto Supremo que autoriza Transferencia de Partidas en el Presupuesto del Sector Público para el Año Fiscal 2026 a favor de la Reserva de Contingencia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05/09/2026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4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4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RESOLUCIÓN MINISTERIAL  N° 000493-2026-MIMP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MUJER Y POBLACIONES VULNERABLES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Aprueban Transferencia Financiera a favor de la Contraloría General de la República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05/09/2026</w:t>
            </w:r>
          </w:p>
        </w:tc>
      </w:tr>
      <w:tr>
        <w:trPr>
          <w:cantSplit/>
        </w:trPr>
        <w:tc>
          <w:tcPr>
            <w:tcW w:type="dxa" w:w="1247"/>
            <w:gridSpan w:val="4"/>
            <w:shd w:val="clear" w:color="auto" w:fill="F2F5FA"/>
            <w:tcBorders>
              <w:left w:val="single" w:sz="30" w:space="0" w:color="1BAF7A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INVERSIONES  (1)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5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5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ACUERDO  N° 160-2026-GRA/CR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GOBIERNO REGIONAL DE ANCASH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Aprueban la lista de priorización de las intervenciones a ser ejecutadas en el marco del mecanismo previsto en la Ley N.º 29230 Ley que impulsa la inversión pública regional y local con participación del sector privado y su Reglamento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05/09/2026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2. DETALLE DE LAS NORMAS</w:t>
      </w:r>
    </w:p>
    <w:p>
      <w:pPr>
        <w:keepNext/>
        <w:spacing w:before="160" w:after="80" w:line="276" w:lineRule="auto"/>
      </w:pPr>
      <w:r>
        <w:rPr>
          <w:rFonts w:ascii="Arial" w:hAnsi="Arial" w:eastAsia="Arial"/>
          <w:b/>
          <w:i w:val="0"/>
          <w:color w:val="0B5CAD"/>
          <w:sz w:val="21"/>
        </w:rPr>
        <w:t>2.1  Normatividad presupuestal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1.  DECRETO SUPREMO  N° 178-2026-EF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ECONOMÍA Y FINANZAS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05/09/2026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Normatividad presupuestal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Decreto Supremo que autoriza Transferencia de Partidas en el Presupuesto del Sector Público para el Año Fiscal 2026 a favor del Ministerio de Desarrollo Agrario y Riego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1.- Objeto 1.1 Se autoriza una Transferencia de Partidas en el Presupuesto del Sector Público para el Año Fiscal 2026, hasta por la suma de S/ 346 844 530,00 (TRESCIENTOS CUARENTA Y SEIS MILLONES OCHOCIENTOS CUARENTA Y CUATRO MIL QUINIENTOS TREINTA Y 00/100 SOLES), por la fuente de financiamiento Recursos Ordinarios, a favor del Ministerio de Desarrollo Agrario y Riego, para financiar actividades de preparación y respuesta frente a los efectos del peligro inminente ante déficit hídrico asociado al Fenómeno El Niño 2026-2027, así como los gastos operativos y acciones de gestión vinculados a su ejecución e implementación, con cargo a la Reserva de Contingencia del Ministerio de…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Montos citados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S/ 346 844 530,00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6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7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2.  DECRETO SUPREMO  N° 176-2026-EF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ECONOMÍA Y FINANZAS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05/09/2026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Normatividad presupuestal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Decreto Supremo que autoriza Transferencia de Partidas en el Presupuesto del Sector Público para el Año Fiscal 2026 a favor del Ministerio de Relaciones Exteriores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1.- Objeto Se autoriza una Transferencia de Partidas en el Presupuesto del Sector Público para el Año Fiscal 2026, hasta por la suma de S/ 63 220 991,00 (SESENTA Y TRES MILLONES DOSCIENTOS VEINTE MIL NOVECIENTOS NOVENTA Y UNO Y 00/100 SOLES), por la fuente de financiamiento Recursos Ordinarios, a favor del Ministerio de Relaciones Exteriores, para financiar los gastos de atención para la visita al Perú de Su Santidad el Papa León XIV, a realizarse del 11 al 17 de noviembre del año 2026, con cargo a los recursos de la Reserva de Contingencia del Ministerio de Economía y Finanzas, de acuerdo con el siguiente detalle: DE LA: En Soles SECCIÓN PRIMERA : Gobierno Central PLIEGO 009 : M.…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Montos citados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S/ 63 220 991,00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2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8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9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3.  DECRETO SUPREMO  N° 177-2026-EF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ECONOMÍA Y FINANZAS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05/09/2026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Normatividad presupuestal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Decreto Supremo que autoriza Transferencia de Partidas en el Presupuesto del Sector Público para el Año Fiscal 2026 a favor de la Reserva de Contingencia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1.- Transferencia de Partidas a favor de la Reserva de Contingencia Se autoriza una Transferencia de Partidas en el Presupuesto del Sector Público para el Año Fiscal 2026, hasta por la suma de S/ 100 000 000,00 (CIEN MILLONES Y 00/100 SOLES), por la fuente de financiamiento Recursos Ordinarios, a favor de la Reserva de Contingencia del Ministerio de Economía y Finanzas, con cargo a los recursos del presupuesto institucional de la Oficina de Normalización Previsional, en el marco de la Décima Cuarta Disposición Complementaria Final de la Ley N° 32513, Ley de Presupuesto del Sector Público para el Año Fiscal 2026, de acuerdo con el siguiente detalle: DE LA: En Soles SECCIÓN PRIMERA :…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Montos citados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S/ 100 000 000,00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3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20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21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4.  RESOLUCIÓN MINISTERIAL  N° 000493-2026-MIMP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MUJER Y POBLACIONES VULNERABLES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05/09/2026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Normatividad presupuestal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Aprueban Transferencia Financiera a favor de la Contraloría General de la República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1.- Transferencia Financiera a favor de la Contraloría General de la República Aprobar la Transferencia Financiera, con cargo al Presupuesto Institucional 2026 del Pliego 039: Ministerio de la Mujer y Poblaciones Vulnerables, hasta por la suma de S/ 44 486,00 (CUARENTA Y CUATRO MIL CUATROCIENTOS OCHENTA Y SEIS Y 00/100 SOLES), a favor del Pliego 019: Contraloría General, para financiar la auditoría financiera gubernamental a la intervención “Promoviendo la igualdad entre hombres y mujeres en la administración pública en Perú” por el periodo comprendido del 29 de diciembre de 2023 al 28 de diciembre de 2025. Artículo 2.- Financiamiento La transferencia financiera autorizada en el…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Montos citados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S/ 44 486,00 · S/ 2 262,00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4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22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23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p>
      <w:pPr>
        <w:keepNext/>
        <w:spacing w:before="160" w:after="80" w:line="276" w:lineRule="auto"/>
      </w:pPr>
      <w:r>
        <w:rPr>
          <w:rFonts w:ascii="Arial" w:hAnsi="Arial" w:eastAsia="Arial"/>
          <w:b/>
          <w:i w:val="0"/>
          <w:color w:val="0B5CAD"/>
          <w:sz w:val="21"/>
        </w:rPr>
        <w:t>2.2  Inversiones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1BAF7A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5.  ACUERDO  N° 160-2026-GRA/CR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GOBIERNO REGIONAL DE ANCASH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05/09/2026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Inversiones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Aprueban la lista de priorización de las intervenciones a ser ejecutadas en el marco del mecanismo previsto en la Ley N.º 29230 Ley que impulsa la inversión pública regional y local con participación del sector privado y su Reglamento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Primero.- ACUMULAR los expedientes administrativos signados con número de trámite: I26106004, I26106008, I26106012, I26107454, I26108317 y I26109676; que corresponden a los requerimientos de priorización de intervenciones, bajo el mecanismo de obras por impuestos. Artículo Segundo.- APROBAR la lista de priorización de las intervenciones a ser ejecutadas en el marco del mecanismo previsto en la Ley N° 29230, Ley que impulsa la inversión pública regional y local con participación del sector privado y su Reglamento, aprobado por el Decreto Supremo N° 038-2026-EF, conforme al siguiente detalle: N° NOMBRE DE LA(S) INVERSIONES(S) Y/O ACTIVIDADES DE OPERACIÓN Y/O MANTENIMIENTO CÓDIGO…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Montos citados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S/ 320,638,526.08 · S/ 386,381,362.89 · S/ 1,243,978,964.65 · S/ 87,169,794.38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5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24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25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p>
      <w:pPr>
        <w:spacing w:before="200" w:after="0" w:line="276" w:lineRule="auto"/>
        <w:jc w:val="both"/>
        <w:pBdr>
          <w:top w:val="single" w:sz="4" w:space="4" w:color="C9D2DF"/>
        </w:pBdr>
      </w:pPr>
      <w:r>
        <w:rPr>
          <w:rFonts w:ascii="Arial" w:hAnsi="Arial" w:eastAsia="Arial"/>
          <w:b/>
          <w:i w:val="0"/>
          <w:color w:val="5B6880"/>
          <w:sz w:val="15"/>
        </w:rPr>
        <w:t xml:space="preserve">Nota metodológica: </w:t>
      </w:r>
      <w:r>
        <w:rPr>
          <w:rFonts w:ascii="Arial" w:hAnsi="Arial" w:eastAsia="Arial"/>
          <w:b w:val="0"/>
          <w:i w:val="0"/>
          <w:color w:val="5B6880"/>
          <w:sz w:val="15"/>
        </w:rPr>
        <w:t xml:space="preserve">se revisan todas las normas publicadas en el Diario Oficial El Peruano en el periodo. Una norma se selecciona cuando su entidad, título o sumilla contiene alguno de los términos definidos para cada tema, o cuando su texto completo menciona a la ATU. Los criterios pueden consultarse y editarse en el panel: </w:t>
      </w:r>
      <w:hyperlink r:id="rId26">
        <w:r>
          <w:rPr>
            <w:rFonts w:ascii="Arial" w:hAnsi="Arial" w:eastAsia="Arial" w:cs="Arial"/>
            <w:color w:val="0B5CAD"/>
            <w:sz w:val="15"/>
            <w:u w:val="single"/>
          </w:rPr>
          <w:t xml:space="preserve">reneearmasr.github.io/monitor-normas-elperuano</w:t>
        </w:r>
      </w:hyperlink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9411" w:val="right"/>
      </w:tabs>
      <w:pBdr>
        <w:top w:val="single" w:sz="6" w:space="4" w:color="C9D2DF"/>
      </w:pBdr>
    </w:pPr>
    <w:r>
      <w:rPr>
        <w:rFonts w:ascii="Arial" w:hAnsi="Arial" w:eastAsia="Arial"/>
        <w:b w:val="0"/>
        <w:i w:val="0"/>
        <w:color w:val="5B6880"/>
        <w:sz w:val="15"/>
      </w:rPr>
      <w:t>Fuente: Diario Oficial El Peruano · Elaboración automática</w:t>
    </w:r>
    <w:r>
      <w:rPr>
        <w:rFonts w:ascii="Arial" w:hAnsi="Arial" w:eastAsia="Arial"/>
        <w:b w:val="0"/>
        <w:i w:val="0"/>
        <w:color w:val="5B6880"/>
        <w:sz w:val="15"/>
      </w:rPr>
      <w:tab/>
      <w:t xml:space="preserve">Página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" w:hAnsi="Arial" w:eastAsia="Arial"/>
        <w:b w:val="0"/>
        <w:i w:val="0"/>
        <w:color w:val="5B6880"/>
        <w:sz w:val="15"/>
      </w:rPr>
      <w:t xml:space="preserve"> de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680" w:val="clear"/>
        <w:tab w:pos="9360" w:val="clear"/>
        <w:tab w:pos="9411" w:val="right"/>
      </w:tabs>
      <w:pBdr>
        <w:bottom w:val="single" w:sz="8" w:space="4" w:color="0A2F5C"/>
      </w:pBdr>
    </w:pPr>
    <w:r>
      <w:rPr>
        <w:rFonts w:ascii="Arial" w:hAnsi="Arial" w:eastAsia="Arial"/>
        <w:b/>
        <w:i w:val="0"/>
        <w:color w:val="0A2F5C"/>
        <w:sz w:val="15"/>
      </w:rPr>
      <w:t>AUTORIDAD DE TRANSPORTE URBANO PARA LIMA Y CALLAO</w:t>
    </w:r>
    <w:r>
      <w:rPr>
        <w:rFonts w:ascii="Arial" w:hAnsi="Arial" w:eastAsia="Arial"/>
        <w:b w:val="0"/>
        <w:i w:val="0"/>
        <w:color w:val="5B6880"/>
        <w:sz w:val="15"/>
      </w:rPr>
      <w:tab/>
      <w:t>Monitor de Normas Legales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busquedas.elperuano.pe/api/visor_html/2551404-5" TargetMode="External"/><Relationship Id="rId12" Type="http://schemas.openxmlformats.org/officeDocument/2006/relationships/hyperlink" Target="https://busquedas.elperuano.pe/api/visor_html/2551403-1" TargetMode="External"/><Relationship Id="rId13" Type="http://schemas.openxmlformats.org/officeDocument/2006/relationships/hyperlink" Target="https://busquedas.elperuano.pe/api/visor_html/2551403-2" TargetMode="External"/><Relationship Id="rId14" Type="http://schemas.openxmlformats.org/officeDocument/2006/relationships/hyperlink" Target="https://busquedas.elperuano.pe/api/visor_html/2551402-1" TargetMode="External"/><Relationship Id="rId15" Type="http://schemas.openxmlformats.org/officeDocument/2006/relationships/hyperlink" Target="https://busquedas.elperuano.pe/api/visor_html/2551395-1" TargetMode="External"/><Relationship Id="rId16" Type="http://schemas.openxmlformats.org/officeDocument/2006/relationships/hyperlink" Target="https://busquedas.elperuano.pe/dispositivo/NL/2551404-5" TargetMode="External"/><Relationship Id="rId17" Type="http://schemas.openxmlformats.org/officeDocument/2006/relationships/hyperlink" Target="https://busquedas.elperuano.pe/dispositivo/NL/2551404-5/pdf" TargetMode="External"/><Relationship Id="rId18" Type="http://schemas.openxmlformats.org/officeDocument/2006/relationships/hyperlink" Target="https://busquedas.elperuano.pe/dispositivo/NL/2551403-1" TargetMode="External"/><Relationship Id="rId19" Type="http://schemas.openxmlformats.org/officeDocument/2006/relationships/hyperlink" Target="https://busquedas.elperuano.pe/dispositivo/NL/2551403-1/pdf" TargetMode="External"/><Relationship Id="rId20" Type="http://schemas.openxmlformats.org/officeDocument/2006/relationships/hyperlink" Target="https://busquedas.elperuano.pe/dispositivo/NL/2551403-2" TargetMode="External"/><Relationship Id="rId21" Type="http://schemas.openxmlformats.org/officeDocument/2006/relationships/hyperlink" Target="https://busquedas.elperuano.pe/dispositivo/NL/2551403-2/pdf" TargetMode="External"/><Relationship Id="rId22" Type="http://schemas.openxmlformats.org/officeDocument/2006/relationships/hyperlink" Target="https://busquedas.elperuano.pe/dispositivo/NL/2551402-1" TargetMode="External"/><Relationship Id="rId23" Type="http://schemas.openxmlformats.org/officeDocument/2006/relationships/hyperlink" Target="https://busquedas.elperuano.pe/dispositivo/NL/2551402-1/pdf" TargetMode="External"/><Relationship Id="rId24" Type="http://schemas.openxmlformats.org/officeDocument/2006/relationships/hyperlink" Target="https://busquedas.elperuano.pe/dispositivo/NL/2551395-1" TargetMode="External"/><Relationship Id="rId25" Type="http://schemas.openxmlformats.org/officeDocument/2006/relationships/hyperlink" Target="https://busquedas.elperuano.pe/dispositivo/NL/2551395-1/pdf" TargetMode="External"/><Relationship Id="rId26" Type="http://schemas.openxmlformats.org/officeDocument/2006/relationships/hyperlink" Target="https://reneearmasr.github.io/monitor-normas-elperuan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