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Arial" w:hAnsi="Arial" w:eastAsia="Arial"/>
          <w:b/>
          <w:i w:val="0"/>
          <w:color w:val="0A2F5C"/>
          <w:sz w:val="36"/>
        </w:rPr>
        <w:t>RESUMEN DE NORMAS LEGALES</w:t>
      </w:r>
    </w:p>
    <w:p>
      <w:pPr>
        <w:spacing w:before="0" w:after="40" w:line="276" w:lineRule="auto"/>
        <w:jc w:val="center"/>
      </w:pPr>
      <w:r>
        <w:rPr>
          <w:rFonts w:ascii="Arial" w:hAnsi="Arial" w:eastAsia="Arial"/>
          <w:b w:val="0"/>
          <w:i w:val="0"/>
          <w:color w:val="5B6880"/>
          <w:sz w:val="21"/>
        </w:rPr>
        <w:t>Diario Oficial El Peruano · Martes 8 de septiembre de 2026</w:t>
      </w:r>
    </w:p>
    <w:p>
      <w:pPr>
        <w:spacing w:before="0" w:after="200" w:line="276" w:lineRule="auto"/>
        <w:pBdr>
          <w:bottom w:val="single" w:sz="18" w:space="1" w:color="0A2F5C"/>
        </w:pBdr>
      </w:pP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c>
          <w:tcPr>
            <w:tcW w:type="dxa" w:w="2041"/>
            <w:shd w:val="clear" w:color="auto" w:fill="F2F5FA"/>
          </w:tcPr>
          <w:p>
            <w:pPr>
              <w:spacing w:before="20" w:after="20" w:line="264" w:lineRule="auto"/>
            </w:pPr>
            <w:r>
              <w:rPr>
                <w:rFonts w:ascii="Arial" w:hAnsi="Arial" w:eastAsia="Arial"/>
                <w:b/>
                <w:i w:val="0"/>
                <w:color w:val="0A2F5C"/>
                <w:sz w:val="17"/>
              </w:rPr>
              <w:t>Periodo revisado</w:t>
            </w:r>
          </w:p>
        </w:tc>
        <w:tc>
          <w:tcPr>
            <w:tcW w:type="dxa" w:w="2665"/>
          </w:tcPr>
          <w:p>
            <w:pPr>
              <w:spacing w:before="20" w:after="20" w:line="264" w:lineRule="auto"/>
            </w:pPr>
            <w:r>
              <w:rPr>
                <w:rFonts w:ascii="Arial" w:hAnsi="Arial" w:eastAsia="Arial"/>
                <w:b w:val="0"/>
                <w:i w:val="0"/>
                <w:sz w:val="19"/>
              </w:rPr>
              <w:t>08/09/2026</w:t>
            </w:r>
          </w:p>
        </w:tc>
        <w:tc>
          <w:tcPr>
            <w:tcW w:type="dxa" w:w="2041"/>
            <w:shd w:val="clear" w:color="auto" w:fill="F2F5FA"/>
          </w:tcPr>
          <w:p>
            <w:pPr>
              <w:spacing w:before="20" w:after="20" w:line="264" w:lineRule="auto"/>
            </w:pPr>
            <w:r>
              <w:rPr>
                <w:rFonts w:ascii="Arial" w:hAnsi="Arial" w:eastAsia="Arial"/>
                <w:b/>
                <w:i w:val="0"/>
                <w:color w:val="0A2F5C"/>
                <w:sz w:val="17"/>
              </w:rPr>
              <w:t>Fecha de elaboración</w:t>
            </w:r>
          </w:p>
        </w:tc>
        <w:tc>
          <w:tcPr>
            <w:tcW w:type="dxa" w:w="2665"/>
          </w:tcPr>
          <w:p>
            <w:pPr>
              <w:spacing w:before="20" w:after="20" w:line="264" w:lineRule="auto"/>
            </w:pPr>
            <w:r>
              <w:rPr>
                <w:rFonts w:ascii="Arial" w:hAnsi="Arial" w:eastAsia="Arial"/>
                <w:b w:val="0"/>
                <w:i w:val="0"/>
                <w:sz w:val="19"/>
              </w:rPr>
              <w:t>27/10/2026 10:58</w:t>
            </w:r>
          </w:p>
        </w:tc>
      </w:tr>
      <w:tr>
        <w:tc>
          <w:tcPr>
            <w:tcW w:type="dxa" w:w="2041"/>
            <w:shd w:val="clear" w:color="auto" w:fill="F2F5FA"/>
          </w:tcPr>
          <w:p>
            <w:pPr>
              <w:spacing w:before="20" w:after="20" w:line="264" w:lineRule="auto"/>
            </w:pPr>
            <w:r>
              <w:rPr>
                <w:rFonts w:ascii="Arial" w:hAnsi="Arial" w:eastAsia="Arial"/>
                <w:b/>
                <w:i w:val="0"/>
                <w:color w:val="0A2F5C"/>
                <w:sz w:val="17"/>
              </w:rPr>
              <w:t>Normas publicadas</w:t>
            </w:r>
          </w:p>
        </w:tc>
        <w:tc>
          <w:tcPr>
            <w:tcW w:type="dxa" w:w="2665"/>
          </w:tcPr>
          <w:p>
            <w:pPr>
              <w:spacing w:before="20" w:after="20" w:line="264" w:lineRule="auto"/>
            </w:pPr>
            <w:r>
              <w:rPr>
                <w:rFonts w:ascii="Arial" w:hAnsi="Arial" w:eastAsia="Arial"/>
                <w:b w:val="0"/>
                <w:i w:val="0"/>
                <w:sz w:val="19"/>
              </w:rPr>
              <w:t>66</w:t>
            </w:r>
          </w:p>
        </w:tc>
        <w:tc>
          <w:tcPr>
            <w:tcW w:type="dxa" w:w="2041"/>
            <w:shd w:val="clear" w:color="auto" w:fill="F2F5FA"/>
          </w:tcPr>
          <w:p>
            <w:pPr>
              <w:spacing w:before="20" w:after="20" w:line="264" w:lineRule="auto"/>
            </w:pPr>
            <w:r>
              <w:rPr>
                <w:rFonts w:ascii="Arial" w:hAnsi="Arial" w:eastAsia="Arial"/>
                <w:b/>
                <w:i w:val="0"/>
                <w:color w:val="0A2F5C"/>
                <w:sz w:val="17"/>
              </w:rPr>
              <w:t>Normas de interés</w:t>
            </w:r>
          </w:p>
        </w:tc>
        <w:tc>
          <w:tcPr>
            <w:tcW w:type="dxa" w:w="2665"/>
          </w:tcPr>
          <w:p>
            <w:pPr>
              <w:spacing w:before="20" w:after="20" w:line="264" w:lineRule="auto"/>
            </w:pPr>
            <w:r>
              <w:rPr>
                <w:rFonts w:ascii="Arial" w:hAnsi="Arial" w:eastAsia="Arial"/>
                <w:b/>
                <w:i w:val="0"/>
                <w:color w:val="0A2F5C"/>
                <w:sz w:val="19"/>
              </w:rPr>
              <w:t>2</w:t>
            </w:r>
          </w:p>
        </w:tc>
      </w:tr>
    </w:tbl>
    <w:p>
      <w:pPr>
        <w:spacing w:before="280" w:after="120" w:line="276" w:lineRule="auto"/>
        <w:keepNext/>
        <w:pBdr>
          <w:bottom w:val="single" w:sz="6" w:space="2" w:color="C9D2DF"/>
        </w:pBdr>
      </w:pPr>
      <w:r>
        <w:rPr>
          <w:rFonts w:ascii="Arial" w:hAnsi="Arial" w:eastAsia="Arial"/>
          <w:b/>
          <w:i w:val="0"/>
          <w:color w:val="0A2F5C"/>
          <w:sz w:val="22"/>
        </w:rPr>
        <w:t>1. RESUMEN EJECUTIVO</w:t>
      </w:r>
    </w:p>
    <w:p>
      <w:pPr>
        <w:spacing w:before="0" w:after="160" w:line="276" w:lineRule="auto"/>
        <w:jc w:val="both"/>
      </w:pPr>
      <w:r>
        <w:rPr>
          <w:rFonts w:ascii="Arial" w:hAnsi="Arial" w:eastAsia="Arial"/>
          <w:b w:val="0"/>
          <w:i w:val="0"/>
          <w:sz w:val="20"/>
        </w:rPr>
        <w:t>De las 66 normas publicadas en el periodo, 2 resultan de interés institucional: 1 de normatividad presupuestal y 1 de inversiones. No se identificaron normas que involucren a la ATU. El Cuadro 1 presenta la relación completa y la sección 2, el detalle de cada norma.</w:t>
      </w:r>
    </w:p>
    <w:p>
      <w:pPr>
        <w:keepNext/>
        <w:spacing w:before="80" w:after="60" w:line="276" w:lineRule="auto"/>
      </w:pPr>
      <w:r>
        <w:rPr>
          <w:rFonts w:ascii="Arial" w:hAnsi="Arial" w:eastAsia="Arial"/>
          <w:b/>
          <w:i w:val="0"/>
          <w:color w:val="0A2F5C"/>
          <w:sz w:val="18"/>
        </w:rPr>
        <w:t>Cuadro 1. Normas de interés identificadas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2353"/>
        <w:gridCol w:w="2353"/>
        <w:gridCol w:w="2353"/>
        <w:gridCol w:w="2353"/>
      </w:tblGrid>
      <w:tr>
        <w:trPr>
          <w:cantSplit/>
          <w:tblHeader/>
        </w:trPr>
        <w:tc>
          <w:tcPr>
            <w:tcW w:type="dxa" w:w="567"/>
            <w:shd w:val="clear" w:color="auto" w:fill="0A2F5C"/>
          </w:tcPr>
          <w:p>
            <w:pPr>
              <w:spacing w:before="20" w:after="20" w:line="264" w:lineRule="auto"/>
              <w:jc w:val="center"/>
            </w:pPr>
            <w:r>
              <w:rPr>
                <w:rFonts w:ascii="Arial" w:hAnsi="Arial" w:eastAsia="Arial"/>
                <w:b/>
                <w:i w:val="0"/>
                <w:color w:val="FFFFFF"/>
                <w:sz w:val="17"/>
              </w:rPr>
              <w:t>N.°</w:t>
            </w:r>
          </w:p>
        </w:tc>
        <w:tc>
          <w:tcPr>
            <w:tcW w:type="dxa" w:w="2835"/>
            <w:shd w:val="clear" w:color="auto" w:fill="0A2F5C"/>
          </w:tcPr>
          <w:p>
            <w:pPr>
              <w:spacing w:before="20" w:after="20" w:line="264" w:lineRule="auto"/>
              <w:jc w:val="center"/>
            </w:pPr>
            <w:r>
              <w:rPr>
                <w:rFonts w:ascii="Arial" w:hAnsi="Arial" w:eastAsia="Arial"/>
                <w:b/>
                <w:i w:val="0"/>
                <w:color w:val="FFFFFF"/>
                <w:sz w:val="17"/>
              </w:rPr>
              <w:t>Norma y entidad emisora</w:t>
            </w:r>
          </w:p>
        </w:tc>
        <w:tc>
          <w:tcPr>
            <w:tcW w:type="dxa" w:w="4762"/>
            <w:shd w:val="clear" w:color="auto" w:fill="0A2F5C"/>
          </w:tcPr>
          <w:p>
            <w:pPr>
              <w:spacing w:before="20" w:after="20" w:line="264" w:lineRule="auto"/>
              <w:jc w:val="center"/>
            </w:pPr>
            <w:r>
              <w:rPr>
                <w:rFonts w:ascii="Arial" w:hAnsi="Arial" w:eastAsia="Arial"/>
                <w:b/>
                <w:i w:val="0"/>
                <w:color w:val="FFFFFF"/>
                <w:sz w:val="17"/>
              </w:rPr>
              <w:t>Sumilla</w:t>
            </w:r>
          </w:p>
        </w:tc>
        <w:tc>
          <w:tcPr>
            <w:tcW w:type="dxa" w:w="1247"/>
            <w:shd w:val="clear" w:color="auto" w:fill="0A2F5C"/>
          </w:tcPr>
          <w:p>
            <w:pPr>
              <w:spacing w:before="20" w:after="20" w:line="264" w:lineRule="auto"/>
              <w:jc w:val="center"/>
            </w:pPr>
            <w:r>
              <w:rPr>
                <w:rFonts w:ascii="Arial" w:hAnsi="Arial" w:eastAsia="Arial"/>
                <w:b/>
                <w:i w:val="0"/>
                <w:color w:val="FFFFFF"/>
                <w:sz w:val="17"/>
              </w:rPr>
              <w:t>Publicación</w:t>
            </w:r>
          </w:p>
        </w:tc>
      </w:tr>
      <w:tr>
        <w:trPr>
          <w:cantSplit/>
        </w:trPr>
        <w:tc>
          <w:tcPr>
            <w:tcW w:type="dxa" w:w="1247"/>
            <w:gridSpan w:val="4"/>
            <w:shd w:val="clear" w:color="auto" w:fill="F2F5FA"/>
            <w:tcBorders>
              <w:left w:val="single" w:sz="30" w:space="0" w:color="EB6834"/>
            </w:tcBorders>
          </w:tcPr>
          <w:p>
            <w:pPr>
              <w:spacing w:before="20" w:after="20" w:line="264" w:lineRule="auto"/>
            </w:pPr>
            <w:r>
              <w:rPr>
                <w:rFonts w:ascii="Arial" w:hAnsi="Arial" w:eastAsia="Arial"/>
                <w:b/>
                <w:i w:val="0"/>
                <w:color w:val="0A2F5C"/>
                <w:sz w:val="17"/>
              </w:rPr>
              <w:t>NORMATIVIDAD PRESUPUESTAL  (1)</w:t>
            </w:r>
          </w:p>
        </w:tc>
      </w:tr>
      <w:tr>
        <w:trPr>
          <w:cantSplit/>
        </w:trPr>
        <w:tc>
          <w:tcPr>
            <w:tcW w:type="dxa" w:w="567"/>
          </w:tcPr>
          <w:p>
            <w:pPr>
              <w:spacing w:before="20" w:after="20" w:line="264" w:lineRule="auto"/>
              <w:jc w:val="center"/>
            </w:pPr>
            <w:r>
              <w:rPr>
                <w:rFonts w:ascii="Arial" w:hAnsi="Arial" w:eastAsia="Arial"/>
                <w:b/>
                <w:i w:val="0"/>
                <w:color w:val="0A2F5C"/>
                <w:sz w:val="18"/>
              </w:rPr>
              <w:t>1</w:t>
            </w:r>
          </w:p>
        </w:tc>
        <w:tc>
          <w:tcPr>
            <w:tcW w:type="dxa" w:w="2835"/>
          </w:tcPr>
          <w:p>
            <w:pPr>
              <w:spacing w:before="20" w:after="20" w:line="264" w:lineRule="auto"/>
            </w:pPr>
            <w:hyperlink r:id="rId11">
              <w:r>
                <w:rPr>
                  <w:rFonts w:ascii="Arial" w:hAnsi="Arial" w:eastAsia="Arial" w:cs="Arial"/>
                  <w:b/>
                  <w:color w:val="0B5CAD"/>
                  <w:sz w:val="17"/>
                  <w:u w:val="single"/>
                </w:rPr>
                <w:t xml:space="preserve">DECRETO SUPREMO  N° 013-2026-TR</w:t>
              </w:r>
            </w:hyperlink>
          </w:p>
          <w:p>
            <w:pPr>
              <w:spacing w:before="0" w:after="20" w:line="252" w:lineRule="auto"/>
            </w:pPr>
            <w:r>
              <w:rPr>
                <w:rFonts w:ascii="Arial" w:hAnsi="Arial" w:eastAsia="Arial"/>
                <w:b w:val="0"/>
                <w:i w:val="0"/>
                <w:color w:val="5B6880"/>
                <w:sz w:val="15"/>
              </w:rPr>
              <w:t>TRABAJO Y PROMOCIÓN DEL EMPLEO</w:t>
            </w:r>
          </w:p>
        </w:tc>
        <w:tc>
          <w:tcPr>
            <w:tcW w:type="dxa" w:w="4762"/>
          </w:tcPr>
          <w:p>
            <w:pPr>
              <w:spacing w:before="20" w:after="20" w:line="264" w:lineRule="auto"/>
            </w:pPr>
            <w:r>
              <w:rPr>
                <w:rFonts w:ascii="Arial" w:hAnsi="Arial" w:eastAsia="Arial"/>
                <w:b w:val="0"/>
                <w:i w:val="0"/>
                <w:sz w:val="17"/>
              </w:rPr>
              <w:t>Decreto Supremo que aprueba la Transferencia Financiera del aporte total del Programa Llamkasun Perú a favor de organismos ejecutores del sector público con quienes se ha suscrito trece (13) convenios con el objeto de financiar la ejecución de Actividades de Intervención Inmediata (AII-91) en los distritos comprendidos en el ámbito de la Focalización Geográfica del Programa de Empleo Temporal Llamkasun Perú 2026-I (Tercer Grupo)</w:t>
            </w:r>
          </w:p>
        </w:tc>
        <w:tc>
          <w:tcPr>
            <w:tcW w:type="dxa" w:w="1247"/>
          </w:tcPr>
          <w:p>
            <w:pPr>
              <w:spacing w:before="20" w:after="20" w:line="264" w:lineRule="auto"/>
              <w:jc w:val="center"/>
            </w:pPr>
            <w:r>
              <w:rPr>
                <w:rFonts w:ascii="Arial" w:hAnsi="Arial" w:eastAsia="Arial"/>
                <w:b w:val="0"/>
                <w:i w:val="0"/>
                <w:sz w:val="17"/>
              </w:rPr>
              <w:t>08/09/2026</w:t>
            </w:r>
          </w:p>
        </w:tc>
      </w:tr>
      <w:tr>
        <w:trPr>
          <w:cantSplit/>
        </w:trPr>
        <w:tc>
          <w:tcPr>
            <w:tcW w:type="dxa" w:w="1247"/>
            <w:gridSpan w:val="4"/>
            <w:shd w:val="clear" w:color="auto" w:fill="F2F5FA"/>
            <w:tcBorders>
              <w:left w:val="single" w:sz="30" w:space="0" w:color="1BAF7A"/>
            </w:tcBorders>
          </w:tcPr>
          <w:p>
            <w:pPr>
              <w:spacing w:before="20" w:after="20" w:line="264" w:lineRule="auto"/>
            </w:pPr>
            <w:r>
              <w:rPr>
                <w:rFonts w:ascii="Arial" w:hAnsi="Arial" w:eastAsia="Arial"/>
                <w:b/>
                <w:i w:val="0"/>
                <w:color w:val="0A2F5C"/>
                <w:sz w:val="17"/>
              </w:rPr>
              <w:t>INVERSIONES  (1)</w:t>
            </w:r>
          </w:p>
        </w:tc>
      </w:tr>
      <w:tr>
        <w:trPr>
          <w:cantSplit/>
        </w:trPr>
        <w:tc>
          <w:tcPr>
            <w:tcW w:type="dxa" w:w="567"/>
          </w:tcPr>
          <w:p>
            <w:pPr>
              <w:spacing w:before="20" w:after="20" w:line="264" w:lineRule="auto"/>
              <w:jc w:val="center"/>
            </w:pPr>
            <w:r>
              <w:rPr>
                <w:rFonts w:ascii="Arial" w:hAnsi="Arial" w:eastAsia="Arial"/>
                <w:b/>
                <w:i w:val="0"/>
                <w:color w:val="0A2F5C"/>
                <w:sz w:val="18"/>
              </w:rPr>
              <w:t>2</w:t>
            </w:r>
          </w:p>
        </w:tc>
        <w:tc>
          <w:tcPr>
            <w:tcW w:type="dxa" w:w="2835"/>
          </w:tcPr>
          <w:p>
            <w:pPr>
              <w:spacing w:before="20" w:after="20" w:line="264" w:lineRule="auto"/>
            </w:pPr>
            <w:hyperlink r:id="rId12">
              <w:r>
                <w:rPr>
                  <w:rFonts w:ascii="Arial" w:hAnsi="Arial" w:eastAsia="Arial" w:cs="Arial"/>
                  <w:b/>
                  <w:color w:val="0B5CAD"/>
                  <w:sz w:val="17"/>
                  <w:u w:val="single"/>
                </w:rPr>
                <w:t xml:space="preserve">RESOLUCIÓN MINISTERIAL N° D000351-2026-MIDAGRI-DM</w:t>
              </w:r>
            </w:hyperlink>
          </w:p>
          <w:p>
            <w:pPr>
              <w:spacing w:before="0" w:after="20" w:line="252" w:lineRule="auto"/>
            </w:pPr>
            <w:r>
              <w:rPr>
                <w:rFonts w:ascii="Arial" w:hAnsi="Arial" w:eastAsia="Arial"/>
                <w:b w:val="0"/>
                <w:i w:val="0"/>
                <w:color w:val="5B6880"/>
                <w:sz w:val="15"/>
              </w:rPr>
              <w:t>DESARROLLO AGRARIO Y RIEGO</w:t>
            </w:r>
          </w:p>
        </w:tc>
        <w:tc>
          <w:tcPr>
            <w:tcW w:type="dxa" w:w="4762"/>
          </w:tcPr>
          <w:p>
            <w:pPr>
              <w:spacing w:before="20" w:after="20" w:line="264" w:lineRule="auto"/>
            </w:pPr>
            <w:r>
              <w:rPr>
                <w:rFonts w:ascii="Arial" w:hAnsi="Arial" w:eastAsia="Arial"/>
                <w:b w:val="0"/>
                <w:i w:val="0"/>
                <w:sz w:val="17"/>
              </w:rPr>
              <w:t>Aprueban el Listado de Servicios susceptibles de ser ejecutados bajo el régimen excepcional del mecanismo de Obras por Impuestos en el marco del Decreto de Urgencia Nº 010-2026 así como sus respectivos contenidos mínimos</w:t>
            </w:r>
          </w:p>
        </w:tc>
        <w:tc>
          <w:tcPr>
            <w:tcW w:type="dxa" w:w="1247"/>
          </w:tcPr>
          <w:p>
            <w:pPr>
              <w:spacing w:before="20" w:after="20" w:line="264" w:lineRule="auto"/>
              <w:jc w:val="center"/>
            </w:pPr>
            <w:r>
              <w:rPr>
                <w:rFonts w:ascii="Arial" w:hAnsi="Arial" w:eastAsia="Arial"/>
                <w:b w:val="0"/>
                <w:i w:val="0"/>
                <w:sz w:val="17"/>
              </w:rPr>
              <w:t>08/09/2026</w:t>
            </w:r>
          </w:p>
          <w:p>
            <w:pPr>
              <w:spacing w:before="0" w:after="0" w:line="240" w:lineRule="auto"/>
              <w:jc w:val="center"/>
            </w:pPr>
            <w:r>
              <w:rPr>
                <w:rFonts w:ascii="Arial" w:hAnsi="Arial" w:eastAsia="Arial"/>
                <w:b w:val="0"/>
                <w:i w:val="0"/>
                <w:color w:val="B42318"/>
                <w:sz w:val="14"/>
              </w:rPr>
              <w:t>Edición extraordinaria</w:t>
            </w:r>
          </w:p>
        </w:tc>
      </w:tr>
    </w:tbl>
    <w:p>
      <w:pPr>
        <w:spacing w:before="280" w:after="120" w:line="276" w:lineRule="auto"/>
        <w:keepNext/>
        <w:pBdr>
          <w:bottom w:val="single" w:sz="6" w:space="2" w:color="C9D2DF"/>
        </w:pBdr>
      </w:pPr>
      <w:r>
        <w:rPr>
          <w:rFonts w:ascii="Arial" w:hAnsi="Arial" w:eastAsia="Arial"/>
          <w:b/>
          <w:i w:val="0"/>
          <w:color w:val="0A2F5C"/>
          <w:sz w:val="22"/>
        </w:rPr>
        <w:t>2. DETALLE DE LAS NORMAS</w:t>
      </w:r>
    </w:p>
    <w:p>
      <w:pPr>
        <w:keepNext/>
        <w:spacing w:before="160" w:after="80" w:line="276" w:lineRule="auto"/>
      </w:pPr>
      <w:r>
        <w:rPr>
          <w:rFonts w:ascii="Arial" w:hAnsi="Arial" w:eastAsia="Arial"/>
          <w:b/>
          <w:i w:val="0"/>
          <w:color w:val="0B5CAD"/>
          <w:sz w:val="21"/>
        </w:rPr>
        <w:t>2.1  Normatividad presupuestal</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EB6834"/>
            </w:tcBorders>
          </w:tcPr>
          <w:p>
            <w:pPr>
              <w:spacing w:before="20" w:after="20" w:line="264" w:lineRule="auto"/>
            </w:pPr>
            <w:r>
              <w:rPr>
                <w:rFonts w:ascii="Arial" w:hAnsi="Arial" w:eastAsia="Arial"/>
                <w:b/>
                <w:i w:val="0"/>
                <w:color w:val="0A2F5C"/>
                <w:sz w:val="19"/>
              </w:rPr>
              <w:t>1.  DECRETO SUPREMO  N° 013-2026-TR</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TRABAJO Y PROMOCIÓN DEL EMPLEO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08/09/2026 · Edición 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Normatividad presupuestal</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Decreto Supremo que aprueba la Transferencia Financiera del aporte total del Programa Llamkasun Perú a favor de organismos ejecutores del sector público con quienes se ha suscrito trece (13) convenios con el objeto de financiar la ejecución de Actividades de Intervención Inmediata (AII-91) en los distritos comprendidos en el ámbito de la Focalización Geográfica del Programa de Empleo Temporal Llamkasun Perú 2026-I (Tercer Grupo)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Objeto Autorizar la transferencia financiera del Programa de Empleo Temporal “Llamkasun Perú” a favor de los organismos ejecutores del sector público con quienes se ha suscrito trece (13) convenios con el objeto de financiar la ejecución de Actividades de Intervención Inmediata (AII-91), en el marco de los distritos comprendidos en el ámbito de la Focalización Geográfica del Programa de Empleo Temporal “Llamkasun Perú” 2026-I (Tercer Grupo), por el importe total de S/ 2 274 316,00 (Dos Millones Doscientos Setenta y Cuatro Mil Trescientos Dieciséis y 00/100 Soles), conforme al Anexo que forma parte integrante del presente Decreto Supremo. Artículo 2.- Financiamiento La…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Montos citados</w:t>
            </w:r>
          </w:p>
        </w:tc>
        <w:tc>
          <w:tcPr>
            <w:tcW w:type="dxa" w:w="7370"/>
          </w:tcPr>
          <w:p>
            <w:pPr>
              <w:spacing w:before="20" w:after="20" w:line="264" w:lineRule="auto"/>
            </w:pPr>
            <w:r>
              <w:rPr>
                <w:rFonts w:ascii="Arial" w:hAnsi="Arial" w:eastAsia="Arial"/>
                <w:b w:val="0"/>
                <w:i w:val="0"/>
                <w:sz w:val="18"/>
              </w:rPr>
              <w:t>S/ 2 274 316,00</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1">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3">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4">
              <w:r>
                <w:rPr>
                  <w:rFonts w:ascii="Arial" w:hAnsi="Arial" w:eastAsia="Arial" w:cs="Arial"/>
                  <w:color w:val="0B5CAD"/>
                  <w:sz w:val="17"/>
                  <w:u w:val="single"/>
                </w:rPr>
                <w:t xml:space="preserve">PDF</w:t>
              </w:r>
            </w:hyperlink>
          </w:p>
        </w:tc>
      </w:tr>
    </w:tbl>
    <w:p>
      <w:pPr>
        <w:spacing w:before="0" w:after="120" w:line="276" w:lineRule="auto"/>
      </w:pPr>
    </w:p>
    <w:p>
      <w:pPr>
        <w:keepNext/>
        <w:spacing w:before="160" w:after="80" w:line="276" w:lineRule="auto"/>
      </w:pPr>
      <w:r>
        <w:rPr>
          <w:rFonts w:ascii="Arial" w:hAnsi="Arial" w:eastAsia="Arial"/>
          <w:b/>
          <w:i w:val="0"/>
          <w:color w:val="0B5CAD"/>
          <w:sz w:val="21"/>
        </w:rPr>
        <w:t>2.2  Inversiones</w:t>
      </w:r>
    </w:p>
    <w:tbl>
      <w:tblPr>
        <w:tblW w:type="auto" w:w="0"/>
        <w:tblLook w:firstColumn="1" w:firstRow="1" w:lastColumn="0" w:lastRow="0" w:noHBand="0" w:noVBand="1" w:val="04A0"/>
        <w:tblBorders>
          <w:top w:val="single" w:sz="4" w:space="0" w:color="C9D2DF"/>
          <w:left w:val="single" w:sz="4" w:space="0" w:color="C9D2DF"/>
          <w:bottom w:val="single" w:sz="4" w:space="0" w:color="C9D2DF"/>
          <w:right w:val="single" w:sz="4" w:space="0" w:color="C9D2DF"/>
          <w:insideH w:val="single" w:sz="4" w:space="0" w:color="C9D2DF"/>
          <w:insideV w:val="single" w:sz="4" w:space="0" w:color="C9D2DF"/>
        </w:tblBorders>
        <w:tblLayout w:type="fixed"/>
        <w:tblCellMar>
          <w:top w:w="50" w:type="dxa"/>
          <w:bottom w:w="50" w:type="dxa"/>
          <w:left w:w="100" w:type="dxa"/>
          <w:right w:w="100" w:type="dxa"/>
        </w:tblCellMar>
      </w:tblPr>
      <w:tblGrid>
        <w:gridCol w:w="4706"/>
        <w:gridCol w:w="4706"/>
      </w:tblGrid>
      <w:tr>
        <w:trPr>
          <w:cantSplit/>
        </w:trPr>
        <w:tc>
          <w:tcPr>
            <w:tcW w:type="dxa" w:w="7370"/>
            <w:gridSpan w:val="2"/>
            <w:shd w:val="clear" w:color="auto" w:fill="E8F0FA"/>
            <w:tcBorders>
              <w:left w:val="single" w:sz="30" w:space="0" w:color="1BAF7A"/>
            </w:tcBorders>
          </w:tcPr>
          <w:p>
            <w:pPr>
              <w:spacing w:before="20" w:after="20" w:line="264" w:lineRule="auto"/>
            </w:pPr>
            <w:r>
              <w:rPr>
                <w:rFonts w:ascii="Arial" w:hAnsi="Arial" w:eastAsia="Arial"/>
                <w:b/>
                <w:i w:val="0"/>
                <w:color w:val="0A2F5C"/>
                <w:sz w:val="19"/>
              </w:rPr>
              <w:t>2.  RESOLUCIÓN MINISTERIAL N° D000351-2026-MIDAGRI-DM</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Entidad emisora</w:t>
            </w:r>
          </w:p>
        </w:tc>
        <w:tc>
          <w:tcPr>
            <w:tcW w:type="dxa" w:w="7370"/>
          </w:tcPr>
          <w:p>
            <w:pPr>
              <w:spacing w:before="20" w:after="20" w:line="264" w:lineRule="auto"/>
            </w:pPr>
            <w:r>
              <w:rPr>
                <w:rFonts w:ascii="Arial" w:hAnsi="Arial" w:eastAsia="Arial"/>
                <w:b w:val="0"/>
                <w:i w:val="0"/>
                <w:sz w:val="18"/>
              </w:rPr>
              <w:t>DESARROLLO AGRARIO Y RIEGO</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Publicación</w:t>
            </w:r>
          </w:p>
        </w:tc>
        <w:tc>
          <w:tcPr>
            <w:tcW w:type="dxa" w:w="7370"/>
          </w:tcPr>
          <w:p>
            <w:pPr>
              <w:spacing w:before="20" w:after="20" w:line="264" w:lineRule="auto"/>
            </w:pPr>
            <w:r>
              <w:rPr>
                <w:rFonts w:ascii="Arial" w:hAnsi="Arial" w:eastAsia="Arial"/>
                <w:b w:val="0"/>
                <w:i w:val="0"/>
                <w:sz w:val="18"/>
              </w:rPr>
              <w:t>08/09/2026 · Edición extraordinaria</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Temas</w:t>
            </w:r>
          </w:p>
        </w:tc>
        <w:tc>
          <w:tcPr>
            <w:tcW w:type="dxa" w:w="7370"/>
          </w:tcPr>
          <w:p>
            <w:pPr>
              <w:spacing w:before="20" w:after="20" w:line="264" w:lineRule="auto"/>
            </w:pPr>
            <w:r>
              <w:rPr>
                <w:rFonts w:ascii="Arial" w:hAnsi="Arial" w:eastAsia="Arial"/>
                <w:b w:val="0"/>
                <w:i w:val="0"/>
                <w:sz w:val="18"/>
              </w:rPr>
              <w:t>Inversiones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Sumilla</w:t>
            </w:r>
          </w:p>
        </w:tc>
        <w:tc>
          <w:tcPr>
            <w:tcW w:type="dxa" w:w="7370"/>
          </w:tcPr>
          <w:p>
            <w:pPr>
              <w:spacing w:before="20" w:after="20" w:line="264" w:lineRule="auto"/>
            </w:pPr>
            <w:r>
              <w:rPr>
                <w:rFonts w:ascii="Arial" w:hAnsi="Arial" w:eastAsia="Arial"/>
                <w:b w:val="0"/>
                <w:i w:val="0"/>
                <w:sz w:val="18"/>
              </w:rPr>
              <w:t>Aprueban el Listado de Servicios susceptibles de ser ejecutados bajo el régimen excepcional del mecanismo de Obras por Impuestos en el marco del Decreto de Urgencia Nº 010-2026 así como sus respectivos contenidos mínimos</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Disposición principal</w:t>
            </w:r>
          </w:p>
        </w:tc>
        <w:tc>
          <w:tcPr>
            <w:tcW w:type="dxa" w:w="7370"/>
          </w:tcPr>
          <w:p>
            <w:pPr>
              <w:spacing w:before="20" w:after="20" w:line="264" w:lineRule="auto"/>
            </w:pPr>
            <w:r>
              <w:rPr>
                <w:rFonts w:ascii="Arial" w:hAnsi="Arial" w:eastAsia="Arial"/>
                <w:b w:val="0"/>
                <w:i w:val="0"/>
                <w:sz w:val="18"/>
              </w:rPr>
              <w:t>Artículo 1.- Aprobación del Listado de Servicios Se aprueba el “Listado de Servicios susceptibles de ser ejecutados bajo el régimen excepcional del mecanismo de Obras por Impuestos en el marco del Decreto de Urgencia N° 010-2026”, así como sus respectivos contenidos mínimos, que como Anexo forman parte integrante de la presente Resolución Ministerial. Artículo 2.- Remisión a PROINVERSIÓN Se dispone la remisión de copia de la presente Resolución Ministerial y su Anexo a la Agencia de Promoción de la Inversión Privada (PROINVERSIÓN), para los fines consiguientes, en el marco del seguimiento y difusión del mecanismo de Obras por Impuestos. Artículo 3.- Notificación Se dispone la notificación…</w:t>
            </w:r>
          </w:p>
        </w:tc>
      </w:tr>
      <w:tr>
        <w:trPr>
          <w:cantSplit/>
        </w:trPr>
        <w:tc>
          <w:tcPr>
            <w:tcW w:type="dxa" w:w="2041"/>
            <w:shd w:val="clear" w:color="auto" w:fill="F2F5FA"/>
          </w:tcPr>
          <w:p>
            <w:pPr>
              <w:spacing w:before="20" w:after="20" w:line="264" w:lineRule="auto"/>
            </w:pPr>
            <w:r>
              <w:rPr>
                <w:rFonts w:ascii="Arial" w:hAnsi="Arial" w:eastAsia="Arial"/>
                <w:b/>
                <w:i w:val="0"/>
                <w:color w:val="0A2F5C"/>
                <w:sz w:val="17"/>
              </w:rPr>
              <w:t>Enlaces</w:t>
            </w:r>
          </w:p>
        </w:tc>
        <w:tc>
          <w:tcPr>
            <w:tcW w:type="dxa" w:w="7370"/>
          </w:tcPr>
          <w:p>
            <w:pPr>
              <w:spacing w:before="20" w:after="20" w:line="264" w:lineRule="auto"/>
            </w:pPr>
            <w:hyperlink r:id="rId12">
              <w:r>
                <w:rPr>
                  <w:rFonts w:ascii="Arial" w:hAnsi="Arial" w:eastAsia="Arial" w:cs="Arial"/>
                  <w:color w:val="0B5CAD"/>
                  <w:sz w:val="17"/>
                  <w:u w:val="single"/>
                </w:rPr>
                <w:t xml:space="preserve">Texto completo</w:t>
              </w:r>
            </w:hyperlink>
            <w:r>
              <w:rPr>
                <w:rFonts w:ascii="Arial" w:hAnsi="Arial" w:eastAsia="Arial"/>
                <w:b w:val="0"/>
                <w:i w:val="0"/>
                <w:color w:val="5B6880"/>
                <w:sz w:val="17"/>
              </w:rPr>
              <w:t xml:space="preserve">   ·   </w:t>
            </w:r>
            <w:hyperlink r:id="rId15">
              <w:r>
                <w:rPr>
                  <w:rFonts w:ascii="Arial" w:hAnsi="Arial" w:eastAsia="Arial" w:cs="Arial"/>
                  <w:color w:val="0B5CAD"/>
                  <w:sz w:val="17"/>
                  <w:u w:val="single"/>
                </w:rPr>
                <w:t xml:space="preserve">El Peruano</w:t>
              </w:r>
            </w:hyperlink>
            <w:r>
              <w:rPr>
                <w:rFonts w:ascii="Arial" w:hAnsi="Arial" w:eastAsia="Arial"/>
                <w:b w:val="0"/>
                <w:i w:val="0"/>
                <w:color w:val="5B6880"/>
                <w:sz w:val="17"/>
              </w:rPr>
              <w:t xml:space="preserve">   ·   </w:t>
            </w:r>
            <w:hyperlink r:id="rId16">
              <w:r>
                <w:rPr>
                  <w:rFonts w:ascii="Arial" w:hAnsi="Arial" w:eastAsia="Arial" w:cs="Arial"/>
                  <w:color w:val="0B5CAD"/>
                  <w:sz w:val="17"/>
                  <w:u w:val="single"/>
                </w:rPr>
                <w:t xml:space="preserve">PDF</w:t>
              </w:r>
            </w:hyperlink>
          </w:p>
        </w:tc>
      </w:tr>
    </w:tbl>
    <w:p>
      <w:pPr>
        <w:spacing w:before="0" w:after="120" w:line="276" w:lineRule="auto"/>
      </w:pPr>
    </w:p>
    <w:p>
      <w:pPr>
        <w:spacing w:before="200" w:after="0" w:line="276" w:lineRule="auto"/>
        <w:jc w:val="both"/>
        <w:pBdr>
          <w:top w:val="single" w:sz="4" w:space="4" w:color="C9D2DF"/>
        </w:pBdr>
      </w:pPr>
      <w:r>
        <w:rPr>
          <w:rFonts w:ascii="Arial" w:hAnsi="Arial" w:eastAsia="Arial"/>
          <w:b/>
          <w:i w:val="0"/>
          <w:color w:val="5B6880"/>
          <w:sz w:val="15"/>
        </w:rPr>
        <w:t xml:space="preserve">Nota metodológica: </w:t>
      </w:r>
      <w:r>
        <w:rPr>
          <w:rFonts w:ascii="Arial" w:hAnsi="Arial" w:eastAsia="Arial"/>
          <w:b w:val="0"/>
          <w:i w:val="0"/>
          <w:color w:val="5B6880"/>
          <w:sz w:val="15"/>
        </w:rPr>
        <w:t xml:space="preserve">se revisan todas las normas publicadas en el Diario Oficial El Peruano en el periodo. Una norma se selecciona cuando su entidad, título o sumilla contiene alguno de los términos definidos para cada tema, o cuando su texto completo menciona a la ATU. Los criterios pueden consultarse y editarse en el panel: </w:t>
      </w:r>
      <w:hyperlink r:id="rId17">
        <w:r>
          <w:rPr>
            <w:rFonts w:ascii="Arial" w:hAnsi="Arial" w:eastAsia="Arial" w:cs="Arial"/>
            <w:color w:val="0B5CAD"/>
            <w:sz w:val="15"/>
            <w:u w:val="single"/>
          </w:rPr>
          <w:t xml:space="preserve">reneearmasr.github.io/monitor-normas-elperuano</w:t>
        </w:r>
      </w:hyperlink>
    </w:p>
    <w:sectPr w:rsidR="00FC693F" w:rsidRPr="0006063C" w:rsidSect="00034616">
      <w:headerReference w:type="default" r:id="rId9"/>
      <w:footerReference w:type="default" r:id="rId10"/>
      <w:pgSz w:w="11906" w:h="16838"/>
      <w:pgMar w:top="1361"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360" w:val="clear"/>
        <w:tab w:pos="9411" w:val="right"/>
      </w:tabs>
      <w:pBdr>
        <w:top w:val="single" w:sz="6" w:space="4" w:color="C9D2DF"/>
      </w:pBdr>
    </w:pPr>
    <w:r>
      <w:rPr>
        <w:rFonts w:ascii="Arial" w:hAnsi="Arial" w:eastAsia="Arial"/>
        <w:b w:val="0"/>
        <w:i w:val="0"/>
        <w:color w:val="5B6880"/>
        <w:sz w:val="15"/>
      </w:rPr>
      <w:t>Fuente: Diario Oficial El Peruano · Elaboración automática</w:t>
    </w:r>
    <w:r>
      <w:rPr>
        <w:rFonts w:ascii="Arial" w:hAnsi="Arial" w:eastAsia="Arial"/>
        <w:b w:val="0"/>
        <w:i w:val="0"/>
        <w:color w:val="5B6880"/>
        <w:sz w:val="15"/>
      </w:rPr>
      <w:tab/>
      <w:t xml:space="preserve">Página </w:t>
    </w:r>
    <w:r>
      <w:rPr>
        <w:rFonts w:ascii="Arial" w:hAnsi="Arial" w:eastAsia="Arial"/>
        <w:b w:val="0"/>
        <w:i w:val="0"/>
        <w:color w:val="5B6880"/>
        <w:sz w:val="15"/>
      </w:rPr>
      <w:fldChar w:fldCharType="begin"/>
      <w:instrText xml:space="preserve"> PAGE </w:instrText>
      <w:fldChar w:fldCharType="separate"/>
      <w:t>1</w:t>
      <w:fldChar w:fldCharType="end"/>
    </w:r>
    <w:r>
      <w:rPr>
        <w:rFonts w:ascii="Arial" w:hAnsi="Arial" w:eastAsia="Arial"/>
        <w:b w:val="0"/>
        <w:i w:val="0"/>
        <w:color w:val="5B6880"/>
        <w:sz w:val="15"/>
      </w:rPr>
      <w:t xml:space="preserve"> de </w:t>
    </w:r>
    <w:r>
      <w:rPr>
        <w:rFonts w:ascii="Arial" w:hAnsi="Arial" w:eastAsia="Arial"/>
        <w:b w:val="0"/>
        <w:i w:val="0"/>
        <w:color w:val="5B6880"/>
        <w:sz w:val="15"/>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8" w:space="4" w:color="0A2F5C"/>
      </w:pBdr>
    </w:pPr>
    <w:r>
      <w:rPr>
        <w:rFonts w:ascii="Arial" w:hAnsi="Arial" w:eastAsia="Arial"/>
        <w:b/>
        <w:i w:val="0"/>
        <w:color w:val="0A2F5C"/>
        <w:sz w:val="15"/>
      </w:rPr>
      <w:t>AUTORIDAD DE TRANSPORTE URBANO PARA LIMA Y CALLAO</w:t>
    </w:r>
    <w:r>
      <w:rPr>
        <w:rFonts w:ascii="Arial" w:hAnsi="Arial" w:eastAsia="Arial"/>
        <w:b w:val="0"/>
        <w:i w:val="0"/>
        <w:color w:val="5B6880"/>
        <w:sz w:val="15"/>
      </w:rPr>
      <w:tab/>
      <w:t>Monitor de Normas Legales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busquedas.elperuano.pe/api/visor_html/2551908-1" TargetMode="External"/><Relationship Id="rId12" Type="http://schemas.openxmlformats.org/officeDocument/2006/relationships/hyperlink" Target="https://busquedas.elperuano.pe/api/visor_html/2551935-1" TargetMode="External"/><Relationship Id="rId13" Type="http://schemas.openxmlformats.org/officeDocument/2006/relationships/hyperlink" Target="https://busquedas.elperuano.pe/dispositivo/NL/2551908-1" TargetMode="External"/><Relationship Id="rId14" Type="http://schemas.openxmlformats.org/officeDocument/2006/relationships/hyperlink" Target="https://busquedas.elperuano.pe/dispositivo/NL/2551908-1/pdf" TargetMode="External"/><Relationship Id="rId15" Type="http://schemas.openxmlformats.org/officeDocument/2006/relationships/hyperlink" Target="https://busquedas.elperuano.pe/dispositivo/EX/2551935-1" TargetMode="External"/><Relationship Id="rId16" Type="http://schemas.openxmlformats.org/officeDocument/2006/relationships/hyperlink" Target="https://busquedas.elperuano.pe/dispositivo/EX/2551935-1/pdf" TargetMode="External"/><Relationship Id="rId17" Type="http://schemas.openxmlformats.org/officeDocument/2006/relationships/hyperlink" Target="https://reneearmasr.github.io/monitor-normas-elperuan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